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rFonts w:hint="eastAsia" w:cs="Times New Roman" w:asciiTheme="minorEastAsia" w:hAnsiTheme="minorEastAsia" w:eastAsiaTheme="minorEastAsia"/>
          <w:kern w:val="21"/>
        </w:rPr>
      </w:pPr>
    </w:p>
    <w:p>
      <w:pPr>
        <w:ind w:firstLine="480"/>
        <w:rPr>
          <w:rFonts w:hint="eastAsia" w:cs="Times New Roman" w:asciiTheme="minorEastAsia" w:hAnsiTheme="minorEastAsia" w:eastAsiaTheme="minorEastAsia"/>
          <w:kern w:val="21"/>
        </w:rPr>
      </w:pPr>
    </w:p>
    <w:p>
      <w:pPr>
        <w:pStyle w:val="2"/>
        <w:ind w:firstLine="480"/>
      </w:pPr>
    </w:p>
    <w:p>
      <w:pPr>
        <w:ind w:firstLine="480"/>
      </w:pPr>
    </w:p>
    <w:p>
      <w:pPr>
        <w:pStyle w:val="2"/>
        <w:ind w:firstLine="480"/>
      </w:pPr>
    </w:p>
    <w:p>
      <w:pPr>
        <w:ind w:firstLine="480"/>
      </w:pPr>
    </w:p>
    <w:p>
      <w:pPr>
        <w:pStyle w:val="2"/>
        <w:ind w:firstLine="480"/>
      </w:pPr>
    </w:p>
    <w:p>
      <w:pPr>
        <w:ind w:firstLine="480"/>
      </w:pPr>
    </w:p>
    <w:p>
      <w:pPr>
        <w:pStyle w:val="2"/>
        <w:ind w:firstLine="480"/>
      </w:pPr>
    </w:p>
    <w:p>
      <w:pPr>
        <w:ind w:firstLine="480"/>
      </w:pPr>
    </w:p>
    <w:p>
      <w:pPr>
        <w:pStyle w:val="2"/>
        <w:ind w:firstLine="480"/>
        <w:rPr>
          <w:rFonts w:hint="eastAsia" w:asciiTheme="minorEastAsia" w:hAnsiTheme="minorEastAsia" w:eastAsiaTheme="minorEastAsia"/>
          <w:kern w:val="21"/>
        </w:rPr>
      </w:pPr>
    </w:p>
    <w:p>
      <w:pPr>
        <w:ind w:firstLine="480"/>
        <w:rPr>
          <w:rFonts w:hint="eastAsia" w:asciiTheme="minorEastAsia" w:hAnsiTheme="minorEastAsia" w:eastAsiaTheme="minorEastAsia"/>
        </w:rPr>
      </w:pPr>
    </w:p>
    <w:p>
      <w:pPr>
        <w:ind w:firstLine="480"/>
        <w:rPr>
          <w:rFonts w:hint="eastAsia" w:cs="Times New Roman" w:asciiTheme="minorEastAsia" w:hAnsiTheme="minorEastAsia" w:eastAsiaTheme="minorEastAsia"/>
          <w:kern w:val="21"/>
        </w:rPr>
      </w:pPr>
    </w:p>
    <w:p>
      <w:pPr>
        <w:ind w:firstLine="480"/>
        <w:rPr>
          <w:rFonts w:hint="eastAsia" w:cs="Times New Roman" w:asciiTheme="minorEastAsia" w:hAnsiTheme="minorEastAsia" w:eastAsiaTheme="minorEastAsia"/>
          <w:kern w:val="21"/>
        </w:rPr>
      </w:pPr>
    </w:p>
    <w:p>
      <w:pPr>
        <w:ind w:firstLine="0" w:firstLineChars="0"/>
        <w:jc w:val="center"/>
        <w:rPr>
          <w:rFonts w:hint="eastAsia" w:ascii="黑体" w:hAnsi="黑体" w:eastAsia="黑体" w:cs="黑体"/>
          <w:b/>
          <w:bCs/>
          <w:sz w:val="44"/>
          <w:szCs w:val="44"/>
        </w:rPr>
      </w:pPr>
      <w:r>
        <w:rPr>
          <w:rFonts w:hint="eastAsia" w:ascii="黑体" w:hAnsi="黑体" w:eastAsia="黑体" w:cs="黑体"/>
          <w:b/>
          <w:bCs/>
          <w:sz w:val="44"/>
          <w:szCs w:val="44"/>
        </w:rPr>
        <w:t>聊城市医疗器械产业海外知识产权风险预警</w:t>
      </w:r>
    </w:p>
    <w:p>
      <w:pPr>
        <w:ind w:firstLine="480"/>
        <w:rPr>
          <w:rFonts w:hint="eastAsia" w:asciiTheme="minorEastAsia" w:hAnsiTheme="minorEastAsia" w:eastAsiaTheme="minorEastAsia"/>
        </w:rPr>
      </w:pPr>
    </w:p>
    <w:p>
      <w:pPr>
        <w:ind w:firstLine="480"/>
        <w:rPr>
          <w:rFonts w:hint="eastAsia" w:asciiTheme="minorEastAsia" w:hAnsiTheme="minorEastAsia" w:eastAsiaTheme="minorEastAsia"/>
        </w:rPr>
      </w:pPr>
    </w:p>
    <w:p>
      <w:pPr>
        <w:ind w:firstLine="480"/>
        <w:rPr>
          <w:rFonts w:hint="eastAsia" w:asciiTheme="minorEastAsia" w:hAnsiTheme="minorEastAsia" w:eastAsiaTheme="minorEastAsia"/>
        </w:rPr>
      </w:pPr>
    </w:p>
    <w:p>
      <w:pPr>
        <w:ind w:firstLine="480"/>
        <w:rPr>
          <w:rFonts w:hint="eastAsia" w:asciiTheme="minorEastAsia" w:hAnsiTheme="minorEastAsia" w:eastAsiaTheme="minorEastAsia"/>
        </w:rPr>
      </w:pPr>
    </w:p>
    <w:p>
      <w:pPr>
        <w:ind w:firstLine="480"/>
        <w:rPr>
          <w:rFonts w:hint="eastAsia" w:asciiTheme="minorEastAsia" w:hAnsiTheme="minorEastAsia" w:eastAsiaTheme="minorEastAsia"/>
        </w:rPr>
      </w:pPr>
    </w:p>
    <w:p>
      <w:pPr>
        <w:ind w:firstLine="480"/>
        <w:rPr>
          <w:rFonts w:hint="eastAsia" w:asciiTheme="minorEastAsia" w:hAnsiTheme="minorEastAsia" w:eastAsiaTheme="minorEastAsia"/>
        </w:rPr>
      </w:pPr>
    </w:p>
    <w:p>
      <w:pPr>
        <w:ind w:firstLine="480"/>
        <w:rPr>
          <w:rFonts w:hint="eastAsia" w:asciiTheme="minorEastAsia" w:hAnsiTheme="minorEastAsia" w:eastAsiaTheme="minorEastAsia"/>
        </w:rPr>
      </w:pPr>
    </w:p>
    <w:p>
      <w:pPr>
        <w:ind w:firstLine="480"/>
        <w:rPr>
          <w:rFonts w:hint="eastAsia" w:asciiTheme="minorEastAsia" w:hAnsiTheme="minorEastAsia" w:eastAsiaTheme="minorEastAsia"/>
        </w:rPr>
      </w:pPr>
    </w:p>
    <w:p>
      <w:pPr>
        <w:pStyle w:val="2"/>
        <w:rPr>
          <w:rFonts w:hint="eastAsia"/>
        </w:rPr>
      </w:pPr>
      <w:bookmarkStart w:id="80" w:name="_GoBack"/>
      <w:bookmarkEnd w:id="80"/>
    </w:p>
    <w:p>
      <w:pPr>
        <w:pStyle w:val="2"/>
        <w:rPr>
          <w:rFonts w:hint="eastAsia"/>
        </w:rPr>
      </w:pPr>
    </w:p>
    <w:p>
      <w:pPr>
        <w:pStyle w:val="2"/>
        <w:ind w:firstLine="480"/>
      </w:pPr>
    </w:p>
    <w:p>
      <w:pPr>
        <w:ind w:left="0" w:leftChars="0" w:firstLine="0" w:firstLineChars="0"/>
        <w:jc w:val="center"/>
        <w:rPr>
          <w:rFonts w:hint="eastAsia" w:asciiTheme="minorEastAsia" w:hAnsiTheme="minorEastAsia" w:eastAsiaTheme="minorEastAsia"/>
          <w:lang w:eastAsia="zh-CN"/>
        </w:rPr>
      </w:pPr>
      <w:r>
        <w:rPr>
          <w:rFonts w:hint="eastAsia" w:ascii="黑体" w:hAnsi="黑体" w:eastAsia="黑体" w:cs="黑体"/>
          <w:kern w:val="21"/>
          <w:lang w:eastAsia="zh-CN"/>
        </w:rPr>
        <w:t>聊城市知识产权事业发展中心</w:t>
      </w:r>
    </w:p>
    <w:p>
      <w:pPr>
        <w:ind w:firstLine="0" w:firstLineChars="0"/>
        <w:jc w:val="center"/>
        <w:rPr>
          <w:rFonts w:hint="eastAsia" w:ascii="黑体" w:hAnsi="黑体" w:eastAsia="黑体" w:cs="黑体"/>
          <w:kern w:val="21"/>
        </w:rPr>
      </w:pPr>
      <w:r>
        <w:rPr>
          <w:rFonts w:hint="eastAsia" w:ascii="黑体" w:hAnsi="黑体" w:eastAsia="黑体" w:cs="黑体"/>
          <w:kern w:val="21"/>
        </w:rPr>
        <w:t>聊城市工业设计协会</w:t>
      </w:r>
    </w:p>
    <w:p>
      <w:pPr>
        <w:ind w:firstLine="0" w:firstLineChars="0"/>
        <w:jc w:val="center"/>
        <w:rPr>
          <w:rFonts w:hint="eastAsia" w:ascii="黑体" w:hAnsi="黑体" w:eastAsia="黑体" w:cs="黑体"/>
          <w:kern w:val="21"/>
        </w:rPr>
      </w:pPr>
      <w:r>
        <w:rPr>
          <w:rFonts w:hint="eastAsia" w:ascii="黑体" w:hAnsi="黑体" w:eastAsia="黑体" w:cs="黑体"/>
          <w:kern w:val="21"/>
        </w:rPr>
        <w:t>2025年5月</w:t>
      </w:r>
    </w:p>
    <w:p>
      <w:pPr>
        <w:ind w:firstLine="0" w:firstLineChars="0"/>
        <w:rPr>
          <w:rFonts w:cs="Times New Roman"/>
          <w:kern w:val="21"/>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p>
    <w:sdt>
      <w:sdtPr>
        <w:rPr>
          <w:rFonts w:hint="eastAsia" w:ascii="黑体" w:hAnsi="黑体" w:eastAsia="黑体" w:cs="黑体"/>
          <w:sz w:val="30"/>
          <w:szCs w:val="30"/>
        </w:rPr>
        <w:id w:val="147455780"/>
        <w15:color w:val="DBDBDB"/>
        <w:docPartObj>
          <w:docPartGallery w:val="Table of Contents"/>
          <w:docPartUnique/>
        </w:docPartObj>
      </w:sdtPr>
      <w:sdtEndPr>
        <w:rPr>
          <w:rFonts w:hint="eastAsia" w:ascii="黑体" w:hAnsi="黑体" w:eastAsia="黑体" w:cs="黑体"/>
          <w:sz w:val="30"/>
          <w:szCs w:val="30"/>
        </w:rPr>
      </w:sdtEndPr>
      <w:sdtContent>
        <w:p>
          <w:pPr>
            <w:ind w:firstLine="0" w:firstLineChars="0"/>
            <w:jc w:val="center"/>
            <w:rPr>
              <w:rFonts w:hint="eastAsia" w:cs="黑体" w:asciiTheme="minorEastAsia" w:hAnsiTheme="minorEastAsia" w:eastAsiaTheme="minorEastAsia"/>
              <w:b/>
              <w:bCs/>
              <w:sz w:val="32"/>
              <w:szCs w:val="32"/>
            </w:rPr>
          </w:pPr>
          <w:r>
            <w:rPr>
              <w:rFonts w:hint="eastAsia" w:cs="黑体" w:asciiTheme="minorEastAsia" w:hAnsiTheme="minorEastAsia" w:eastAsiaTheme="minorEastAsia"/>
              <w:b/>
              <w:bCs/>
              <w:sz w:val="32"/>
              <w:szCs w:val="32"/>
            </w:rPr>
            <w:t>目录</w:t>
          </w:r>
        </w:p>
        <w:p>
          <w:pPr>
            <w:pStyle w:val="14"/>
            <w:tabs>
              <w:tab w:val="right" w:leader="dot" w:pos="8306"/>
            </w:tabs>
            <w:ind w:firstLine="482"/>
            <w:rPr>
              <w:rFonts w:hint="eastAsia" w:ascii="宋体" w:hAnsi="宋体" w:cs="宋体"/>
            </w:rPr>
          </w:pPr>
          <w:r>
            <w:rPr>
              <w:rFonts w:hint="eastAsia" w:cs="黑体" w:asciiTheme="minorEastAsia" w:hAnsiTheme="minorEastAsia" w:eastAsiaTheme="minorEastAsia"/>
              <w:b/>
              <w:bCs/>
            </w:rPr>
            <w:fldChar w:fldCharType="begin"/>
          </w:r>
          <w:r>
            <w:rPr>
              <w:rFonts w:hint="eastAsia" w:cs="黑体" w:asciiTheme="minorEastAsia" w:hAnsiTheme="minorEastAsia" w:eastAsiaTheme="minorEastAsia"/>
              <w:b/>
              <w:bCs/>
            </w:rPr>
            <w:instrText xml:space="preserve">TOC \o "1-3" \h \u </w:instrText>
          </w:r>
          <w:r>
            <w:rPr>
              <w:rFonts w:hint="eastAsia" w:cs="黑体" w:asciiTheme="minorEastAsia" w:hAnsiTheme="minorEastAsia" w:eastAsiaTheme="minorEastAsia"/>
              <w:b/>
              <w:bCs/>
            </w:rPr>
            <w:fldChar w:fldCharType="separate"/>
          </w:r>
          <w:r>
            <w:fldChar w:fldCharType="begin"/>
          </w:r>
          <w:r>
            <w:instrText xml:space="preserve"> HYPERLINK \l "_Toc14726" </w:instrText>
          </w:r>
          <w:r>
            <w:fldChar w:fldCharType="separate"/>
          </w:r>
          <w:r>
            <w:rPr>
              <w:rFonts w:hint="eastAsia" w:ascii="宋体" w:hAnsi="宋体" w:cs="宋体"/>
            </w:rPr>
            <w:t>引言</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_Toc14726 \h </w:instrText>
          </w:r>
          <w:r>
            <w:rPr>
              <w:rFonts w:hint="eastAsia" w:ascii="宋体" w:hAnsi="宋体" w:cs="宋体"/>
            </w:rPr>
            <w:fldChar w:fldCharType="separate"/>
          </w:r>
          <w:r>
            <w:rPr>
              <w:rFonts w:hint="eastAsia" w:ascii="宋体" w:hAnsi="宋体" w:cs="宋体"/>
            </w:rPr>
            <w:t>1</w:t>
          </w:r>
          <w:r>
            <w:rPr>
              <w:rFonts w:hint="eastAsia" w:ascii="宋体" w:hAnsi="宋体" w:cs="宋体"/>
            </w:rPr>
            <w:fldChar w:fldCharType="end"/>
          </w:r>
          <w:r>
            <w:rPr>
              <w:rFonts w:hint="eastAsia" w:ascii="宋体" w:hAnsi="宋体" w:cs="宋体"/>
            </w:rPr>
            <w:fldChar w:fldCharType="end"/>
          </w:r>
        </w:p>
        <w:p>
          <w:pPr>
            <w:pStyle w:val="14"/>
            <w:tabs>
              <w:tab w:val="right" w:leader="dot" w:pos="8306"/>
            </w:tabs>
            <w:ind w:firstLine="480"/>
            <w:rPr>
              <w:rFonts w:hint="eastAsia" w:ascii="宋体" w:hAnsi="宋体" w:cs="宋体"/>
            </w:rPr>
          </w:pPr>
          <w:r>
            <w:fldChar w:fldCharType="begin"/>
          </w:r>
          <w:r>
            <w:instrText xml:space="preserve"> HYPERLINK \l "_Toc27637" </w:instrText>
          </w:r>
          <w:r>
            <w:fldChar w:fldCharType="separate"/>
          </w:r>
          <w:r>
            <w:rPr>
              <w:rFonts w:hint="eastAsia" w:ascii="宋体" w:hAnsi="宋体" w:cs="宋体"/>
            </w:rPr>
            <w:t>摘要</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_Toc27637 \h </w:instrText>
          </w:r>
          <w:r>
            <w:rPr>
              <w:rFonts w:hint="eastAsia" w:ascii="宋体" w:hAnsi="宋体" w:cs="宋体"/>
            </w:rPr>
            <w:fldChar w:fldCharType="separate"/>
          </w:r>
          <w:r>
            <w:rPr>
              <w:rFonts w:hint="eastAsia" w:ascii="宋体" w:hAnsi="宋体" w:cs="宋体"/>
            </w:rPr>
            <w:t>4</w:t>
          </w:r>
          <w:r>
            <w:rPr>
              <w:rFonts w:hint="eastAsia" w:ascii="宋体" w:hAnsi="宋体" w:cs="宋体"/>
            </w:rPr>
            <w:fldChar w:fldCharType="end"/>
          </w:r>
          <w:r>
            <w:rPr>
              <w:rFonts w:hint="eastAsia" w:ascii="宋体" w:hAnsi="宋体" w:cs="宋体"/>
            </w:rPr>
            <w:fldChar w:fldCharType="end"/>
          </w:r>
        </w:p>
        <w:p>
          <w:pPr>
            <w:pStyle w:val="14"/>
            <w:tabs>
              <w:tab w:val="right" w:leader="dot" w:pos="8306"/>
            </w:tabs>
            <w:ind w:firstLine="480"/>
            <w:rPr>
              <w:rFonts w:hint="eastAsia" w:ascii="宋体" w:hAnsi="宋体" w:cs="宋体"/>
            </w:rPr>
          </w:pPr>
          <w:r>
            <w:fldChar w:fldCharType="begin"/>
          </w:r>
          <w:r>
            <w:instrText xml:space="preserve"> HYPERLINK \l "_Toc17924" </w:instrText>
          </w:r>
          <w:r>
            <w:fldChar w:fldCharType="separate"/>
          </w:r>
          <w:r>
            <w:rPr>
              <w:rFonts w:hint="eastAsia" w:ascii="宋体" w:hAnsi="宋体" w:cs="宋体"/>
            </w:rPr>
            <w:t>第一章 产业及重点企业情况</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_Toc17924 \h </w:instrText>
          </w:r>
          <w:r>
            <w:rPr>
              <w:rFonts w:hint="eastAsia" w:ascii="宋体" w:hAnsi="宋体" w:cs="宋体"/>
            </w:rPr>
            <w:fldChar w:fldCharType="separate"/>
          </w:r>
          <w:r>
            <w:rPr>
              <w:rFonts w:hint="eastAsia" w:ascii="宋体" w:hAnsi="宋体" w:cs="宋体"/>
            </w:rPr>
            <w:t>5</w:t>
          </w:r>
          <w:r>
            <w:rPr>
              <w:rFonts w:hint="eastAsia" w:ascii="宋体" w:hAnsi="宋体" w:cs="宋体"/>
            </w:rPr>
            <w:fldChar w:fldCharType="end"/>
          </w:r>
          <w:r>
            <w:rPr>
              <w:rFonts w:hint="eastAsia" w:ascii="宋体" w:hAnsi="宋体" w:cs="宋体"/>
            </w:rPr>
            <w:fldChar w:fldCharType="end"/>
          </w:r>
        </w:p>
        <w:p>
          <w:pPr>
            <w:pStyle w:val="17"/>
            <w:tabs>
              <w:tab w:val="right" w:leader="dot" w:pos="8306"/>
            </w:tabs>
            <w:ind w:left="480" w:firstLine="480"/>
            <w:rPr>
              <w:rFonts w:hint="eastAsia" w:ascii="宋体" w:hAnsi="宋体" w:cs="宋体"/>
            </w:rPr>
          </w:pPr>
          <w:r>
            <w:fldChar w:fldCharType="begin"/>
          </w:r>
          <w:r>
            <w:instrText xml:space="preserve"> HYPERLINK \l "_Toc15411" </w:instrText>
          </w:r>
          <w:r>
            <w:fldChar w:fldCharType="separate"/>
          </w:r>
          <w:r>
            <w:rPr>
              <w:rFonts w:hint="eastAsia" w:ascii="宋体" w:hAnsi="宋体" w:cs="宋体"/>
              <w:bCs/>
              <w:szCs w:val="28"/>
            </w:rPr>
            <w:t>1.1 医疗器械产业分析</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_Toc15411 \h </w:instrText>
          </w:r>
          <w:r>
            <w:rPr>
              <w:rFonts w:hint="eastAsia" w:ascii="宋体" w:hAnsi="宋体" w:cs="宋体"/>
            </w:rPr>
            <w:fldChar w:fldCharType="separate"/>
          </w:r>
          <w:r>
            <w:rPr>
              <w:rFonts w:hint="eastAsia" w:ascii="宋体" w:hAnsi="宋体" w:cs="宋体"/>
            </w:rPr>
            <w:t>5</w:t>
          </w:r>
          <w:r>
            <w:rPr>
              <w:rFonts w:hint="eastAsia" w:ascii="宋体" w:hAnsi="宋体" w:cs="宋体"/>
            </w:rPr>
            <w:fldChar w:fldCharType="end"/>
          </w:r>
          <w:r>
            <w:rPr>
              <w:rFonts w:hint="eastAsia" w:ascii="宋体" w:hAnsi="宋体" w:cs="宋体"/>
            </w:rPr>
            <w:fldChar w:fldCharType="end"/>
          </w:r>
        </w:p>
        <w:p>
          <w:pPr>
            <w:pStyle w:val="11"/>
            <w:tabs>
              <w:tab w:val="right" w:leader="dot" w:pos="8306"/>
            </w:tabs>
            <w:ind w:left="960" w:firstLine="480"/>
            <w:rPr>
              <w:rFonts w:hint="eastAsia" w:ascii="宋体" w:hAnsi="宋体" w:cs="宋体"/>
            </w:rPr>
          </w:pPr>
          <w:r>
            <w:fldChar w:fldCharType="begin"/>
          </w:r>
          <w:r>
            <w:instrText xml:space="preserve"> HYPERLINK \l "_Toc829" </w:instrText>
          </w:r>
          <w:r>
            <w:fldChar w:fldCharType="separate"/>
          </w:r>
          <w:r>
            <w:rPr>
              <w:rFonts w:hint="eastAsia" w:ascii="宋体" w:hAnsi="宋体" w:cs="宋体"/>
              <w:kern w:val="0"/>
              <w:szCs w:val="28"/>
            </w:rPr>
            <w:t>1.1.1 产业发展概况</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_Toc829 \h </w:instrText>
          </w:r>
          <w:r>
            <w:rPr>
              <w:rFonts w:hint="eastAsia" w:ascii="宋体" w:hAnsi="宋体" w:cs="宋体"/>
            </w:rPr>
            <w:fldChar w:fldCharType="separate"/>
          </w:r>
          <w:r>
            <w:rPr>
              <w:rFonts w:hint="eastAsia" w:ascii="宋体" w:hAnsi="宋体" w:cs="宋体"/>
            </w:rPr>
            <w:t>5</w:t>
          </w:r>
          <w:r>
            <w:rPr>
              <w:rFonts w:hint="eastAsia" w:ascii="宋体" w:hAnsi="宋体" w:cs="宋体"/>
            </w:rPr>
            <w:fldChar w:fldCharType="end"/>
          </w:r>
          <w:r>
            <w:rPr>
              <w:rFonts w:hint="eastAsia" w:ascii="宋体" w:hAnsi="宋体" w:cs="宋体"/>
            </w:rPr>
            <w:fldChar w:fldCharType="end"/>
          </w:r>
        </w:p>
        <w:p>
          <w:pPr>
            <w:pStyle w:val="11"/>
            <w:tabs>
              <w:tab w:val="right" w:leader="dot" w:pos="8306"/>
            </w:tabs>
            <w:ind w:left="960" w:firstLine="480"/>
            <w:rPr>
              <w:rFonts w:hint="eastAsia" w:ascii="宋体" w:hAnsi="宋体" w:cs="宋体"/>
            </w:rPr>
          </w:pPr>
          <w:r>
            <w:fldChar w:fldCharType="begin"/>
          </w:r>
          <w:r>
            <w:instrText xml:space="preserve"> HYPERLINK \l "_Toc19787" </w:instrText>
          </w:r>
          <w:r>
            <w:fldChar w:fldCharType="separate"/>
          </w:r>
          <w:r>
            <w:rPr>
              <w:rFonts w:hint="eastAsia" w:ascii="宋体" w:hAnsi="宋体" w:cs="宋体"/>
              <w:kern w:val="0"/>
              <w:szCs w:val="28"/>
            </w:rPr>
            <w:t>1.1.2 产业竞争格局</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_Toc19787 \h </w:instrText>
          </w:r>
          <w:r>
            <w:rPr>
              <w:rFonts w:hint="eastAsia" w:ascii="宋体" w:hAnsi="宋体" w:cs="宋体"/>
            </w:rPr>
            <w:fldChar w:fldCharType="separate"/>
          </w:r>
          <w:r>
            <w:rPr>
              <w:rFonts w:hint="eastAsia" w:ascii="宋体" w:hAnsi="宋体" w:cs="宋体"/>
            </w:rPr>
            <w:t>6</w:t>
          </w:r>
          <w:r>
            <w:rPr>
              <w:rFonts w:hint="eastAsia" w:ascii="宋体" w:hAnsi="宋体" w:cs="宋体"/>
            </w:rPr>
            <w:fldChar w:fldCharType="end"/>
          </w:r>
          <w:r>
            <w:rPr>
              <w:rFonts w:hint="eastAsia" w:ascii="宋体" w:hAnsi="宋体" w:cs="宋体"/>
            </w:rPr>
            <w:fldChar w:fldCharType="end"/>
          </w:r>
        </w:p>
        <w:p>
          <w:pPr>
            <w:pStyle w:val="11"/>
            <w:tabs>
              <w:tab w:val="right" w:leader="dot" w:pos="8306"/>
            </w:tabs>
            <w:ind w:left="960" w:firstLine="480"/>
            <w:rPr>
              <w:rFonts w:hint="eastAsia" w:ascii="宋体" w:hAnsi="宋体" w:cs="宋体"/>
            </w:rPr>
          </w:pPr>
          <w:r>
            <w:fldChar w:fldCharType="begin"/>
          </w:r>
          <w:r>
            <w:instrText xml:space="preserve"> HYPERLINK \l "_Toc32202" </w:instrText>
          </w:r>
          <w:r>
            <w:fldChar w:fldCharType="separate"/>
          </w:r>
          <w:r>
            <w:rPr>
              <w:rFonts w:hint="eastAsia" w:ascii="宋体" w:hAnsi="宋体" w:cs="宋体"/>
              <w:kern w:val="0"/>
              <w:szCs w:val="28"/>
            </w:rPr>
            <w:t>1.1.3 产业发展趋势</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_Toc32202 \h </w:instrText>
          </w:r>
          <w:r>
            <w:rPr>
              <w:rFonts w:hint="eastAsia" w:ascii="宋体" w:hAnsi="宋体" w:cs="宋体"/>
            </w:rPr>
            <w:fldChar w:fldCharType="separate"/>
          </w:r>
          <w:r>
            <w:rPr>
              <w:rFonts w:hint="eastAsia" w:ascii="宋体" w:hAnsi="宋体" w:cs="宋体"/>
            </w:rPr>
            <w:t>7</w:t>
          </w:r>
          <w:r>
            <w:rPr>
              <w:rFonts w:hint="eastAsia" w:ascii="宋体" w:hAnsi="宋体" w:cs="宋体"/>
            </w:rPr>
            <w:fldChar w:fldCharType="end"/>
          </w:r>
          <w:r>
            <w:rPr>
              <w:rFonts w:hint="eastAsia" w:ascii="宋体" w:hAnsi="宋体" w:cs="宋体"/>
            </w:rPr>
            <w:fldChar w:fldCharType="end"/>
          </w:r>
        </w:p>
        <w:p>
          <w:pPr>
            <w:pStyle w:val="17"/>
            <w:tabs>
              <w:tab w:val="right" w:leader="dot" w:pos="8306"/>
            </w:tabs>
            <w:ind w:left="480" w:firstLine="480"/>
            <w:rPr>
              <w:rFonts w:hint="eastAsia" w:ascii="宋体" w:hAnsi="宋体" w:cs="宋体"/>
            </w:rPr>
          </w:pPr>
          <w:r>
            <w:fldChar w:fldCharType="begin"/>
          </w:r>
          <w:r>
            <w:instrText xml:space="preserve"> HYPERLINK \l "_Toc15303" </w:instrText>
          </w:r>
          <w:r>
            <w:fldChar w:fldCharType="separate"/>
          </w:r>
          <w:r>
            <w:rPr>
              <w:rFonts w:hint="eastAsia" w:ascii="宋体" w:hAnsi="宋体" w:cs="宋体"/>
              <w:bCs/>
              <w:szCs w:val="28"/>
            </w:rPr>
            <w:t>1.2 聊城市医疗器械产业分析</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_Toc15303 \h </w:instrText>
          </w:r>
          <w:r>
            <w:rPr>
              <w:rFonts w:hint="eastAsia" w:ascii="宋体" w:hAnsi="宋体" w:cs="宋体"/>
            </w:rPr>
            <w:fldChar w:fldCharType="separate"/>
          </w:r>
          <w:r>
            <w:rPr>
              <w:rFonts w:hint="eastAsia" w:ascii="宋体" w:hAnsi="宋体" w:cs="宋体"/>
            </w:rPr>
            <w:t>8</w:t>
          </w:r>
          <w:r>
            <w:rPr>
              <w:rFonts w:hint="eastAsia" w:ascii="宋体" w:hAnsi="宋体" w:cs="宋体"/>
            </w:rPr>
            <w:fldChar w:fldCharType="end"/>
          </w:r>
          <w:r>
            <w:rPr>
              <w:rFonts w:hint="eastAsia" w:ascii="宋体" w:hAnsi="宋体" w:cs="宋体"/>
            </w:rPr>
            <w:fldChar w:fldCharType="end"/>
          </w:r>
        </w:p>
        <w:p>
          <w:pPr>
            <w:pStyle w:val="11"/>
            <w:tabs>
              <w:tab w:val="right" w:leader="dot" w:pos="8306"/>
            </w:tabs>
            <w:ind w:left="960" w:firstLine="480"/>
            <w:rPr>
              <w:rFonts w:hint="eastAsia" w:ascii="宋体" w:hAnsi="宋体" w:cs="宋体"/>
            </w:rPr>
          </w:pPr>
          <w:r>
            <w:fldChar w:fldCharType="begin"/>
          </w:r>
          <w:r>
            <w:instrText xml:space="preserve"> HYPERLINK \l "_Toc24857" </w:instrText>
          </w:r>
          <w:r>
            <w:fldChar w:fldCharType="separate"/>
          </w:r>
          <w:r>
            <w:rPr>
              <w:rFonts w:hint="eastAsia" w:ascii="宋体" w:hAnsi="宋体" w:cs="宋体"/>
              <w:kern w:val="0"/>
              <w:szCs w:val="28"/>
            </w:rPr>
            <w:t>1.2.1 产业发展概况</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_Toc24857 \h </w:instrText>
          </w:r>
          <w:r>
            <w:rPr>
              <w:rFonts w:hint="eastAsia" w:ascii="宋体" w:hAnsi="宋体" w:cs="宋体"/>
            </w:rPr>
            <w:fldChar w:fldCharType="separate"/>
          </w:r>
          <w:r>
            <w:rPr>
              <w:rFonts w:hint="eastAsia" w:ascii="宋体" w:hAnsi="宋体" w:cs="宋体"/>
            </w:rPr>
            <w:t>8</w:t>
          </w:r>
          <w:r>
            <w:rPr>
              <w:rFonts w:hint="eastAsia" w:ascii="宋体" w:hAnsi="宋体" w:cs="宋体"/>
            </w:rPr>
            <w:fldChar w:fldCharType="end"/>
          </w:r>
          <w:r>
            <w:rPr>
              <w:rFonts w:hint="eastAsia" w:ascii="宋体" w:hAnsi="宋体" w:cs="宋体"/>
            </w:rPr>
            <w:fldChar w:fldCharType="end"/>
          </w:r>
        </w:p>
        <w:p>
          <w:pPr>
            <w:pStyle w:val="11"/>
            <w:tabs>
              <w:tab w:val="right" w:leader="dot" w:pos="8306"/>
            </w:tabs>
            <w:ind w:left="960" w:firstLine="480"/>
            <w:rPr>
              <w:rFonts w:hint="eastAsia" w:ascii="宋体" w:hAnsi="宋体" w:cs="宋体"/>
            </w:rPr>
          </w:pPr>
          <w:r>
            <w:fldChar w:fldCharType="begin"/>
          </w:r>
          <w:r>
            <w:instrText xml:space="preserve"> HYPERLINK \l "_Toc10807" </w:instrText>
          </w:r>
          <w:r>
            <w:fldChar w:fldCharType="separate"/>
          </w:r>
          <w:r>
            <w:rPr>
              <w:rFonts w:hint="eastAsia" w:ascii="宋体" w:hAnsi="宋体" w:cs="宋体"/>
              <w:kern w:val="0"/>
              <w:szCs w:val="28"/>
            </w:rPr>
            <w:t>1.2.2 重点企业</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_Toc10807 \h </w:instrText>
          </w:r>
          <w:r>
            <w:rPr>
              <w:rFonts w:hint="eastAsia" w:ascii="宋体" w:hAnsi="宋体" w:cs="宋体"/>
            </w:rPr>
            <w:fldChar w:fldCharType="separate"/>
          </w:r>
          <w:r>
            <w:rPr>
              <w:rFonts w:hint="eastAsia" w:ascii="宋体" w:hAnsi="宋体" w:cs="宋体"/>
            </w:rPr>
            <w:t>9</w:t>
          </w:r>
          <w:r>
            <w:rPr>
              <w:rFonts w:hint="eastAsia" w:ascii="宋体" w:hAnsi="宋体" w:cs="宋体"/>
            </w:rPr>
            <w:fldChar w:fldCharType="end"/>
          </w:r>
          <w:r>
            <w:rPr>
              <w:rFonts w:hint="eastAsia" w:ascii="宋体" w:hAnsi="宋体" w:cs="宋体"/>
            </w:rPr>
            <w:fldChar w:fldCharType="end"/>
          </w:r>
        </w:p>
        <w:p>
          <w:pPr>
            <w:pStyle w:val="14"/>
            <w:tabs>
              <w:tab w:val="right" w:leader="dot" w:pos="8306"/>
            </w:tabs>
            <w:ind w:firstLine="480"/>
            <w:rPr>
              <w:rFonts w:hint="eastAsia" w:ascii="宋体" w:hAnsi="宋体" w:cs="宋体"/>
            </w:rPr>
          </w:pPr>
          <w:r>
            <w:fldChar w:fldCharType="begin"/>
          </w:r>
          <w:r>
            <w:instrText xml:space="preserve"> HYPERLINK \l "_Toc24269" </w:instrText>
          </w:r>
          <w:r>
            <w:fldChar w:fldCharType="separate"/>
          </w:r>
          <w:r>
            <w:rPr>
              <w:rFonts w:hint="eastAsia" w:ascii="宋体" w:hAnsi="宋体" w:cs="宋体"/>
            </w:rPr>
            <w:t>第二章 专利检索、产业专利竞争态势及风险识别</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_Toc24269 \h </w:instrText>
          </w:r>
          <w:r>
            <w:rPr>
              <w:rFonts w:hint="eastAsia" w:ascii="宋体" w:hAnsi="宋体" w:cs="宋体"/>
            </w:rPr>
            <w:fldChar w:fldCharType="separate"/>
          </w:r>
          <w:r>
            <w:rPr>
              <w:rFonts w:hint="eastAsia" w:ascii="宋体" w:hAnsi="宋体" w:cs="宋体"/>
            </w:rPr>
            <w:t>17</w:t>
          </w:r>
          <w:r>
            <w:rPr>
              <w:rFonts w:hint="eastAsia" w:ascii="宋体" w:hAnsi="宋体" w:cs="宋体"/>
            </w:rPr>
            <w:fldChar w:fldCharType="end"/>
          </w:r>
          <w:r>
            <w:rPr>
              <w:rFonts w:hint="eastAsia" w:ascii="宋体" w:hAnsi="宋体" w:cs="宋体"/>
            </w:rPr>
            <w:fldChar w:fldCharType="end"/>
          </w:r>
        </w:p>
        <w:p>
          <w:pPr>
            <w:pStyle w:val="17"/>
            <w:tabs>
              <w:tab w:val="right" w:leader="dot" w:pos="8306"/>
            </w:tabs>
            <w:ind w:left="480" w:firstLine="480"/>
            <w:rPr>
              <w:rFonts w:hint="eastAsia" w:ascii="宋体" w:hAnsi="宋体" w:cs="宋体"/>
            </w:rPr>
          </w:pPr>
          <w:r>
            <w:fldChar w:fldCharType="begin"/>
          </w:r>
          <w:r>
            <w:instrText xml:space="preserve"> HYPERLINK \l "_Toc8104" </w:instrText>
          </w:r>
          <w:r>
            <w:fldChar w:fldCharType="separate"/>
          </w:r>
          <w:r>
            <w:rPr>
              <w:rFonts w:hint="eastAsia" w:ascii="宋体" w:hAnsi="宋体" w:cs="宋体"/>
              <w:bCs/>
              <w:szCs w:val="28"/>
            </w:rPr>
            <w:t>2.1 技术分解及专利检索</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_Toc8104 \h </w:instrText>
          </w:r>
          <w:r>
            <w:rPr>
              <w:rFonts w:hint="eastAsia" w:ascii="宋体" w:hAnsi="宋体" w:cs="宋体"/>
            </w:rPr>
            <w:fldChar w:fldCharType="separate"/>
          </w:r>
          <w:r>
            <w:rPr>
              <w:rFonts w:hint="eastAsia" w:ascii="宋体" w:hAnsi="宋体" w:cs="宋体"/>
            </w:rPr>
            <w:t>17</w:t>
          </w:r>
          <w:r>
            <w:rPr>
              <w:rFonts w:hint="eastAsia" w:ascii="宋体" w:hAnsi="宋体" w:cs="宋体"/>
            </w:rPr>
            <w:fldChar w:fldCharType="end"/>
          </w:r>
          <w:r>
            <w:rPr>
              <w:rFonts w:hint="eastAsia" w:ascii="宋体" w:hAnsi="宋体" w:cs="宋体"/>
            </w:rPr>
            <w:fldChar w:fldCharType="end"/>
          </w:r>
        </w:p>
        <w:p>
          <w:pPr>
            <w:pStyle w:val="17"/>
            <w:tabs>
              <w:tab w:val="right" w:leader="dot" w:pos="8306"/>
            </w:tabs>
            <w:ind w:left="480" w:firstLine="480"/>
            <w:rPr>
              <w:rFonts w:hint="eastAsia" w:ascii="宋体" w:hAnsi="宋体" w:cs="宋体"/>
            </w:rPr>
          </w:pPr>
          <w:r>
            <w:fldChar w:fldCharType="begin"/>
          </w:r>
          <w:r>
            <w:instrText xml:space="preserve"> HYPERLINK \l "_Toc22000" </w:instrText>
          </w:r>
          <w:r>
            <w:fldChar w:fldCharType="separate"/>
          </w:r>
          <w:r>
            <w:rPr>
              <w:rFonts w:hint="eastAsia" w:ascii="宋体" w:hAnsi="宋体" w:cs="宋体"/>
              <w:bCs/>
              <w:szCs w:val="28"/>
            </w:rPr>
            <w:t>2.2 聊城市医疗器械产业知识产权保护现状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_Toc22000 \h </w:instrText>
          </w:r>
          <w:r>
            <w:rPr>
              <w:rFonts w:hint="eastAsia" w:ascii="宋体" w:hAnsi="宋体" w:cs="宋体"/>
            </w:rPr>
            <w:fldChar w:fldCharType="separate"/>
          </w:r>
          <w:r>
            <w:rPr>
              <w:rFonts w:hint="eastAsia" w:ascii="宋体" w:hAnsi="宋体" w:cs="宋体"/>
            </w:rPr>
            <w:t>19</w:t>
          </w:r>
          <w:r>
            <w:rPr>
              <w:rFonts w:hint="eastAsia" w:ascii="宋体" w:hAnsi="宋体" w:cs="宋体"/>
            </w:rPr>
            <w:fldChar w:fldCharType="end"/>
          </w:r>
          <w:r>
            <w:rPr>
              <w:rFonts w:hint="eastAsia" w:ascii="宋体" w:hAnsi="宋体" w:cs="宋体"/>
            </w:rPr>
            <w:fldChar w:fldCharType="end"/>
          </w:r>
        </w:p>
        <w:p>
          <w:pPr>
            <w:pStyle w:val="17"/>
            <w:tabs>
              <w:tab w:val="right" w:leader="dot" w:pos="8306"/>
            </w:tabs>
            <w:ind w:left="480" w:firstLine="480"/>
            <w:rPr>
              <w:rFonts w:hint="eastAsia" w:ascii="宋体" w:hAnsi="宋体" w:cs="宋体"/>
            </w:rPr>
          </w:pPr>
          <w:r>
            <w:fldChar w:fldCharType="begin"/>
          </w:r>
          <w:r>
            <w:instrText xml:space="preserve"> HYPERLINK \l "_Toc19072" </w:instrText>
          </w:r>
          <w:r>
            <w:fldChar w:fldCharType="separate"/>
          </w:r>
          <w:r>
            <w:rPr>
              <w:rFonts w:hint="eastAsia" w:ascii="宋体" w:hAnsi="宋体" w:cs="宋体"/>
              <w:bCs/>
              <w:szCs w:val="28"/>
            </w:rPr>
            <w:t>2.3 产业重点布局区域知识产权竞争态势</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_Toc19072 \h </w:instrText>
          </w:r>
          <w:r>
            <w:rPr>
              <w:rFonts w:hint="eastAsia" w:ascii="宋体" w:hAnsi="宋体" w:cs="宋体"/>
            </w:rPr>
            <w:fldChar w:fldCharType="separate"/>
          </w:r>
          <w:r>
            <w:rPr>
              <w:rFonts w:hint="eastAsia" w:ascii="宋体" w:hAnsi="宋体" w:cs="宋体"/>
            </w:rPr>
            <w:t>21</w:t>
          </w:r>
          <w:r>
            <w:rPr>
              <w:rFonts w:hint="eastAsia" w:ascii="宋体" w:hAnsi="宋体" w:cs="宋体"/>
            </w:rPr>
            <w:fldChar w:fldCharType="end"/>
          </w:r>
          <w:r>
            <w:rPr>
              <w:rFonts w:hint="eastAsia" w:ascii="宋体" w:hAnsi="宋体" w:cs="宋体"/>
            </w:rPr>
            <w:fldChar w:fldCharType="end"/>
          </w:r>
        </w:p>
        <w:p>
          <w:pPr>
            <w:pStyle w:val="11"/>
            <w:tabs>
              <w:tab w:val="right" w:leader="dot" w:pos="8306"/>
            </w:tabs>
            <w:ind w:left="960" w:firstLine="480"/>
            <w:rPr>
              <w:rFonts w:hint="eastAsia" w:ascii="宋体" w:hAnsi="宋体" w:cs="宋体"/>
            </w:rPr>
          </w:pPr>
          <w:r>
            <w:fldChar w:fldCharType="begin"/>
          </w:r>
          <w:r>
            <w:instrText xml:space="preserve"> HYPERLINK \l "_Toc24774" </w:instrText>
          </w:r>
          <w:r>
            <w:fldChar w:fldCharType="separate"/>
          </w:r>
          <w:r>
            <w:rPr>
              <w:rFonts w:hint="eastAsia" w:ascii="宋体" w:hAnsi="宋体" w:cs="宋体"/>
              <w:kern w:val="0"/>
              <w:szCs w:val="28"/>
            </w:rPr>
            <w:t>2.3.1 美国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_Toc24774 \h </w:instrText>
          </w:r>
          <w:r>
            <w:rPr>
              <w:rFonts w:hint="eastAsia" w:ascii="宋体" w:hAnsi="宋体" w:cs="宋体"/>
            </w:rPr>
            <w:fldChar w:fldCharType="separate"/>
          </w:r>
          <w:r>
            <w:rPr>
              <w:rFonts w:hint="eastAsia" w:ascii="宋体" w:hAnsi="宋体" w:cs="宋体"/>
            </w:rPr>
            <w:t>21</w:t>
          </w:r>
          <w:r>
            <w:rPr>
              <w:rFonts w:hint="eastAsia" w:ascii="宋体" w:hAnsi="宋体" w:cs="宋体"/>
            </w:rPr>
            <w:fldChar w:fldCharType="end"/>
          </w:r>
          <w:r>
            <w:rPr>
              <w:rFonts w:hint="eastAsia" w:ascii="宋体" w:hAnsi="宋体" w:cs="宋体"/>
            </w:rPr>
            <w:fldChar w:fldCharType="end"/>
          </w:r>
        </w:p>
        <w:p>
          <w:pPr>
            <w:pStyle w:val="11"/>
            <w:tabs>
              <w:tab w:val="right" w:leader="dot" w:pos="8306"/>
            </w:tabs>
            <w:ind w:left="960" w:firstLine="480"/>
            <w:rPr>
              <w:rFonts w:hint="eastAsia" w:ascii="宋体" w:hAnsi="宋体" w:cs="宋体"/>
            </w:rPr>
          </w:pPr>
          <w:r>
            <w:fldChar w:fldCharType="begin"/>
          </w:r>
          <w:r>
            <w:instrText xml:space="preserve"> HYPERLINK \l "_Toc21379" </w:instrText>
          </w:r>
          <w:r>
            <w:fldChar w:fldCharType="separate"/>
          </w:r>
          <w:r>
            <w:rPr>
              <w:rFonts w:hint="eastAsia" w:ascii="宋体" w:hAnsi="宋体" w:cs="宋体"/>
              <w:kern w:val="0"/>
              <w:szCs w:val="28"/>
            </w:rPr>
            <w:t>2.3.2 日本</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_Toc21379 \h </w:instrText>
          </w:r>
          <w:r>
            <w:rPr>
              <w:rFonts w:hint="eastAsia" w:ascii="宋体" w:hAnsi="宋体" w:cs="宋体"/>
            </w:rPr>
            <w:fldChar w:fldCharType="separate"/>
          </w:r>
          <w:r>
            <w:rPr>
              <w:rFonts w:hint="eastAsia" w:ascii="宋体" w:hAnsi="宋体" w:cs="宋体"/>
            </w:rPr>
            <w:t>23</w:t>
          </w:r>
          <w:r>
            <w:rPr>
              <w:rFonts w:hint="eastAsia" w:ascii="宋体" w:hAnsi="宋体" w:cs="宋体"/>
            </w:rPr>
            <w:fldChar w:fldCharType="end"/>
          </w:r>
          <w:r>
            <w:rPr>
              <w:rFonts w:hint="eastAsia" w:ascii="宋体" w:hAnsi="宋体" w:cs="宋体"/>
            </w:rPr>
            <w:fldChar w:fldCharType="end"/>
          </w:r>
        </w:p>
        <w:p>
          <w:pPr>
            <w:pStyle w:val="11"/>
            <w:tabs>
              <w:tab w:val="right" w:leader="dot" w:pos="8306"/>
            </w:tabs>
            <w:ind w:left="960" w:firstLine="480"/>
            <w:rPr>
              <w:rFonts w:hint="eastAsia" w:ascii="宋体" w:hAnsi="宋体" w:cs="宋体"/>
            </w:rPr>
          </w:pPr>
          <w:r>
            <w:fldChar w:fldCharType="begin"/>
          </w:r>
          <w:r>
            <w:instrText xml:space="preserve"> HYPERLINK \l "_Toc26189" </w:instrText>
          </w:r>
          <w:r>
            <w:fldChar w:fldCharType="separate"/>
          </w:r>
          <w:r>
            <w:rPr>
              <w:rFonts w:hint="eastAsia" w:ascii="宋体" w:hAnsi="宋体" w:cs="宋体"/>
              <w:kern w:val="0"/>
              <w:szCs w:val="28"/>
            </w:rPr>
            <w:t>2.3.3 英国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_Toc26189 \h </w:instrText>
          </w:r>
          <w:r>
            <w:rPr>
              <w:rFonts w:hint="eastAsia" w:ascii="宋体" w:hAnsi="宋体" w:cs="宋体"/>
            </w:rPr>
            <w:fldChar w:fldCharType="separate"/>
          </w:r>
          <w:r>
            <w:rPr>
              <w:rFonts w:hint="eastAsia" w:ascii="宋体" w:hAnsi="宋体" w:cs="宋体"/>
            </w:rPr>
            <w:t>25</w:t>
          </w:r>
          <w:r>
            <w:rPr>
              <w:rFonts w:hint="eastAsia" w:ascii="宋体" w:hAnsi="宋体" w:cs="宋体"/>
            </w:rPr>
            <w:fldChar w:fldCharType="end"/>
          </w:r>
          <w:r>
            <w:rPr>
              <w:rFonts w:hint="eastAsia" w:ascii="宋体" w:hAnsi="宋体" w:cs="宋体"/>
            </w:rPr>
            <w:fldChar w:fldCharType="end"/>
          </w:r>
        </w:p>
        <w:p>
          <w:pPr>
            <w:pStyle w:val="17"/>
            <w:tabs>
              <w:tab w:val="right" w:leader="dot" w:pos="8306"/>
            </w:tabs>
            <w:ind w:left="480" w:firstLine="480"/>
            <w:rPr>
              <w:rFonts w:hint="eastAsia" w:ascii="宋体" w:hAnsi="宋体" w:cs="宋体"/>
            </w:rPr>
          </w:pPr>
          <w:r>
            <w:fldChar w:fldCharType="begin"/>
          </w:r>
          <w:r>
            <w:instrText xml:space="preserve"> HYPERLINK \l "_Toc2520" </w:instrText>
          </w:r>
          <w:r>
            <w:fldChar w:fldCharType="separate"/>
          </w:r>
          <w:r>
            <w:rPr>
              <w:rFonts w:hint="eastAsia" w:ascii="宋体" w:hAnsi="宋体" w:cs="宋体"/>
              <w:bCs/>
              <w:szCs w:val="28"/>
            </w:rPr>
            <w:t>2.4 重点企业知识产权竞争态势</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_Toc2520 \h </w:instrText>
          </w:r>
          <w:r>
            <w:rPr>
              <w:rFonts w:hint="eastAsia" w:ascii="宋体" w:hAnsi="宋体" w:cs="宋体"/>
            </w:rPr>
            <w:fldChar w:fldCharType="separate"/>
          </w:r>
          <w:r>
            <w:rPr>
              <w:rFonts w:hint="eastAsia" w:ascii="宋体" w:hAnsi="宋体" w:cs="宋体"/>
            </w:rPr>
            <w:t>27</w:t>
          </w:r>
          <w:r>
            <w:rPr>
              <w:rFonts w:hint="eastAsia" w:ascii="宋体" w:hAnsi="宋体" w:cs="宋体"/>
            </w:rPr>
            <w:fldChar w:fldCharType="end"/>
          </w:r>
          <w:r>
            <w:rPr>
              <w:rFonts w:hint="eastAsia" w:ascii="宋体" w:hAnsi="宋体" w:cs="宋体"/>
            </w:rPr>
            <w:fldChar w:fldCharType="end"/>
          </w:r>
        </w:p>
        <w:p>
          <w:pPr>
            <w:pStyle w:val="17"/>
            <w:tabs>
              <w:tab w:val="right" w:leader="dot" w:pos="8306"/>
            </w:tabs>
            <w:ind w:left="480" w:firstLine="480"/>
            <w:rPr>
              <w:rFonts w:hint="eastAsia" w:ascii="宋体" w:hAnsi="宋体" w:cs="宋体"/>
            </w:rPr>
          </w:pPr>
          <w:r>
            <w:fldChar w:fldCharType="begin"/>
          </w:r>
          <w:r>
            <w:instrText xml:space="preserve"> HYPERLINK \l "_Toc29870" </w:instrText>
          </w:r>
          <w:r>
            <w:fldChar w:fldCharType="separate"/>
          </w:r>
          <w:r>
            <w:rPr>
              <w:rFonts w:hint="eastAsia" w:ascii="宋体" w:hAnsi="宋体" w:cs="宋体"/>
              <w:bCs/>
              <w:szCs w:val="28"/>
            </w:rPr>
            <w:t>2.5 风险区域识别</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_Toc29870 \h </w:instrText>
          </w:r>
          <w:r>
            <w:rPr>
              <w:rFonts w:hint="eastAsia" w:ascii="宋体" w:hAnsi="宋体" w:cs="宋体"/>
            </w:rPr>
            <w:fldChar w:fldCharType="separate"/>
          </w:r>
          <w:r>
            <w:rPr>
              <w:rFonts w:hint="eastAsia" w:ascii="宋体" w:hAnsi="宋体" w:cs="宋体"/>
            </w:rPr>
            <w:t>31</w:t>
          </w:r>
          <w:r>
            <w:rPr>
              <w:rFonts w:hint="eastAsia" w:ascii="宋体" w:hAnsi="宋体" w:cs="宋体"/>
            </w:rPr>
            <w:fldChar w:fldCharType="end"/>
          </w:r>
          <w:r>
            <w:rPr>
              <w:rFonts w:hint="eastAsia" w:ascii="宋体" w:hAnsi="宋体" w:cs="宋体"/>
            </w:rPr>
            <w:fldChar w:fldCharType="end"/>
          </w:r>
        </w:p>
        <w:p>
          <w:pPr>
            <w:pStyle w:val="17"/>
            <w:tabs>
              <w:tab w:val="right" w:leader="dot" w:pos="8306"/>
            </w:tabs>
            <w:ind w:left="480" w:firstLine="480"/>
            <w:rPr>
              <w:rFonts w:hint="eastAsia" w:ascii="宋体" w:hAnsi="宋体" w:cs="宋体"/>
            </w:rPr>
          </w:pPr>
          <w:r>
            <w:fldChar w:fldCharType="begin"/>
          </w:r>
          <w:r>
            <w:instrText xml:space="preserve"> HYPERLINK \l "_Toc14393" </w:instrText>
          </w:r>
          <w:r>
            <w:fldChar w:fldCharType="separate"/>
          </w:r>
          <w:r>
            <w:rPr>
              <w:rFonts w:hint="eastAsia" w:ascii="宋体" w:hAnsi="宋体" w:cs="宋体"/>
              <w:bCs/>
              <w:szCs w:val="28"/>
            </w:rPr>
            <w:t>2.6 风险企业识别</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_Toc14393 \h </w:instrText>
          </w:r>
          <w:r>
            <w:rPr>
              <w:rFonts w:hint="eastAsia" w:ascii="宋体" w:hAnsi="宋体" w:cs="宋体"/>
            </w:rPr>
            <w:fldChar w:fldCharType="separate"/>
          </w:r>
          <w:r>
            <w:rPr>
              <w:rFonts w:hint="eastAsia" w:ascii="宋体" w:hAnsi="宋体" w:cs="宋体"/>
            </w:rPr>
            <w:t>32</w:t>
          </w:r>
          <w:r>
            <w:rPr>
              <w:rFonts w:hint="eastAsia" w:ascii="宋体" w:hAnsi="宋体" w:cs="宋体"/>
            </w:rPr>
            <w:fldChar w:fldCharType="end"/>
          </w:r>
          <w:r>
            <w:rPr>
              <w:rFonts w:hint="eastAsia" w:ascii="宋体" w:hAnsi="宋体" w:cs="宋体"/>
            </w:rPr>
            <w:fldChar w:fldCharType="end"/>
          </w:r>
        </w:p>
        <w:p>
          <w:pPr>
            <w:pStyle w:val="17"/>
            <w:tabs>
              <w:tab w:val="right" w:leader="dot" w:pos="8306"/>
            </w:tabs>
            <w:ind w:left="480" w:firstLine="480"/>
            <w:rPr>
              <w:rFonts w:hint="eastAsia" w:ascii="宋体" w:hAnsi="宋体" w:cs="宋体"/>
            </w:rPr>
          </w:pPr>
          <w:r>
            <w:fldChar w:fldCharType="begin"/>
          </w:r>
          <w:r>
            <w:instrText xml:space="preserve"> HYPERLINK \l "_Toc5153" </w:instrText>
          </w:r>
          <w:r>
            <w:fldChar w:fldCharType="separate"/>
          </w:r>
          <w:r>
            <w:rPr>
              <w:rFonts w:hint="eastAsia" w:ascii="宋体" w:hAnsi="宋体" w:cs="宋体"/>
              <w:bCs/>
              <w:szCs w:val="28"/>
            </w:rPr>
            <w:t>2.7 风险技术方向识别</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_Toc5153 \h </w:instrText>
          </w:r>
          <w:r>
            <w:rPr>
              <w:rFonts w:hint="eastAsia" w:ascii="宋体" w:hAnsi="宋体" w:cs="宋体"/>
            </w:rPr>
            <w:fldChar w:fldCharType="separate"/>
          </w:r>
          <w:r>
            <w:rPr>
              <w:rFonts w:hint="eastAsia" w:ascii="宋体" w:hAnsi="宋体" w:cs="宋体"/>
            </w:rPr>
            <w:t>33</w:t>
          </w:r>
          <w:r>
            <w:rPr>
              <w:rFonts w:hint="eastAsia" w:ascii="宋体" w:hAnsi="宋体" w:cs="宋体"/>
            </w:rPr>
            <w:fldChar w:fldCharType="end"/>
          </w:r>
          <w:r>
            <w:rPr>
              <w:rFonts w:hint="eastAsia" w:ascii="宋体" w:hAnsi="宋体" w:cs="宋体"/>
            </w:rPr>
            <w:fldChar w:fldCharType="end"/>
          </w:r>
        </w:p>
        <w:p>
          <w:pPr>
            <w:pStyle w:val="14"/>
            <w:tabs>
              <w:tab w:val="right" w:leader="dot" w:pos="8306"/>
            </w:tabs>
            <w:ind w:firstLine="480"/>
            <w:rPr>
              <w:rFonts w:hint="eastAsia" w:ascii="宋体" w:hAnsi="宋体" w:cs="宋体"/>
            </w:rPr>
          </w:pPr>
          <w:r>
            <w:fldChar w:fldCharType="begin"/>
          </w:r>
          <w:r>
            <w:instrText xml:space="preserve"> HYPERLINK \l "_Toc13502" </w:instrText>
          </w:r>
          <w:r>
            <w:fldChar w:fldCharType="separate"/>
          </w:r>
          <w:r>
            <w:rPr>
              <w:rFonts w:hint="eastAsia" w:ascii="宋体" w:hAnsi="宋体" w:cs="宋体"/>
            </w:rPr>
            <w:t>第三章 产业知识产权司法实践</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_Toc13502 \h </w:instrText>
          </w:r>
          <w:r>
            <w:rPr>
              <w:rFonts w:hint="eastAsia" w:ascii="宋体" w:hAnsi="宋体" w:cs="宋体"/>
            </w:rPr>
            <w:fldChar w:fldCharType="separate"/>
          </w:r>
          <w:r>
            <w:rPr>
              <w:rFonts w:hint="eastAsia" w:ascii="宋体" w:hAnsi="宋体" w:cs="宋体"/>
            </w:rPr>
            <w:t>35</w:t>
          </w:r>
          <w:r>
            <w:rPr>
              <w:rFonts w:hint="eastAsia" w:ascii="宋体" w:hAnsi="宋体" w:cs="宋体"/>
            </w:rPr>
            <w:fldChar w:fldCharType="end"/>
          </w:r>
          <w:r>
            <w:rPr>
              <w:rFonts w:hint="eastAsia" w:ascii="宋体" w:hAnsi="宋体" w:cs="宋体"/>
            </w:rPr>
            <w:fldChar w:fldCharType="end"/>
          </w:r>
        </w:p>
        <w:p>
          <w:pPr>
            <w:pStyle w:val="17"/>
            <w:tabs>
              <w:tab w:val="right" w:leader="dot" w:pos="8306"/>
            </w:tabs>
            <w:ind w:left="480" w:firstLine="480"/>
            <w:rPr>
              <w:rFonts w:hint="eastAsia" w:ascii="宋体" w:hAnsi="宋体" w:cs="宋体"/>
            </w:rPr>
          </w:pPr>
          <w:r>
            <w:fldChar w:fldCharType="begin"/>
          </w:r>
          <w:r>
            <w:instrText xml:space="preserve"> HYPERLINK \l "_Toc32281" </w:instrText>
          </w:r>
          <w:r>
            <w:fldChar w:fldCharType="separate"/>
          </w:r>
          <w:r>
            <w:rPr>
              <w:rFonts w:hint="eastAsia" w:ascii="宋体" w:hAnsi="宋体" w:cs="宋体"/>
              <w:bCs/>
              <w:szCs w:val="28"/>
            </w:rPr>
            <w:t>3.1 商标</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_Toc32281 \h </w:instrText>
          </w:r>
          <w:r>
            <w:rPr>
              <w:rFonts w:hint="eastAsia" w:ascii="宋体" w:hAnsi="宋体" w:cs="宋体"/>
            </w:rPr>
            <w:fldChar w:fldCharType="separate"/>
          </w:r>
          <w:r>
            <w:rPr>
              <w:rFonts w:hint="eastAsia" w:ascii="宋体" w:hAnsi="宋体" w:cs="宋体"/>
            </w:rPr>
            <w:t>35</w:t>
          </w:r>
          <w:r>
            <w:rPr>
              <w:rFonts w:hint="eastAsia" w:ascii="宋体" w:hAnsi="宋体" w:cs="宋体"/>
            </w:rPr>
            <w:fldChar w:fldCharType="end"/>
          </w:r>
          <w:r>
            <w:rPr>
              <w:rFonts w:hint="eastAsia" w:ascii="宋体" w:hAnsi="宋体" w:cs="宋体"/>
            </w:rPr>
            <w:fldChar w:fldCharType="end"/>
          </w:r>
        </w:p>
        <w:p>
          <w:pPr>
            <w:pStyle w:val="17"/>
            <w:tabs>
              <w:tab w:val="right" w:leader="dot" w:pos="8306"/>
            </w:tabs>
            <w:ind w:left="480" w:firstLine="480"/>
            <w:rPr>
              <w:rFonts w:hint="eastAsia" w:ascii="宋体" w:hAnsi="宋体" w:cs="宋体"/>
            </w:rPr>
          </w:pPr>
          <w:r>
            <w:fldChar w:fldCharType="begin"/>
          </w:r>
          <w:r>
            <w:instrText xml:space="preserve"> HYPERLINK \l "_Toc2017" </w:instrText>
          </w:r>
          <w:r>
            <w:fldChar w:fldCharType="separate"/>
          </w:r>
          <w:r>
            <w:rPr>
              <w:rFonts w:hint="eastAsia" w:ascii="宋体" w:hAnsi="宋体" w:cs="宋体"/>
              <w:bCs/>
              <w:szCs w:val="28"/>
            </w:rPr>
            <w:t>3.2 不正当竞争</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_Toc2017 \h </w:instrText>
          </w:r>
          <w:r>
            <w:rPr>
              <w:rFonts w:hint="eastAsia" w:ascii="宋体" w:hAnsi="宋体" w:cs="宋体"/>
            </w:rPr>
            <w:fldChar w:fldCharType="separate"/>
          </w:r>
          <w:r>
            <w:rPr>
              <w:rFonts w:hint="eastAsia" w:ascii="宋体" w:hAnsi="宋体" w:cs="宋体"/>
            </w:rPr>
            <w:t>38</w:t>
          </w:r>
          <w:r>
            <w:rPr>
              <w:rFonts w:hint="eastAsia" w:ascii="宋体" w:hAnsi="宋体" w:cs="宋体"/>
            </w:rPr>
            <w:fldChar w:fldCharType="end"/>
          </w:r>
          <w:r>
            <w:rPr>
              <w:rFonts w:hint="eastAsia" w:ascii="宋体" w:hAnsi="宋体" w:cs="宋体"/>
            </w:rPr>
            <w:fldChar w:fldCharType="end"/>
          </w:r>
        </w:p>
        <w:p>
          <w:pPr>
            <w:pStyle w:val="17"/>
            <w:tabs>
              <w:tab w:val="right" w:leader="dot" w:pos="8306"/>
            </w:tabs>
            <w:ind w:left="480" w:firstLine="480"/>
            <w:rPr>
              <w:rFonts w:hint="eastAsia" w:ascii="宋体" w:hAnsi="宋体" w:cs="宋体"/>
            </w:rPr>
          </w:pPr>
          <w:r>
            <w:fldChar w:fldCharType="begin"/>
          </w:r>
          <w:r>
            <w:instrText xml:space="preserve"> HYPERLINK \l "_Toc17077" </w:instrText>
          </w:r>
          <w:r>
            <w:fldChar w:fldCharType="separate"/>
          </w:r>
          <w:r>
            <w:rPr>
              <w:rFonts w:hint="eastAsia" w:ascii="宋体" w:hAnsi="宋体" w:cs="宋体"/>
              <w:bCs/>
              <w:szCs w:val="28"/>
            </w:rPr>
            <w:t>3.3 软著</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_Toc17077 \h </w:instrText>
          </w:r>
          <w:r>
            <w:rPr>
              <w:rFonts w:hint="eastAsia" w:ascii="宋体" w:hAnsi="宋体" w:cs="宋体"/>
            </w:rPr>
            <w:fldChar w:fldCharType="separate"/>
          </w:r>
          <w:r>
            <w:rPr>
              <w:rFonts w:hint="eastAsia" w:ascii="宋体" w:hAnsi="宋体" w:cs="宋体"/>
            </w:rPr>
            <w:t>40</w:t>
          </w:r>
          <w:r>
            <w:rPr>
              <w:rFonts w:hint="eastAsia" w:ascii="宋体" w:hAnsi="宋体" w:cs="宋体"/>
            </w:rPr>
            <w:fldChar w:fldCharType="end"/>
          </w:r>
          <w:r>
            <w:rPr>
              <w:rFonts w:hint="eastAsia" w:ascii="宋体" w:hAnsi="宋体" w:cs="宋体"/>
            </w:rPr>
            <w:fldChar w:fldCharType="end"/>
          </w:r>
        </w:p>
        <w:p>
          <w:pPr>
            <w:pStyle w:val="17"/>
            <w:tabs>
              <w:tab w:val="right" w:leader="dot" w:pos="8306"/>
            </w:tabs>
            <w:ind w:left="480" w:firstLine="480"/>
            <w:rPr>
              <w:rFonts w:hint="eastAsia" w:ascii="宋体" w:hAnsi="宋体" w:cs="宋体"/>
            </w:rPr>
          </w:pPr>
          <w:r>
            <w:fldChar w:fldCharType="begin"/>
          </w:r>
          <w:r>
            <w:instrText xml:space="preserve"> HYPERLINK \l "_Toc11427" </w:instrText>
          </w:r>
          <w:r>
            <w:fldChar w:fldCharType="separate"/>
          </w:r>
          <w:r>
            <w:rPr>
              <w:rFonts w:hint="eastAsia" w:ascii="宋体" w:hAnsi="宋体" w:cs="宋体"/>
              <w:bCs/>
              <w:szCs w:val="28"/>
            </w:rPr>
            <w:t>3.4 专利</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_Toc11427 \h </w:instrText>
          </w:r>
          <w:r>
            <w:rPr>
              <w:rFonts w:hint="eastAsia" w:ascii="宋体" w:hAnsi="宋体" w:cs="宋体"/>
            </w:rPr>
            <w:fldChar w:fldCharType="separate"/>
          </w:r>
          <w:r>
            <w:rPr>
              <w:rFonts w:hint="eastAsia" w:ascii="宋体" w:hAnsi="宋体" w:cs="宋体"/>
            </w:rPr>
            <w:t>42</w:t>
          </w:r>
          <w:r>
            <w:rPr>
              <w:rFonts w:hint="eastAsia" w:ascii="宋体" w:hAnsi="宋体" w:cs="宋体"/>
            </w:rPr>
            <w:fldChar w:fldCharType="end"/>
          </w:r>
          <w:r>
            <w:rPr>
              <w:rFonts w:hint="eastAsia" w:ascii="宋体" w:hAnsi="宋体" w:cs="宋体"/>
            </w:rPr>
            <w:fldChar w:fldCharType="end"/>
          </w:r>
        </w:p>
        <w:p>
          <w:pPr>
            <w:pStyle w:val="14"/>
            <w:tabs>
              <w:tab w:val="right" w:leader="dot" w:pos="8306"/>
            </w:tabs>
            <w:ind w:firstLine="480"/>
            <w:rPr>
              <w:rFonts w:hint="eastAsia" w:ascii="宋体" w:hAnsi="宋体" w:cs="宋体"/>
            </w:rPr>
          </w:pPr>
          <w:r>
            <w:fldChar w:fldCharType="begin"/>
          </w:r>
          <w:r>
            <w:instrText xml:space="preserve"> HYPERLINK \l "_Toc30405" </w:instrText>
          </w:r>
          <w:r>
            <w:fldChar w:fldCharType="separate"/>
          </w:r>
          <w:r>
            <w:rPr>
              <w:rFonts w:hint="eastAsia" w:ascii="宋体" w:hAnsi="宋体" w:cs="宋体"/>
            </w:rPr>
            <w:t>第四章 重点国家或地区知识产权相关法律法规汇总分析</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_Toc30405 \h </w:instrText>
          </w:r>
          <w:r>
            <w:rPr>
              <w:rFonts w:hint="eastAsia" w:ascii="宋体" w:hAnsi="宋体" w:cs="宋体"/>
            </w:rPr>
            <w:fldChar w:fldCharType="separate"/>
          </w:r>
          <w:r>
            <w:rPr>
              <w:rFonts w:hint="eastAsia" w:ascii="宋体" w:hAnsi="宋体" w:cs="宋体"/>
            </w:rPr>
            <w:t>44</w:t>
          </w:r>
          <w:r>
            <w:rPr>
              <w:rFonts w:hint="eastAsia" w:ascii="宋体" w:hAnsi="宋体" w:cs="宋体"/>
            </w:rPr>
            <w:fldChar w:fldCharType="end"/>
          </w:r>
          <w:r>
            <w:rPr>
              <w:rFonts w:hint="eastAsia" w:ascii="宋体" w:hAnsi="宋体" w:cs="宋体"/>
            </w:rPr>
            <w:fldChar w:fldCharType="end"/>
          </w:r>
        </w:p>
        <w:p>
          <w:pPr>
            <w:pStyle w:val="17"/>
            <w:tabs>
              <w:tab w:val="right" w:leader="dot" w:pos="8306"/>
            </w:tabs>
            <w:ind w:left="480" w:firstLine="480"/>
            <w:rPr>
              <w:rFonts w:hint="eastAsia" w:ascii="宋体" w:hAnsi="宋体" w:cs="宋体"/>
            </w:rPr>
          </w:pPr>
          <w:r>
            <w:fldChar w:fldCharType="begin"/>
          </w:r>
          <w:r>
            <w:instrText xml:space="preserve"> HYPERLINK \l "_Toc15116" </w:instrText>
          </w:r>
          <w:r>
            <w:fldChar w:fldCharType="separate"/>
          </w:r>
          <w:r>
            <w:rPr>
              <w:rFonts w:hint="eastAsia" w:ascii="宋体" w:hAnsi="宋体" w:cs="宋体"/>
              <w:bCs/>
              <w:szCs w:val="28"/>
            </w:rPr>
            <w:t>4.1 美国知识产权风险防控分析</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_Toc15116 \h </w:instrText>
          </w:r>
          <w:r>
            <w:rPr>
              <w:rFonts w:hint="eastAsia" w:ascii="宋体" w:hAnsi="宋体" w:cs="宋体"/>
            </w:rPr>
            <w:fldChar w:fldCharType="separate"/>
          </w:r>
          <w:r>
            <w:rPr>
              <w:rFonts w:hint="eastAsia" w:ascii="宋体" w:hAnsi="宋体" w:cs="宋体"/>
            </w:rPr>
            <w:t>44</w:t>
          </w:r>
          <w:r>
            <w:rPr>
              <w:rFonts w:hint="eastAsia" w:ascii="宋体" w:hAnsi="宋体" w:cs="宋体"/>
            </w:rPr>
            <w:fldChar w:fldCharType="end"/>
          </w:r>
          <w:r>
            <w:rPr>
              <w:rFonts w:hint="eastAsia" w:ascii="宋体" w:hAnsi="宋体" w:cs="宋体"/>
            </w:rPr>
            <w:fldChar w:fldCharType="end"/>
          </w:r>
        </w:p>
        <w:p>
          <w:pPr>
            <w:pStyle w:val="11"/>
            <w:tabs>
              <w:tab w:val="right" w:leader="dot" w:pos="8306"/>
            </w:tabs>
            <w:ind w:left="960" w:firstLine="480"/>
            <w:rPr>
              <w:rFonts w:hint="eastAsia" w:ascii="宋体" w:hAnsi="宋体" w:cs="宋体"/>
            </w:rPr>
          </w:pPr>
          <w:r>
            <w:fldChar w:fldCharType="begin"/>
          </w:r>
          <w:r>
            <w:instrText xml:space="preserve"> HYPERLINK \l "_Toc5859" </w:instrText>
          </w:r>
          <w:r>
            <w:fldChar w:fldCharType="separate"/>
          </w:r>
          <w:r>
            <w:rPr>
              <w:rFonts w:hint="eastAsia" w:ascii="宋体" w:hAnsi="宋体" w:cs="宋体"/>
              <w:kern w:val="0"/>
              <w:szCs w:val="28"/>
            </w:rPr>
            <w:t>4.1.1 美国专利侵权行为的认定</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_Toc5859 \h </w:instrText>
          </w:r>
          <w:r>
            <w:rPr>
              <w:rFonts w:hint="eastAsia" w:ascii="宋体" w:hAnsi="宋体" w:cs="宋体"/>
            </w:rPr>
            <w:fldChar w:fldCharType="separate"/>
          </w:r>
          <w:r>
            <w:rPr>
              <w:rFonts w:hint="eastAsia" w:ascii="宋体" w:hAnsi="宋体" w:cs="宋体"/>
            </w:rPr>
            <w:t>44</w:t>
          </w:r>
          <w:r>
            <w:rPr>
              <w:rFonts w:hint="eastAsia" w:ascii="宋体" w:hAnsi="宋体" w:cs="宋体"/>
            </w:rPr>
            <w:fldChar w:fldCharType="end"/>
          </w:r>
          <w:r>
            <w:rPr>
              <w:rFonts w:hint="eastAsia" w:ascii="宋体" w:hAnsi="宋体" w:cs="宋体"/>
            </w:rPr>
            <w:fldChar w:fldCharType="end"/>
          </w:r>
        </w:p>
        <w:p>
          <w:pPr>
            <w:pStyle w:val="11"/>
            <w:tabs>
              <w:tab w:val="right" w:leader="dot" w:pos="8306"/>
            </w:tabs>
            <w:ind w:left="960" w:firstLine="480"/>
            <w:rPr>
              <w:rFonts w:hint="eastAsia" w:ascii="宋体" w:hAnsi="宋体" w:cs="宋体"/>
            </w:rPr>
          </w:pPr>
          <w:r>
            <w:fldChar w:fldCharType="begin"/>
          </w:r>
          <w:r>
            <w:instrText xml:space="preserve"> HYPERLINK \l "_Toc5964" </w:instrText>
          </w:r>
          <w:r>
            <w:fldChar w:fldCharType="separate"/>
          </w:r>
          <w:r>
            <w:rPr>
              <w:rFonts w:hint="eastAsia" w:ascii="宋体" w:hAnsi="宋体" w:cs="宋体"/>
              <w:kern w:val="0"/>
              <w:szCs w:val="28"/>
            </w:rPr>
            <w:t>4.1.2 “337调查”及常规应对策略</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_Toc5964 \h </w:instrText>
          </w:r>
          <w:r>
            <w:rPr>
              <w:rFonts w:hint="eastAsia" w:ascii="宋体" w:hAnsi="宋体" w:cs="宋体"/>
            </w:rPr>
            <w:fldChar w:fldCharType="separate"/>
          </w:r>
          <w:r>
            <w:rPr>
              <w:rFonts w:hint="eastAsia" w:ascii="宋体" w:hAnsi="宋体" w:cs="宋体"/>
            </w:rPr>
            <w:t>46</w:t>
          </w:r>
          <w:r>
            <w:rPr>
              <w:rFonts w:hint="eastAsia" w:ascii="宋体" w:hAnsi="宋体" w:cs="宋体"/>
            </w:rPr>
            <w:fldChar w:fldCharType="end"/>
          </w:r>
          <w:r>
            <w:rPr>
              <w:rFonts w:hint="eastAsia" w:ascii="宋体" w:hAnsi="宋体" w:cs="宋体"/>
            </w:rPr>
            <w:fldChar w:fldCharType="end"/>
          </w:r>
        </w:p>
        <w:p>
          <w:pPr>
            <w:pStyle w:val="11"/>
            <w:tabs>
              <w:tab w:val="right" w:leader="dot" w:pos="8306"/>
            </w:tabs>
            <w:ind w:left="960" w:firstLine="480"/>
            <w:rPr>
              <w:rFonts w:hint="eastAsia" w:ascii="宋体" w:hAnsi="宋体" w:cs="宋体"/>
            </w:rPr>
          </w:pPr>
          <w:r>
            <w:fldChar w:fldCharType="begin"/>
          </w:r>
          <w:r>
            <w:instrText xml:space="preserve"> HYPERLINK \l "_Toc28787" </w:instrText>
          </w:r>
          <w:r>
            <w:fldChar w:fldCharType="separate"/>
          </w:r>
          <w:r>
            <w:rPr>
              <w:rFonts w:hint="eastAsia" w:ascii="宋体" w:hAnsi="宋体" w:cs="宋体"/>
              <w:kern w:val="0"/>
              <w:szCs w:val="28"/>
            </w:rPr>
            <w:t>4.1.3 美国专利诉讼及常规应对策略</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_Toc28787 \h </w:instrText>
          </w:r>
          <w:r>
            <w:rPr>
              <w:rFonts w:hint="eastAsia" w:ascii="宋体" w:hAnsi="宋体" w:cs="宋体"/>
            </w:rPr>
            <w:fldChar w:fldCharType="separate"/>
          </w:r>
          <w:r>
            <w:rPr>
              <w:rFonts w:hint="eastAsia" w:ascii="宋体" w:hAnsi="宋体" w:cs="宋体"/>
            </w:rPr>
            <w:t>50</w:t>
          </w:r>
          <w:r>
            <w:rPr>
              <w:rFonts w:hint="eastAsia" w:ascii="宋体" w:hAnsi="宋体" w:cs="宋体"/>
            </w:rPr>
            <w:fldChar w:fldCharType="end"/>
          </w:r>
          <w:r>
            <w:rPr>
              <w:rFonts w:hint="eastAsia" w:ascii="宋体" w:hAnsi="宋体" w:cs="宋体"/>
            </w:rPr>
            <w:fldChar w:fldCharType="end"/>
          </w:r>
        </w:p>
        <w:p>
          <w:pPr>
            <w:pStyle w:val="11"/>
            <w:tabs>
              <w:tab w:val="right" w:leader="dot" w:pos="8306"/>
            </w:tabs>
            <w:ind w:left="960" w:firstLine="480"/>
            <w:rPr>
              <w:rFonts w:hint="eastAsia" w:ascii="宋体" w:hAnsi="宋体" w:cs="宋体"/>
            </w:rPr>
          </w:pPr>
          <w:r>
            <w:fldChar w:fldCharType="begin"/>
          </w:r>
          <w:r>
            <w:instrText xml:space="preserve"> HYPERLINK \l "_Toc21324" </w:instrText>
          </w:r>
          <w:r>
            <w:fldChar w:fldCharType="separate"/>
          </w:r>
          <w:r>
            <w:rPr>
              <w:rFonts w:hint="eastAsia" w:ascii="宋体" w:hAnsi="宋体" w:cs="宋体"/>
              <w:kern w:val="0"/>
              <w:szCs w:val="28"/>
            </w:rPr>
            <w:t>4.1.4 美国侵权诉讼中的反诉及抗辩</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_Toc21324 \h </w:instrText>
          </w:r>
          <w:r>
            <w:rPr>
              <w:rFonts w:hint="eastAsia" w:ascii="宋体" w:hAnsi="宋体" w:cs="宋体"/>
            </w:rPr>
            <w:fldChar w:fldCharType="separate"/>
          </w:r>
          <w:r>
            <w:rPr>
              <w:rFonts w:hint="eastAsia" w:ascii="宋体" w:hAnsi="宋体" w:cs="宋体"/>
            </w:rPr>
            <w:t>52</w:t>
          </w:r>
          <w:r>
            <w:rPr>
              <w:rFonts w:hint="eastAsia" w:ascii="宋体" w:hAnsi="宋体" w:cs="宋体"/>
            </w:rPr>
            <w:fldChar w:fldCharType="end"/>
          </w:r>
          <w:r>
            <w:rPr>
              <w:rFonts w:hint="eastAsia" w:ascii="宋体" w:hAnsi="宋体" w:cs="宋体"/>
            </w:rPr>
            <w:fldChar w:fldCharType="end"/>
          </w:r>
        </w:p>
        <w:p>
          <w:pPr>
            <w:pStyle w:val="17"/>
            <w:tabs>
              <w:tab w:val="right" w:leader="dot" w:pos="8306"/>
            </w:tabs>
            <w:ind w:left="480" w:firstLine="480"/>
            <w:rPr>
              <w:rFonts w:hint="eastAsia" w:ascii="宋体" w:hAnsi="宋体" w:cs="宋体"/>
            </w:rPr>
          </w:pPr>
          <w:r>
            <w:fldChar w:fldCharType="begin"/>
          </w:r>
          <w:r>
            <w:instrText xml:space="preserve"> HYPERLINK \l "_Toc10118" </w:instrText>
          </w:r>
          <w:r>
            <w:fldChar w:fldCharType="separate"/>
          </w:r>
          <w:r>
            <w:rPr>
              <w:rFonts w:hint="eastAsia" w:ascii="宋体" w:hAnsi="宋体" w:cs="宋体"/>
              <w:bCs/>
              <w:szCs w:val="28"/>
            </w:rPr>
            <w:t>4.2 日本知识产权风险防控分析</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_Toc10118 \h </w:instrText>
          </w:r>
          <w:r>
            <w:rPr>
              <w:rFonts w:hint="eastAsia" w:ascii="宋体" w:hAnsi="宋体" w:cs="宋体"/>
            </w:rPr>
            <w:fldChar w:fldCharType="separate"/>
          </w:r>
          <w:r>
            <w:rPr>
              <w:rFonts w:hint="eastAsia" w:ascii="宋体" w:hAnsi="宋体" w:cs="宋体"/>
            </w:rPr>
            <w:t>56</w:t>
          </w:r>
          <w:r>
            <w:rPr>
              <w:rFonts w:hint="eastAsia" w:ascii="宋体" w:hAnsi="宋体" w:cs="宋体"/>
            </w:rPr>
            <w:fldChar w:fldCharType="end"/>
          </w:r>
          <w:r>
            <w:rPr>
              <w:rFonts w:hint="eastAsia" w:ascii="宋体" w:hAnsi="宋体" w:cs="宋体"/>
            </w:rPr>
            <w:fldChar w:fldCharType="end"/>
          </w:r>
        </w:p>
        <w:p>
          <w:pPr>
            <w:pStyle w:val="11"/>
            <w:tabs>
              <w:tab w:val="right" w:leader="dot" w:pos="8306"/>
            </w:tabs>
            <w:ind w:left="960" w:firstLine="480"/>
            <w:rPr>
              <w:rFonts w:hint="eastAsia" w:ascii="宋体" w:hAnsi="宋体" w:cs="宋体"/>
            </w:rPr>
          </w:pPr>
          <w:r>
            <w:fldChar w:fldCharType="begin"/>
          </w:r>
          <w:r>
            <w:instrText xml:space="preserve"> HYPERLINK \l "_Toc7543" </w:instrText>
          </w:r>
          <w:r>
            <w:fldChar w:fldCharType="separate"/>
          </w:r>
          <w:r>
            <w:rPr>
              <w:rFonts w:hint="eastAsia" w:ascii="宋体" w:hAnsi="宋体" w:cs="宋体"/>
              <w:kern w:val="0"/>
              <w:szCs w:val="28"/>
            </w:rPr>
            <w:t>4.2.1 日本专利侵权行为</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_Toc7543 \h </w:instrText>
          </w:r>
          <w:r>
            <w:rPr>
              <w:rFonts w:hint="eastAsia" w:ascii="宋体" w:hAnsi="宋体" w:cs="宋体"/>
            </w:rPr>
            <w:fldChar w:fldCharType="separate"/>
          </w:r>
          <w:r>
            <w:rPr>
              <w:rFonts w:hint="eastAsia" w:ascii="宋体" w:hAnsi="宋体" w:cs="宋体"/>
            </w:rPr>
            <w:t>56</w:t>
          </w:r>
          <w:r>
            <w:rPr>
              <w:rFonts w:hint="eastAsia" w:ascii="宋体" w:hAnsi="宋体" w:cs="宋体"/>
            </w:rPr>
            <w:fldChar w:fldCharType="end"/>
          </w:r>
          <w:r>
            <w:rPr>
              <w:rFonts w:hint="eastAsia" w:ascii="宋体" w:hAnsi="宋体" w:cs="宋体"/>
            </w:rPr>
            <w:fldChar w:fldCharType="end"/>
          </w:r>
        </w:p>
        <w:p>
          <w:pPr>
            <w:pStyle w:val="11"/>
            <w:tabs>
              <w:tab w:val="right" w:leader="dot" w:pos="8306"/>
            </w:tabs>
            <w:ind w:left="960" w:firstLine="480"/>
            <w:rPr>
              <w:rFonts w:hint="eastAsia" w:ascii="宋体" w:hAnsi="宋体" w:cs="宋体"/>
            </w:rPr>
          </w:pPr>
          <w:r>
            <w:fldChar w:fldCharType="begin"/>
          </w:r>
          <w:r>
            <w:instrText xml:space="preserve"> HYPERLINK \l "_Toc26869" </w:instrText>
          </w:r>
          <w:r>
            <w:fldChar w:fldCharType="separate"/>
          </w:r>
          <w:r>
            <w:rPr>
              <w:rFonts w:hint="eastAsia" w:ascii="宋体" w:hAnsi="宋体" w:cs="宋体"/>
              <w:kern w:val="0"/>
              <w:szCs w:val="28"/>
            </w:rPr>
            <w:t>4.2.2 日本专利侵权诉讼的反诉及抗辩</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_Toc26869 \h </w:instrText>
          </w:r>
          <w:r>
            <w:rPr>
              <w:rFonts w:hint="eastAsia" w:ascii="宋体" w:hAnsi="宋体" w:cs="宋体"/>
            </w:rPr>
            <w:fldChar w:fldCharType="separate"/>
          </w:r>
          <w:r>
            <w:rPr>
              <w:rFonts w:hint="eastAsia" w:ascii="宋体" w:hAnsi="宋体" w:cs="宋体"/>
            </w:rPr>
            <w:t>58</w:t>
          </w:r>
          <w:r>
            <w:rPr>
              <w:rFonts w:hint="eastAsia" w:ascii="宋体" w:hAnsi="宋体" w:cs="宋体"/>
            </w:rPr>
            <w:fldChar w:fldCharType="end"/>
          </w:r>
          <w:r>
            <w:rPr>
              <w:rFonts w:hint="eastAsia" w:ascii="宋体" w:hAnsi="宋体" w:cs="宋体"/>
            </w:rPr>
            <w:fldChar w:fldCharType="end"/>
          </w:r>
        </w:p>
        <w:p>
          <w:pPr>
            <w:pStyle w:val="17"/>
            <w:tabs>
              <w:tab w:val="right" w:leader="dot" w:pos="8306"/>
            </w:tabs>
            <w:ind w:left="480" w:firstLine="480"/>
            <w:rPr>
              <w:rFonts w:hint="eastAsia" w:ascii="宋体" w:hAnsi="宋体" w:cs="宋体"/>
            </w:rPr>
          </w:pPr>
          <w:r>
            <w:fldChar w:fldCharType="begin"/>
          </w:r>
          <w:r>
            <w:instrText xml:space="preserve"> HYPERLINK \l "_Toc12023" </w:instrText>
          </w:r>
          <w:r>
            <w:fldChar w:fldCharType="separate"/>
          </w:r>
          <w:r>
            <w:rPr>
              <w:rFonts w:hint="eastAsia" w:ascii="宋体" w:hAnsi="宋体" w:cs="宋体"/>
              <w:bCs/>
              <w:szCs w:val="28"/>
            </w:rPr>
            <w:t>4.3 英国知识产权风险防控分析</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_Toc12023 \h </w:instrText>
          </w:r>
          <w:r>
            <w:rPr>
              <w:rFonts w:hint="eastAsia" w:ascii="宋体" w:hAnsi="宋体" w:cs="宋体"/>
            </w:rPr>
            <w:fldChar w:fldCharType="separate"/>
          </w:r>
          <w:r>
            <w:rPr>
              <w:rFonts w:hint="eastAsia" w:ascii="宋体" w:hAnsi="宋体" w:cs="宋体"/>
            </w:rPr>
            <w:t>64</w:t>
          </w:r>
          <w:r>
            <w:rPr>
              <w:rFonts w:hint="eastAsia" w:ascii="宋体" w:hAnsi="宋体" w:cs="宋体"/>
            </w:rPr>
            <w:fldChar w:fldCharType="end"/>
          </w:r>
          <w:r>
            <w:rPr>
              <w:rFonts w:hint="eastAsia" w:ascii="宋体" w:hAnsi="宋体" w:cs="宋体"/>
            </w:rPr>
            <w:fldChar w:fldCharType="end"/>
          </w:r>
        </w:p>
        <w:p>
          <w:pPr>
            <w:pStyle w:val="11"/>
            <w:tabs>
              <w:tab w:val="right" w:leader="dot" w:pos="8306"/>
            </w:tabs>
            <w:ind w:left="960" w:firstLine="480"/>
            <w:rPr>
              <w:rFonts w:hint="eastAsia" w:ascii="宋体" w:hAnsi="宋体" w:cs="宋体"/>
            </w:rPr>
          </w:pPr>
          <w:r>
            <w:fldChar w:fldCharType="begin"/>
          </w:r>
          <w:r>
            <w:instrText xml:space="preserve"> HYPERLINK \l "_Toc4655" </w:instrText>
          </w:r>
          <w:r>
            <w:fldChar w:fldCharType="separate"/>
          </w:r>
          <w:r>
            <w:rPr>
              <w:rFonts w:hint="eastAsia" w:ascii="宋体" w:hAnsi="宋体" w:cs="宋体"/>
              <w:kern w:val="0"/>
              <w:szCs w:val="28"/>
            </w:rPr>
            <w:t>4.3.1 英国专利侵权行为</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_Toc4655 \h </w:instrText>
          </w:r>
          <w:r>
            <w:rPr>
              <w:rFonts w:hint="eastAsia" w:ascii="宋体" w:hAnsi="宋体" w:cs="宋体"/>
            </w:rPr>
            <w:fldChar w:fldCharType="separate"/>
          </w:r>
          <w:r>
            <w:rPr>
              <w:rFonts w:hint="eastAsia" w:ascii="宋体" w:hAnsi="宋体" w:cs="宋体"/>
            </w:rPr>
            <w:t>64</w:t>
          </w:r>
          <w:r>
            <w:rPr>
              <w:rFonts w:hint="eastAsia" w:ascii="宋体" w:hAnsi="宋体" w:cs="宋体"/>
            </w:rPr>
            <w:fldChar w:fldCharType="end"/>
          </w:r>
          <w:r>
            <w:rPr>
              <w:rFonts w:hint="eastAsia" w:ascii="宋体" w:hAnsi="宋体" w:cs="宋体"/>
            </w:rPr>
            <w:fldChar w:fldCharType="end"/>
          </w:r>
        </w:p>
        <w:p>
          <w:pPr>
            <w:pStyle w:val="11"/>
            <w:tabs>
              <w:tab w:val="right" w:leader="dot" w:pos="8306"/>
            </w:tabs>
            <w:ind w:left="960" w:firstLine="480"/>
            <w:rPr>
              <w:rFonts w:hint="eastAsia" w:ascii="宋体" w:hAnsi="宋体" w:cs="宋体"/>
            </w:rPr>
          </w:pPr>
          <w:r>
            <w:fldChar w:fldCharType="begin"/>
          </w:r>
          <w:r>
            <w:instrText xml:space="preserve"> HYPERLINK \l "_Toc31937" </w:instrText>
          </w:r>
          <w:r>
            <w:fldChar w:fldCharType="separate"/>
          </w:r>
          <w:r>
            <w:rPr>
              <w:rFonts w:hint="eastAsia" w:ascii="宋体" w:hAnsi="宋体" w:cs="宋体"/>
              <w:kern w:val="0"/>
              <w:szCs w:val="28"/>
            </w:rPr>
            <w:t>4.3.2 英国专利侵权的反诉及抗辩</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_Toc31937 \h </w:instrText>
          </w:r>
          <w:r>
            <w:rPr>
              <w:rFonts w:hint="eastAsia" w:ascii="宋体" w:hAnsi="宋体" w:cs="宋体"/>
            </w:rPr>
            <w:fldChar w:fldCharType="separate"/>
          </w:r>
          <w:r>
            <w:rPr>
              <w:rFonts w:hint="eastAsia" w:ascii="宋体" w:hAnsi="宋体" w:cs="宋体"/>
            </w:rPr>
            <w:t>65</w:t>
          </w:r>
          <w:r>
            <w:rPr>
              <w:rFonts w:hint="eastAsia" w:ascii="宋体" w:hAnsi="宋体" w:cs="宋体"/>
            </w:rPr>
            <w:fldChar w:fldCharType="end"/>
          </w:r>
          <w:r>
            <w:rPr>
              <w:rFonts w:hint="eastAsia" w:ascii="宋体" w:hAnsi="宋体" w:cs="宋体"/>
            </w:rPr>
            <w:fldChar w:fldCharType="end"/>
          </w:r>
        </w:p>
        <w:p>
          <w:pPr>
            <w:pStyle w:val="14"/>
            <w:tabs>
              <w:tab w:val="right" w:leader="dot" w:pos="8306"/>
            </w:tabs>
            <w:ind w:firstLine="480"/>
            <w:rPr>
              <w:rFonts w:hint="eastAsia" w:ascii="宋体" w:hAnsi="宋体" w:cs="宋体"/>
            </w:rPr>
          </w:pPr>
          <w:r>
            <w:fldChar w:fldCharType="begin"/>
          </w:r>
          <w:r>
            <w:instrText xml:space="preserve"> HYPERLINK \l "_Toc9353" </w:instrText>
          </w:r>
          <w:r>
            <w:fldChar w:fldCharType="separate"/>
          </w:r>
          <w:r>
            <w:rPr>
              <w:rFonts w:hint="eastAsia" w:ascii="宋体" w:hAnsi="宋体" w:cs="宋体"/>
            </w:rPr>
            <w:t>第五章 应对措施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_Toc9353 \h </w:instrText>
          </w:r>
          <w:r>
            <w:rPr>
              <w:rFonts w:hint="eastAsia" w:ascii="宋体" w:hAnsi="宋体" w:cs="宋体"/>
            </w:rPr>
            <w:fldChar w:fldCharType="separate"/>
          </w:r>
          <w:r>
            <w:rPr>
              <w:rFonts w:hint="eastAsia" w:ascii="宋体" w:hAnsi="宋体" w:cs="宋体"/>
            </w:rPr>
            <w:t>65</w:t>
          </w:r>
          <w:r>
            <w:rPr>
              <w:rFonts w:hint="eastAsia" w:ascii="宋体" w:hAnsi="宋体" w:cs="宋体"/>
            </w:rPr>
            <w:fldChar w:fldCharType="end"/>
          </w:r>
          <w:r>
            <w:rPr>
              <w:rFonts w:hint="eastAsia" w:ascii="宋体" w:hAnsi="宋体" w:cs="宋体"/>
            </w:rPr>
            <w:fldChar w:fldCharType="end"/>
          </w:r>
        </w:p>
        <w:p>
          <w:pPr>
            <w:pStyle w:val="17"/>
            <w:tabs>
              <w:tab w:val="right" w:leader="dot" w:pos="8306"/>
            </w:tabs>
            <w:ind w:left="480" w:firstLine="480"/>
            <w:rPr>
              <w:rFonts w:hint="eastAsia" w:ascii="宋体" w:hAnsi="宋体" w:cs="宋体"/>
            </w:rPr>
          </w:pPr>
          <w:r>
            <w:fldChar w:fldCharType="begin"/>
          </w:r>
          <w:r>
            <w:instrText xml:space="preserve"> HYPERLINK \l "_Toc18984" </w:instrText>
          </w:r>
          <w:r>
            <w:fldChar w:fldCharType="separate"/>
          </w:r>
          <w:r>
            <w:rPr>
              <w:rFonts w:hint="eastAsia" w:ascii="宋体" w:hAnsi="宋体" w:cs="宋体"/>
              <w:bCs/>
              <w:szCs w:val="28"/>
            </w:rPr>
            <w:t>5.1 政府层面海外知识产权风险应对措施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_Toc18984 \h </w:instrText>
          </w:r>
          <w:r>
            <w:rPr>
              <w:rFonts w:hint="eastAsia" w:ascii="宋体" w:hAnsi="宋体" w:cs="宋体"/>
            </w:rPr>
            <w:fldChar w:fldCharType="separate"/>
          </w:r>
          <w:r>
            <w:rPr>
              <w:rFonts w:hint="eastAsia" w:ascii="宋体" w:hAnsi="宋体" w:cs="宋体"/>
            </w:rPr>
            <w:t>68</w:t>
          </w:r>
          <w:r>
            <w:rPr>
              <w:rFonts w:hint="eastAsia" w:ascii="宋体" w:hAnsi="宋体" w:cs="宋体"/>
            </w:rPr>
            <w:fldChar w:fldCharType="end"/>
          </w:r>
          <w:r>
            <w:rPr>
              <w:rFonts w:hint="eastAsia" w:ascii="宋体" w:hAnsi="宋体" w:cs="宋体"/>
            </w:rPr>
            <w:fldChar w:fldCharType="end"/>
          </w:r>
        </w:p>
        <w:p>
          <w:pPr>
            <w:pStyle w:val="17"/>
            <w:tabs>
              <w:tab w:val="right" w:leader="dot" w:pos="8306"/>
            </w:tabs>
            <w:ind w:left="480" w:firstLine="480"/>
            <w:rPr>
              <w:rFonts w:hint="eastAsia" w:ascii="宋体" w:hAnsi="宋体" w:cs="宋体"/>
            </w:rPr>
          </w:pPr>
          <w:r>
            <w:fldChar w:fldCharType="begin"/>
          </w:r>
          <w:r>
            <w:instrText xml:space="preserve"> HYPERLINK \l "_Toc18458" </w:instrText>
          </w:r>
          <w:r>
            <w:fldChar w:fldCharType="separate"/>
          </w:r>
          <w:r>
            <w:rPr>
              <w:rFonts w:hint="eastAsia" w:ascii="宋体" w:hAnsi="宋体" w:cs="宋体"/>
              <w:bCs/>
              <w:szCs w:val="28"/>
            </w:rPr>
            <w:t>5.2 企业层面海外知识产权风险应对措施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_Toc18458 \h </w:instrText>
          </w:r>
          <w:r>
            <w:rPr>
              <w:rFonts w:hint="eastAsia" w:ascii="宋体" w:hAnsi="宋体" w:cs="宋体"/>
            </w:rPr>
            <w:fldChar w:fldCharType="separate"/>
          </w:r>
          <w:r>
            <w:rPr>
              <w:rFonts w:hint="eastAsia" w:ascii="宋体" w:hAnsi="宋体" w:cs="宋体"/>
            </w:rPr>
            <w:t>69</w:t>
          </w:r>
          <w:r>
            <w:rPr>
              <w:rFonts w:hint="eastAsia" w:ascii="宋体" w:hAnsi="宋体" w:cs="宋体"/>
            </w:rPr>
            <w:fldChar w:fldCharType="end"/>
          </w:r>
          <w:r>
            <w:rPr>
              <w:rFonts w:hint="eastAsia" w:ascii="宋体" w:hAnsi="宋体" w:cs="宋体"/>
            </w:rPr>
            <w:fldChar w:fldCharType="end"/>
          </w:r>
        </w:p>
        <w:p>
          <w:pPr>
            <w:pStyle w:val="14"/>
            <w:tabs>
              <w:tab w:val="right" w:leader="dot" w:pos="8306"/>
            </w:tabs>
            <w:ind w:firstLine="480"/>
          </w:pPr>
          <w:r>
            <w:fldChar w:fldCharType="begin"/>
          </w:r>
          <w:r>
            <w:instrText xml:space="preserve"> HYPERLINK \l "_Toc28871" </w:instrText>
          </w:r>
          <w:r>
            <w:fldChar w:fldCharType="separate"/>
          </w:r>
          <w:r>
            <w:rPr>
              <w:rFonts w:hint="eastAsia" w:ascii="宋体" w:hAnsi="宋体" w:cs="宋体"/>
              <w:bCs/>
              <w:szCs w:val="30"/>
            </w:rPr>
            <w:t>附件1：海外知识产权侵权风险防控标准化流程</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_Toc28871 \h </w:instrText>
          </w:r>
          <w:r>
            <w:rPr>
              <w:rFonts w:hint="eastAsia" w:ascii="宋体" w:hAnsi="宋体" w:cs="宋体"/>
            </w:rPr>
            <w:fldChar w:fldCharType="separate"/>
          </w:r>
          <w:r>
            <w:rPr>
              <w:rFonts w:hint="eastAsia" w:ascii="宋体" w:hAnsi="宋体" w:cs="宋体"/>
            </w:rPr>
            <w:t>72</w:t>
          </w:r>
          <w:r>
            <w:rPr>
              <w:rFonts w:hint="eastAsia" w:ascii="宋体" w:hAnsi="宋体" w:cs="宋体"/>
            </w:rPr>
            <w:fldChar w:fldCharType="end"/>
          </w:r>
          <w:r>
            <w:rPr>
              <w:rFonts w:hint="eastAsia" w:ascii="宋体" w:hAnsi="宋体" w:cs="宋体"/>
            </w:rPr>
            <w:fldChar w:fldCharType="end"/>
          </w:r>
        </w:p>
        <w:p>
          <w:pPr>
            <w:ind w:firstLine="0" w:firstLineChars="0"/>
          </w:pPr>
          <w:r>
            <w:rPr>
              <w:rFonts w:hint="eastAsia" w:cs="黑体" w:asciiTheme="minorEastAsia" w:hAnsiTheme="minorEastAsia" w:eastAsiaTheme="minorEastAsia"/>
              <w:bCs/>
            </w:rPr>
            <w:fldChar w:fldCharType="end"/>
          </w:r>
        </w:p>
      </w:sdtContent>
    </w:sdt>
    <w:p>
      <w:pPr>
        <w:pStyle w:val="3"/>
        <w:numPr>
          <w:ilvl w:val="0"/>
          <w:numId w:val="1"/>
        </w:numPr>
        <w:spacing w:before="312" w:after="312"/>
        <w:rPr>
          <w:rFonts w:hint="eastAsia"/>
        </w:rPr>
        <w:sectPr>
          <w:footerReference r:id="rId11" w:type="default"/>
          <w:pgSz w:w="11906" w:h="16838"/>
          <w:pgMar w:top="1440" w:right="1800" w:bottom="1440" w:left="1800" w:header="851" w:footer="992" w:gutter="0"/>
          <w:pgNumType w:start="1"/>
          <w:cols w:space="425" w:num="1"/>
          <w:docGrid w:type="lines" w:linePitch="312" w:charSpace="0"/>
        </w:sectPr>
      </w:pPr>
    </w:p>
    <w:p>
      <w:pPr>
        <w:pStyle w:val="3"/>
        <w:spacing w:before="312" w:after="312"/>
        <w:rPr>
          <w:rFonts w:hint="eastAsia"/>
        </w:rPr>
      </w:pPr>
      <w:bookmarkStart w:id="0" w:name="_Toc14726"/>
      <w:r>
        <w:rPr>
          <w:rFonts w:hint="eastAsia"/>
        </w:rPr>
        <w:t>引言</w:t>
      </w:r>
      <w:bookmarkEnd w:id="0"/>
    </w:p>
    <w:p>
      <w:pPr>
        <w:shd w:val="clear" w:color="auto" w:fill="FFFFFF"/>
        <w:ind w:firstLine="480"/>
        <w:rPr>
          <w:rFonts w:hint="eastAsia" w:cs="Arial" w:asciiTheme="minorEastAsia" w:hAnsiTheme="minorEastAsia" w:eastAsiaTheme="minorEastAsia"/>
          <w:color w:val="000000"/>
          <w:shd w:val="clear" w:color="auto" w:fill="FFFFFF"/>
        </w:rPr>
      </w:pPr>
      <w:r>
        <w:rPr>
          <w:rFonts w:hint="eastAsia" w:cs="Arial" w:asciiTheme="minorEastAsia" w:hAnsiTheme="minorEastAsia" w:eastAsiaTheme="minorEastAsia"/>
          <w:color w:val="000000"/>
          <w:shd w:val="clear" w:color="auto" w:fill="FFFFFF"/>
        </w:rPr>
        <w:t>茌平县博汇生产力促进中心成立于2020年05月29日，遵循“背靠政府，面向企业，提升服务，成人达己”的原则，以政务支撑、项目申报、资质认定为主要经营业务，并逐步扩展到政策、流程、管理咨询和企业投融资的其他领域。根据企业需求，向其提供科技、经济、政策法规、市场、人才及其国家对相关行业的政策导向，新技术、新工艺的发展趋势，信息化建设、行业动态、市场信息等，提高社会生产力水平，推动区域经济快速发展。</w:t>
      </w:r>
    </w:p>
    <w:p>
      <w:pPr>
        <w:shd w:val="clear" w:color="auto" w:fill="FFFFFF"/>
        <w:ind w:firstLine="480"/>
        <w:rPr>
          <w:rFonts w:hint="eastAsia" w:cs="Arial" w:asciiTheme="minorEastAsia" w:hAnsiTheme="minorEastAsia" w:eastAsiaTheme="minorEastAsia"/>
          <w:color w:val="000000"/>
          <w:shd w:val="clear" w:color="auto" w:fill="FFFFFF"/>
        </w:rPr>
      </w:pPr>
      <w:r>
        <w:rPr>
          <w:rFonts w:hint="eastAsia" w:cs="Arial" w:asciiTheme="minorEastAsia" w:hAnsiTheme="minorEastAsia" w:eastAsiaTheme="minorEastAsia"/>
          <w:color w:val="000000"/>
          <w:shd w:val="clear" w:color="auto" w:fill="FFFFFF"/>
        </w:rPr>
        <w:t>东阿县隶属于山东省聊城市，位于泰山脚下、黄河岸边，是中国阿胶之乡、中国喜鹊之乡、中国杂技艺术之乡。总面积729平方公里，人口40万，辖10个镇（街道办事处）、1个省级经济开发区。著名景点有鱼山风景区、洛神湖、影视城、牡丹观光园等，是国家级生态示范区、全国绿化模范县、中国最佳养生休闲旅游名县。近年来，在各级领导、部门和社会各界的大力支持下，阿胶产业得到快速发展，成为东阿县的支柱产业。东阿县阿胶行业协会成立于2014年12月，是经东阿县人民政府批准，东阿县民政局主管，由东阿县主要从事阿胶生产的11家企业发起，其他阿胶产品生产企业、上下游相关联企业及个人成员自愿组成的社会团体。现有会员企业98家，拥有国家级非物质文化遗产、国家级老字号、山东省老字号等众多荣誉品牌。有28家会员企业通过GMP认证企业；46家会员企业通过9000、22000、14001及HACCP认证；有高新技术企业10余家。阿胶行业协会充分发挥自身优势，以弘扬阿胶文化、发展阿胶产业为己任，致力于阿胶产业的成长与发展，取得了一个有一个的辉煌成就。协会先后多次获得全国工商联抗疫先进单位、中国营养健康食品产业高峰论坛“阿胶产业突出贡献奖”、山东省工商联“四好商会”、山东省特色产业集群、山东省知识产权工作站、聊城市工商联“四好商会”、2021年度聊城市诚信行业、中国（山东）知识产权维护援助中心聊城中心工作站、聊城市社会组织助力脱贫攻坚先进单位、东阿县消费者维权服务站、阿胶品牌保护检察服务站、东阿县商业秘密保护联络站。主要是做了以下几个方面的工作：</w:t>
      </w:r>
    </w:p>
    <w:p>
      <w:pPr>
        <w:shd w:val="clear" w:color="auto" w:fill="FFFFFF"/>
        <w:ind w:firstLine="480"/>
        <w:rPr>
          <w:rFonts w:hint="eastAsia" w:cs="Arial" w:asciiTheme="minorEastAsia" w:hAnsiTheme="minorEastAsia" w:eastAsiaTheme="minorEastAsia"/>
          <w:color w:val="000000"/>
          <w:shd w:val="clear" w:color="auto" w:fill="FFFFFF"/>
        </w:rPr>
      </w:pPr>
      <w:r>
        <w:rPr>
          <w:rFonts w:hint="eastAsia" w:cs="Arial" w:asciiTheme="minorEastAsia" w:hAnsiTheme="minorEastAsia" w:eastAsiaTheme="minorEastAsia"/>
          <w:color w:val="000000"/>
          <w:shd w:val="clear" w:color="auto" w:fill="FFFFFF"/>
        </w:rPr>
        <w:t>一是发挥引领作用，助力阿胶产业发展壮大。中国阿胶看山东，山东阿胶看东阿。东阿县是全国最大的阿胶产业基地，是中国阿胶之乡。东阿县阿胶行业协会始终坚持传承阿胶文化、促进行业发展、加强行业自律、服务会员企业的办会宗旨，坚持服务、引领、高效、节约的办会理念，以服务阿胶行业、反映企业诉求、维护会员权益为工作目标，充分发挥政府和企业之间的桥梁纽带作用，协助政府及相关部门做好政策法规宣传贯彻工作，帮助会员企业从小到大，由大到强的发展成长，阿胶产业产销量达到了全国的70%、80%。</w:t>
      </w:r>
    </w:p>
    <w:p>
      <w:pPr>
        <w:shd w:val="clear" w:color="auto" w:fill="FFFFFF"/>
        <w:ind w:firstLine="480"/>
        <w:rPr>
          <w:rFonts w:hint="eastAsia" w:cs="Arial" w:asciiTheme="minorEastAsia" w:hAnsiTheme="minorEastAsia" w:eastAsiaTheme="minorEastAsia"/>
          <w:color w:val="000000"/>
          <w:shd w:val="clear" w:color="auto" w:fill="FFFFFF"/>
        </w:rPr>
      </w:pPr>
      <w:r>
        <w:rPr>
          <w:rFonts w:hint="eastAsia" w:cs="Arial" w:asciiTheme="minorEastAsia" w:hAnsiTheme="minorEastAsia" w:eastAsiaTheme="minorEastAsia"/>
          <w:color w:val="000000"/>
          <w:shd w:val="clear" w:color="auto" w:fill="FFFFFF"/>
        </w:rPr>
        <w:t>二是完善行业团体标准，协会于2019年发布了《阿胶及阿胶制品》的团体标准，2020年发布了《阿胶（固元）糕类产品》团体标准。其中，《阿胶糕团体标准》填补了国内阿胶制品标准的空白。协会建立东阿县阿胶产业诚信联盟，持续完善强有力标准体系支撑，逐步探索阿胶、阿胶糕、固元糕、阿胶固元糕联盟产品标准以及联盟生产规范标准体系，打造“东阿造，必精品”。</w:t>
      </w:r>
    </w:p>
    <w:p>
      <w:pPr>
        <w:shd w:val="clear" w:color="auto" w:fill="FFFFFF"/>
        <w:ind w:firstLine="480"/>
        <w:rPr>
          <w:rFonts w:hint="eastAsia" w:cs="Arial" w:asciiTheme="minorEastAsia" w:hAnsiTheme="minorEastAsia" w:eastAsiaTheme="minorEastAsia"/>
          <w:color w:val="000000"/>
          <w:shd w:val="clear" w:color="auto" w:fill="FFFFFF"/>
        </w:rPr>
      </w:pPr>
      <w:r>
        <w:rPr>
          <w:rFonts w:hint="eastAsia" w:cs="Arial" w:asciiTheme="minorEastAsia" w:hAnsiTheme="minorEastAsia" w:eastAsiaTheme="minorEastAsia"/>
          <w:color w:val="000000"/>
          <w:shd w:val="clear" w:color="auto" w:fill="FFFFFF"/>
        </w:rPr>
        <w:t>三是为了有效提升我省阿胶糕产品质量安全的整体水平，助推阿胶产业高质量提升，更好的服务监管。协会积极推进《山东省食品安全地方标准阿胶糕》的制定工作。</w:t>
      </w:r>
    </w:p>
    <w:p>
      <w:pPr>
        <w:shd w:val="clear" w:color="auto" w:fill="FFFFFF"/>
        <w:ind w:firstLine="480"/>
        <w:rPr>
          <w:rFonts w:hint="eastAsia" w:cs="Arial" w:asciiTheme="minorEastAsia" w:hAnsiTheme="minorEastAsia" w:eastAsiaTheme="minorEastAsia"/>
          <w:color w:val="000000"/>
          <w:shd w:val="clear" w:color="auto" w:fill="FFFFFF"/>
        </w:rPr>
      </w:pPr>
      <w:r>
        <w:rPr>
          <w:rFonts w:hint="eastAsia" w:cs="Arial" w:asciiTheme="minorEastAsia" w:hAnsiTheme="minorEastAsia" w:eastAsiaTheme="minorEastAsia"/>
          <w:color w:val="000000"/>
          <w:shd w:val="clear" w:color="auto" w:fill="FFFFFF"/>
        </w:rPr>
        <w:t>四是不断加强自律，提升整体素质。协会自成立以来，不断根据会员需求及行业发展趋势，举办各项培训活动，多次组织会员企业到济南、青岛、淄博、德州、安徽亳州、江西樟树等地参观交流学习，引导会员企业错层化差异化发展。为了进一步强化自律，提升诚信意识，促进行业健康发展，我们成立了东阿县阿胶产业诚信联盟。制定了《阿胶糕》团体标准，规范阿胶糕类产品建康发展。同时还进一步深化科技创新，与大专院校、科研院所密切合作，把科技成果转化为生产力，带来社会效益。</w:t>
      </w:r>
    </w:p>
    <w:p>
      <w:pPr>
        <w:shd w:val="clear" w:color="auto" w:fill="FFFFFF"/>
        <w:ind w:firstLine="480"/>
        <w:rPr>
          <w:rFonts w:hint="eastAsia" w:cs="Arial" w:asciiTheme="minorEastAsia" w:hAnsiTheme="minorEastAsia" w:eastAsiaTheme="minorEastAsia"/>
          <w:color w:val="000000"/>
          <w:shd w:val="clear" w:color="auto" w:fill="FFFFFF"/>
        </w:rPr>
      </w:pPr>
      <w:r>
        <w:rPr>
          <w:rFonts w:hint="eastAsia" w:cs="Arial" w:asciiTheme="minorEastAsia" w:hAnsiTheme="minorEastAsia" w:eastAsiaTheme="minorEastAsia"/>
          <w:color w:val="000000"/>
          <w:shd w:val="clear" w:color="auto" w:fill="FFFFFF"/>
        </w:rPr>
        <w:t>协会积极参与“省级阿胶制品生产加工示范基地”创建工作，以“四个最严”为遵循，以“四有两责”为引领，认真按照省食安办《关于推进山东省食品生产加工示范基地创建工作的通知》（鲁食安办函〔2019〕2号）和《考核验收细则》的要求，强化品牌示范引领，促进食品产业转型升级，提升食品安全保障水平。多次开展创建培训交流学习活动、指导会员企业开展创建工作，促使创建工作稳步快速推进。实行会员企业违法、违规积分制，制订和完善会员的权利和义务。倡议原料阿胶全部使用我县具有阿胶片生产资质的企业所生产的阿胶片。实现了大宗原辅料全国集中采购，限定所供应原料的最低等级、公开价格、公示等级、公平竞争，打造“东阿县无假货”、“东阿县的阿胶产品只有价格高低之分，没有伪劣之别”的价值理念。通过参与创建工作，提高了企业的法律意识和食品安全意识，增强了协会成员企业的管理能力，助推了阿胶行业的规范发展。</w:t>
      </w:r>
    </w:p>
    <w:p>
      <w:pPr>
        <w:shd w:val="clear" w:color="auto" w:fill="FFFFFF"/>
        <w:ind w:firstLine="480"/>
        <w:rPr>
          <w:rFonts w:hint="eastAsia" w:cs="Arial" w:asciiTheme="minorEastAsia" w:hAnsiTheme="minorEastAsia" w:eastAsiaTheme="minorEastAsia"/>
          <w:color w:val="000000"/>
          <w:shd w:val="clear" w:color="auto" w:fill="FFFFFF"/>
        </w:rPr>
      </w:pPr>
      <w:r>
        <w:rPr>
          <w:rFonts w:hint="eastAsia" w:cs="Arial" w:asciiTheme="minorEastAsia" w:hAnsiTheme="minorEastAsia" w:eastAsiaTheme="minorEastAsia"/>
          <w:color w:val="000000"/>
          <w:shd w:val="clear" w:color="auto" w:fill="FFFFFF"/>
        </w:rPr>
        <w:t>五是积极参与公益活动，回报和奉献社会。会员企业积极参与公益活动，履行使命，担当社会责任。疫情发生后，会员企业响应号召奉献爱心，第一时间向县慈善总会捐款5.5万元用于疫情防控。同时主动向战斗在一线的相关单位及人员捐款捐物抗击疫情，协会几十家会员企业捐款捐物达100余次，捐赠了大量的阿胶产品、医用口罩、酒精、消毒液、方便食品等防疫物资，总价值500余万元，有力地支援了防疫工作的开展。</w:t>
      </w:r>
    </w:p>
    <w:p>
      <w:pPr>
        <w:shd w:val="clear" w:color="auto" w:fill="FFFFFF"/>
        <w:ind w:firstLine="480"/>
        <w:rPr>
          <w:rFonts w:hint="eastAsia" w:cs="Arial" w:asciiTheme="minorEastAsia" w:hAnsiTheme="minorEastAsia" w:eastAsiaTheme="minorEastAsia"/>
          <w:color w:val="000000"/>
          <w:shd w:val="clear" w:color="auto" w:fill="FFFFFF"/>
        </w:rPr>
      </w:pPr>
      <w:r>
        <w:rPr>
          <w:rFonts w:hint="eastAsia" w:cs="Arial" w:asciiTheme="minorEastAsia" w:hAnsiTheme="minorEastAsia" w:eastAsiaTheme="minorEastAsia"/>
          <w:color w:val="000000"/>
          <w:shd w:val="clear" w:color="auto" w:fill="FFFFFF"/>
        </w:rPr>
        <w:t>协会积极参与扶贫攻坚活动，会员企业主动提出将连续三年每年捐款5.7万元资助我县57名孤儿，让祖国的花朵感到自己并不孤单，爱就在身边，亲身感受到社会大家庭的温暖。协会还筹集爱心捐款数十万元，资助了百余名家庭贫困学生圆了大学梦。时常到敬老院、环卫处等机构赠送礼品及生活用品，全力支持和参与社会公益活动。</w:t>
      </w:r>
    </w:p>
    <w:p>
      <w:pPr>
        <w:shd w:val="clear" w:color="auto" w:fill="FFFFFF"/>
        <w:ind w:firstLine="480"/>
        <w:rPr>
          <w:rFonts w:hint="eastAsia" w:cs="Arial" w:asciiTheme="minorEastAsia" w:hAnsiTheme="minorEastAsia" w:eastAsiaTheme="minorEastAsia"/>
          <w:color w:val="000000"/>
          <w:shd w:val="clear" w:color="auto" w:fill="FFFFFF"/>
        </w:rPr>
      </w:pPr>
      <w:r>
        <w:rPr>
          <w:rFonts w:hint="eastAsia" w:cs="Arial" w:asciiTheme="minorEastAsia" w:hAnsiTheme="minorEastAsia" w:eastAsiaTheme="minorEastAsia"/>
          <w:color w:val="000000"/>
          <w:shd w:val="clear" w:color="auto" w:fill="FFFFFF"/>
        </w:rPr>
        <w:t>东阿县阿胶行业协会将紧紧围绕“合作、共赢、诚信、自律”的核心价值观，积极发挥职能，做大做强阿胶产业,不忘初心，牢记使命，全心全意为经济发展贡献力量!</w:t>
      </w:r>
    </w:p>
    <w:p>
      <w:pPr>
        <w:pStyle w:val="2"/>
        <w:ind w:firstLine="480"/>
      </w:pPr>
      <w:r>
        <w:rPr>
          <w:rFonts w:hint="eastAsia"/>
        </w:rPr>
        <w:t>2025年，根据东阿县以及茌平县医疗器械产业相关企业的经营现状和发展前景，进行了实地走访调研，组织涉外企业开展海外知识产权风险预警培训，帮助企业加强海外风险防控体系建设，并针对医疗器械产业制作一份海外知识产权预警分析报告，本次报告经过多次现场调研和座谈，并检索了核心企业主要出口的美国、欧洲等在的医疗器械专利的申请和授权情况，希望通过这次预警分析，在以医疗器械为优势产品的情况下，保护海外产品的销售，并帮助企业在国外市场寻找多个经济增长点，逐步开拓海外市场。</w:t>
      </w:r>
    </w:p>
    <w:p>
      <w:pPr>
        <w:widowControl/>
        <w:spacing w:line="240" w:lineRule="auto"/>
        <w:ind w:firstLine="0" w:firstLineChars="0"/>
        <w:jc w:val="left"/>
      </w:pPr>
      <w:r>
        <w:br w:type="page"/>
      </w:r>
    </w:p>
    <w:p>
      <w:pPr>
        <w:pStyle w:val="3"/>
        <w:spacing w:before="312" w:after="312"/>
        <w:rPr>
          <w:rFonts w:hint="eastAsia"/>
        </w:rPr>
      </w:pPr>
      <w:bookmarkStart w:id="1" w:name="_Toc27637"/>
      <w:r>
        <w:rPr>
          <w:rFonts w:hint="eastAsia"/>
        </w:rPr>
        <w:t>摘要</w:t>
      </w:r>
      <w:bookmarkEnd w:id="1"/>
    </w:p>
    <w:p>
      <w:pPr>
        <w:ind w:firstLine="480"/>
      </w:pPr>
      <w:r>
        <w:rPr>
          <w:rFonts w:hint="eastAsia"/>
        </w:rPr>
        <w:t>本报告，首先分析了全球、中国以及聊城市医疗器械产业的发展现状，包括产业规模，产业链，产业竞争格局，产业发展趋势，产业内重点企业等，对医疗器械产业当前的发展现状做了详细具体的分析。</w:t>
      </w:r>
    </w:p>
    <w:p>
      <w:pPr>
        <w:ind w:firstLine="480"/>
      </w:pPr>
      <w:r>
        <w:rPr>
          <w:rFonts w:hint="eastAsia"/>
        </w:rPr>
        <w:t>其次，基于对医疗器械产业的技术分解，对医疗器械领域的专利进行检索形成专利数据库，并基于该专利数据库对全球医疗器械领域的专利进行技术分析。具体分析内容包括聊城市以及部分重点国家或地区专利的申请趋势，专利的类型，专利的法律状态，医疗器械领域专利侵权诉讼高发区域，医疗器械领域专利无效高发区域，医疗器械领域专利诉讼涉及的企业，医疗器械领域专利诉讼涉及的技术方向等。</w:t>
      </w:r>
    </w:p>
    <w:p>
      <w:pPr>
        <w:ind w:firstLine="480"/>
      </w:pPr>
      <w:r>
        <w:rPr>
          <w:rFonts w:hint="eastAsia"/>
        </w:rPr>
        <w:t>再次，结合具体案例，对商标、软著、专利等知识产权侵权行为进行了具体的分析。同时对医疗器械领域主要国家的知识产权侵权相关法律法规做了介绍，并对如何进行侵权抗辩做了具体的分析。</w:t>
      </w:r>
    </w:p>
    <w:p>
      <w:pPr>
        <w:ind w:firstLine="480"/>
      </w:pPr>
      <w:r>
        <w:rPr>
          <w:rFonts w:hint="eastAsia"/>
        </w:rPr>
        <w:t>最后，基于产业分析和知识产权分析，并结合聊城市医疗器械企业的具体情况，给出了应对海外知识产权侵权风险的具体措施，供聊城市医疗器械行业内企业参考，增强聊城市医疗器械企业应对海外知识产权侵权风险的能力。</w:t>
      </w:r>
    </w:p>
    <w:p>
      <w:pPr>
        <w:pStyle w:val="2"/>
        <w:ind w:firstLineChars="175"/>
      </w:pPr>
      <w:r>
        <w:br w:type="page"/>
      </w:r>
    </w:p>
    <w:p>
      <w:pPr>
        <w:pStyle w:val="3"/>
        <w:spacing w:before="312" w:after="312"/>
        <w:rPr>
          <w:rFonts w:hint="eastAsia"/>
        </w:rPr>
      </w:pPr>
      <w:bookmarkStart w:id="2" w:name="_Toc17924"/>
      <w:r>
        <w:rPr>
          <w:rFonts w:hint="eastAsia"/>
        </w:rPr>
        <w:t>第一章 产业及重点企业情况</w:t>
      </w:r>
      <w:bookmarkEnd w:id="2"/>
    </w:p>
    <w:p>
      <w:pPr>
        <w:ind w:firstLine="562"/>
        <w:outlineLvl w:val="1"/>
        <w:rPr>
          <w:rFonts w:hint="eastAsia" w:ascii="黑体" w:hAnsi="黑体" w:eastAsia="黑体"/>
          <w:b/>
          <w:bCs/>
          <w:sz w:val="28"/>
          <w:szCs w:val="28"/>
        </w:rPr>
      </w:pPr>
      <w:bookmarkStart w:id="3" w:name="_Toc15411"/>
      <w:r>
        <w:rPr>
          <w:rFonts w:ascii="黑体" w:hAnsi="黑体" w:eastAsia="黑体"/>
          <w:b/>
          <w:bCs/>
          <w:sz w:val="28"/>
          <w:szCs w:val="28"/>
        </w:rPr>
        <w:t xml:space="preserve">1.1 </w:t>
      </w:r>
      <w:r>
        <w:rPr>
          <w:rFonts w:hint="eastAsia" w:ascii="黑体" w:hAnsi="黑体" w:eastAsia="黑体"/>
          <w:b/>
          <w:bCs/>
          <w:sz w:val="28"/>
          <w:szCs w:val="28"/>
        </w:rPr>
        <w:t>医疗器械产业分析</w:t>
      </w:r>
      <w:bookmarkEnd w:id="3"/>
    </w:p>
    <w:p>
      <w:pPr>
        <w:ind w:firstLine="562"/>
        <w:outlineLvl w:val="2"/>
        <w:rPr>
          <w:rFonts w:hint="eastAsia" w:ascii="黑体" w:hAnsi="黑体" w:eastAsia="黑体" w:cs="Helvetica"/>
          <w:b/>
          <w:color w:val="000000" w:themeColor="text1"/>
          <w:kern w:val="0"/>
          <w:sz w:val="28"/>
          <w:szCs w:val="28"/>
          <w14:textFill>
            <w14:solidFill>
              <w14:schemeClr w14:val="tx1"/>
            </w14:solidFill>
          </w14:textFill>
        </w:rPr>
      </w:pPr>
      <w:bookmarkStart w:id="4" w:name="_Toc829"/>
      <w:r>
        <w:rPr>
          <w:rFonts w:ascii="黑体" w:hAnsi="黑体" w:eastAsia="黑体" w:cs="Helvetica"/>
          <w:b/>
          <w:color w:val="000000" w:themeColor="text1"/>
          <w:kern w:val="0"/>
          <w:sz w:val="28"/>
          <w:szCs w:val="28"/>
          <w14:textFill>
            <w14:solidFill>
              <w14:schemeClr w14:val="tx1"/>
            </w14:solidFill>
          </w14:textFill>
        </w:rPr>
        <w:t xml:space="preserve">1.1.1 </w:t>
      </w:r>
      <w:r>
        <w:rPr>
          <w:rFonts w:hint="eastAsia" w:ascii="黑体" w:hAnsi="黑体" w:eastAsia="黑体" w:cs="Helvetica"/>
          <w:b/>
          <w:color w:val="000000" w:themeColor="text1"/>
          <w:kern w:val="0"/>
          <w:sz w:val="28"/>
          <w:szCs w:val="28"/>
          <w14:textFill>
            <w14:solidFill>
              <w14:schemeClr w14:val="tx1"/>
            </w14:solidFill>
          </w14:textFill>
        </w:rPr>
        <w:t>产业发展概况</w:t>
      </w:r>
      <w:bookmarkEnd w:id="4"/>
    </w:p>
    <w:p>
      <w:pPr>
        <w:ind w:firstLine="48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医疗器械行业是医疗健康体系的重要组成部分，直接关系到人民群众的生命健康与生活质量。随着全球人口老龄化的加剧、慢性病发病率的上升以及医疗技术的不断进步，医疗器械行业迎来了前所未有的发展机遇。特别是在中国，随着经济的持续增长和居民健康意识的提高，医疗器械市场需求持续扩大，行业增长速度持续超过GDP增长，展现出巨大的市场潜力和发展空间。</w:t>
      </w:r>
    </w:p>
    <w:p>
      <w:pPr>
        <w:ind w:firstLine="48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医疗器械是指单独或者组合使用于人体的仪器、设备、器具、材料或者其他物品，包括所需要的软件。医疗器械的效用主要通过物理等方式获得，而不是通过药理学、免疫学或者代谢的方式获得，或者虽然有这些方式参与但只起辅助作用。医疗器械行业主要可分为四大细分领域：医疗设备、高值耗材、低值耗材和体外诊断。</w:t>
      </w:r>
    </w:p>
    <w:p>
      <w:pPr>
        <w:ind w:firstLine="48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医疗设备：包括医学影像设备(如CT、MRI)、放疗设备、内窥镜、手术机器人等。这些产品技术壁垒高，市场规模大，但国产化率相对较低。</w:t>
      </w:r>
    </w:p>
    <w:p>
      <w:pPr>
        <w:ind w:firstLine="48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高值耗材：包括血管介入耗材、骨科植入耗材、神经外科耗材等。该领域细分市场分散，但国产化率正不断提升，国内厂商在持续研发投入和医用耗材集中采购的推动下，市场份额逐步扩大。</w:t>
      </w:r>
    </w:p>
    <w:p>
      <w:pPr>
        <w:ind w:firstLine="48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低值耗材：包括注射穿刺类、医用卫生材料及辅料等一次性医用材料。该领域研发壁垒较低，市场集中度低，但国产化率高，竞争激烈。</w:t>
      </w:r>
    </w:p>
    <w:p>
      <w:pPr>
        <w:ind w:firstLine="48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体外诊断：指将样本从人体中取出后进行检测进而进行诊断的产品，包括免疫诊断、生化诊断、分子诊断等。该领域进口品牌市占率较高，但国内厂商正处于快速发展阶段，国产化率有望不断提升。</w:t>
      </w:r>
    </w:p>
    <w:p>
      <w:pPr>
        <w:pStyle w:val="2"/>
        <w:ind w:firstLine="480"/>
      </w:pPr>
      <w:r>
        <w:rPr>
          <w:rFonts w:hint="eastAsia"/>
        </w:rPr>
        <w:t>近年来，中国医疗器械产业发展迅速，市场规模持续扩大。根据数据，2023年中国医疗器械市场规模达到1.27万亿元，同比增长10.4%。预计未来几年，随着人口老龄化、慢性病发病率上升以及医疗技术的不断进步，市场需求将持续增长。</w:t>
      </w:r>
    </w:p>
    <w:p>
      <w:pPr>
        <w:pStyle w:val="2"/>
        <w:ind w:firstLine="480"/>
      </w:pPr>
      <w:r>
        <w:rPr>
          <w:rFonts w:hint="eastAsia"/>
        </w:rPr>
        <w:t>医疗器械产业链主要分为上游零部件制造、中游医疗设备及耗材制造、下游临床检验及终端使用三个环节。</w:t>
      </w:r>
    </w:p>
    <w:p>
      <w:pPr>
        <w:pStyle w:val="2"/>
        <w:ind w:firstLine="480"/>
      </w:pPr>
      <w:r>
        <w:rPr>
          <w:rFonts w:hint="eastAsia"/>
        </w:rPr>
        <w:t>上游：包括医用原材料及加工环节，涉及机械制造、电子制造、生物化学、软件等行业。这些行业为中游提供关键零部件和技术支持。</w:t>
      </w:r>
    </w:p>
    <w:p>
      <w:pPr>
        <w:pStyle w:val="2"/>
        <w:ind w:firstLine="480"/>
      </w:pPr>
      <w:r>
        <w:rPr>
          <w:rFonts w:hint="eastAsia"/>
        </w:rPr>
        <w:t>中游：为医疗器械和医用耗材的研发、制造、销售以及服务的相关行业。这是产业链的核心环节，也是技术创新和市场竞争的主要阵地。</w:t>
      </w:r>
    </w:p>
    <w:p>
      <w:pPr>
        <w:pStyle w:val="2"/>
        <w:ind w:firstLine="480"/>
      </w:pPr>
      <w:r>
        <w:rPr>
          <w:rFonts w:hint="eastAsia"/>
        </w:rPr>
        <w:t>下游：为医疗器械的临床检验及终端使用，包括家庭用户和各类医疗机构。这一环节直接面向消费者，是产品实现价值的关键。</w:t>
      </w:r>
    </w:p>
    <w:p>
      <w:pPr>
        <w:pStyle w:val="2"/>
        <w:ind w:firstLine="480"/>
      </w:pPr>
      <w:r>
        <w:rPr>
          <w:rFonts w:hint="eastAsia"/>
        </w:rPr>
        <w:t>医疗器械销售市场呈现出多元化和细分化的趋势。一方面，高端医疗设备如影像设备、手术机器人等市场需求旺盛;另一方面，低值耗材和体外诊断产品也保持了稳定的增长态势。其中，生产第三类医疗器械的企业数量增长尤为迅速，显示出高端医疗器械生产发展的加快。</w:t>
      </w:r>
    </w:p>
    <w:p>
      <w:pPr>
        <w:pStyle w:val="2"/>
        <w:ind w:firstLine="480"/>
      </w:pPr>
      <w:r>
        <w:rPr>
          <w:rFonts w:hint="eastAsia"/>
        </w:rPr>
        <w:t>中国医疗器械市场规模已跃居全球第二，仅次于美国。根据预测，未来几年中国医疗器械市场将继续保持高速增长态势，市场规模有望进一步扩大。这主要得益于国内市场需求的强劲增长、政策支持力度的加大以及技术创新能力的不断提升。</w:t>
      </w:r>
    </w:p>
    <w:p>
      <w:pPr>
        <w:pStyle w:val="2"/>
        <w:ind w:firstLine="480"/>
      </w:pPr>
      <w:r>
        <w:rPr>
          <w:rFonts w:hint="eastAsia"/>
        </w:rPr>
        <w:t>近年来，国家及地方政府陆续出台了一系列政策支持和保障医疗器械产业高质量发展的措施。</w:t>
      </w:r>
    </w:p>
    <w:p>
      <w:pPr>
        <w:pStyle w:val="2"/>
        <w:ind w:firstLine="480"/>
      </w:pPr>
      <w:r>
        <w:rPr>
          <w:rFonts w:hint="eastAsia"/>
        </w:rPr>
        <w:t>国家层面：国务院发布了《医药工业高质量行动计划(2023-2025年)》和《医疗装备产业高质量发展行动计划(2023-2025年)》，明确提出要提高医药工业和医疗装备产业的韧性和现代化水平，推动产业创新和技术升级。同时，国家药监局也加大了对创新医疗器械的审批力度，鼓励企业加大研发投入。</w:t>
      </w:r>
    </w:p>
    <w:p>
      <w:pPr>
        <w:pStyle w:val="2"/>
        <w:ind w:firstLine="480"/>
      </w:pPr>
      <w:r>
        <w:rPr>
          <w:rFonts w:hint="eastAsia"/>
        </w:rPr>
        <w:t>地方层面：各地政府纷纷出台具体行动方案，推动医疗设备更新和消费品以旧换新行动。例如，江苏等省份鼓励医疗机构加快医学影像、放射治疗等医疗装备的更新升级。这些政策不仅促进了医疗设备的更新换代，也带动了医疗器械市场的增长。</w:t>
      </w:r>
    </w:p>
    <w:p>
      <w:pPr>
        <w:ind w:firstLine="562"/>
        <w:outlineLvl w:val="2"/>
        <w:rPr>
          <w:rFonts w:hint="eastAsia" w:ascii="黑体" w:hAnsi="黑体" w:eastAsia="黑体" w:cs="Helvetica"/>
          <w:b/>
          <w:color w:val="000000" w:themeColor="text1"/>
          <w:kern w:val="0"/>
          <w:sz w:val="28"/>
          <w:szCs w:val="28"/>
          <w14:textFill>
            <w14:solidFill>
              <w14:schemeClr w14:val="tx1"/>
            </w14:solidFill>
          </w14:textFill>
        </w:rPr>
      </w:pPr>
      <w:bookmarkStart w:id="5" w:name="_Toc19787"/>
      <w:r>
        <w:rPr>
          <w:rFonts w:ascii="黑体" w:hAnsi="黑体" w:eastAsia="黑体" w:cs="Helvetica"/>
          <w:b/>
          <w:color w:val="000000" w:themeColor="text1"/>
          <w:kern w:val="0"/>
          <w:sz w:val="28"/>
          <w:szCs w:val="28"/>
          <w14:textFill>
            <w14:solidFill>
              <w14:schemeClr w14:val="tx1"/>
            </w14:solidFill>
          </w14:textFill>
        </w:rPr>
        <w:t>1</w:t>
      </w:r>
      <w:r>
        <w:rPr>
          <w:rFonts w:hint="eastAsia" w:ascii="黑体" w:hAnsi="黑体" w:eastAsia="黑体" w:cs="Helvetica"/>
          <w:b/>
          <w:color w:val="000000" w:themeColor="text1"/>
          <w:kern w:val="0"/>
          <w:sz w:val="28"/>
          <w:szCs w:val="28"/>
          <w14:textFill>
            <w14:solidFill>
              <w14:schemeClr w14:val="tx1"/>
            </w14:solidFill>
          </w14:textFill>
        </w:rPr>
        <w:t>.1.</w:t>
      </w:r>
      <w:r>
        <w:rPr>
          <w:rFonts w:ascii="黑体" w:hAnsi="黑体" w:eastAsia="黑体" w:cs="Helvetica"/>
          <w:b/>
          <w:color w:val="000000" w:themeColor="text1"/>
          <w:kern w:val="0"/>
          <w:sz w:val="28"/>
          <w:szCs w:val="28"/>
          <w14:textFill>
            <w14:solidFill>
              <w14:schemeClr w14:val="tx1"/>
            </w14:solidFill>
          </w14:textFill>
        </w:rPr>
        <w:t xml:space="preserve">2 </w:t>
      </w:r>
      <w:r>
        <w:rPr>
          <w:rFonts w:hint="eastAsia" w:ascii="黑体" w:hAnsi="黑体" w:eastAsia="黑体" w:cs="Helvetica"/>
          <w:b/>
          <w:color w:val="000000" w:themeColor="text1"/>
          <w:kern w:val="0"/>
          <w:sz w:val="28"/>
          <w:szCs w:val="28"/>
          <w14:textFill>
            <w14:solidFill>
              <w14:schemeClr w14:val="tx1"/>
            </w14:solidFill>
          </w14:textFill>
        </w:rPr>
        <w:t>产业竞争格局</w:t>
      </w:r>
      <w:bookmarkEnd w:id="5"/>
    </w:p>
    <w:p>
      <w:pPr>
        <w:pStyle w:val="2"/>
        <w:ind w:firstLine="480"/>
      </w:pPr>
      <w:r>
        <w:rPr>
          <w:rFonts w:hint="eastAsia"/>
        </w:rPr>
        <w:t>医疗器械行业的竞争对手众多，包括国内外众多知名企业。国际市场上，美国、西欧、日本等发达国家和地区的医疗器械产业发展时间早，技术水平和质量要求高，市场需求以最新产品的升级换代为主。在中国市场，跨国企业如医科达、瓦里安等占据高端市场，而本土企业如大医集团、新华医疗等在中低端市场具有较大份额。</w:t>
      </w:r>
    </w:p>
    <w:p>
      <w:pPr>
        <w:ind w:firstLine="480"/>
      </w:pPr>
      <w:r>
        <w:rPr>
          <w:rFonts w:hint="eastAsia"/>
        </w:rPr>
        <w:t>中国治疗设备产品质量和品质逐渐提高，展现出高性价比优势，能在全球市场竞争中占据“一席之地”。例如，在心肺复苏、体外除颤、监护设备和心电图机等领域，国产设备的全球市占率达到10%-20%，部分上市企业已经形成较为成熟的海外销售体系。国产设备的海外市场定价和盈利空间可观，高性价比的产品特点受到发展中国家的青睐。“十五五”时期，企业纷纷进入海外市场，寻求更广阔的发展空间。</w:t>
      </w:r>
    </w:p>
    <w:p>
      <w:pPr>
        <w:pStyle w:val="2"/>
        <w:ind w:firstLine="480"/>
      </w:pPr>
      <w:r>
        <w:rPr>
          <w:rFonts w:hint="eastAsia"/>
        </w:rPr>
        <w:t>中国高端医疗器械产业整体呈现东强西弱态势，东部地区聚集了全国54.1%的产业资源。但近年来，湖南、湖北、四川等中西部地区也正奋力追赶，争先打造高端医疗器械产业新高地。“十五五”时期，中国高端医疗器械产业仍将以东部为引领，但中西部有望凭借生产资源、临床资源优势，抢抓高端医疗器械成果转移转化机遇，形成中西部产业集聚新高地。</w:t>
      </w:r>
    </w:p>
    <w:p>
      <w:pPr>
        <w:ind w:firstLine="562"/>
        <w:outlineLvl w:val="2"/>
        <w:rPr>
          <w:rFonts w:hint="eastAsia" w:ascii="黑体" w:hAnsi="黑体" w:eastAsia="黑体" w:cs="Helvetica"/>
          <w:b/>
          <w:color w:val="000000" w:themeColor="text1"/>
          <w:kern w:val="0"/>
          <w:sz w:val="28"/>
          <w:szCs w:val="28"/>
          <w14:textFill>
            <w14:solidFill>
              <w14:schemeClr w14:val="tx1"/>
            </w14:solidFill>
          </w14:textFill>
        </w:rPr>
      </w:pPr>
      <w:bookmarkStart w:id="6" w:name="_Toc32202"/>
      <w:r>
        <w:rPr>
          <w:rFonts w:ascii="黑体" w:hAnsi="黑体" w:eastAsia="黑体" w:cs="Helvetica"/>
          <w:b/>
          <w:color w:val="000000" w:themeColor="text1"/>
          <w:kern w:val="0"/>
          <w:sz w:val="28"/>
          <w:szCs w:val="28"/>
          <w14:textFill>
            <w14:solidFill>
              <w14:schemeClr w14:val="tx1"/>
            </w14:solidFill>
          </w14:textFill>
        </w:rPr>
        <w:t>1</w:t>
      </w:r>
      <w:r>
        <w:rPr>
          <w:rFonts w:hint="eastAsia" w:ascii="黑体" w:hAnsi="黑体" w:eastAsia="黑体" w:cs="Helvetica"/>
          <w:b/>
          <w:color w:val="000000" w:themeColor="text1"/>
          <w:kern w:val="0"/>
          <w:sz w:val="28"/>
          <w:szCs w:val="28"/>
          <w14:textFill>
            <w14:solidFill>
              <w14:schemeClr w14:val="tx1"/>
            </w14:solidFill>
          </w14:textFill>
        </w:rPr>
        <w:t>.1.</w:t>
      </w:r>
      <w:r>
        <w:rPr>
          <w:rFonts w:ascii="黑体" w:hAnsi="黑体" w:eastAsia="黑体" w:cs="Helvetica"/>
          <w:b/>
          <w:color w:val="000000" w:themeColor="text1"/>
          <w:kern w:val="0"/>
          <w:sz w:val="28"/>
          <w:szCs w:val="28"/>
          <w14:textFill>
            <w14:solidFill>
              <w14:schemeClr w14:val="tx1"/>
            </w14:solidFill>
          </w14:textFill>
        </w:rPr>
        <w:t xml:space="preserve">3 </w:t>
      </w:r>
      <w:r>
        <w:rPr>
          <w:rFonts w:hint="eastAsia" w:ascii="黑体" w:hAnsi="黑体" w:eastAsia="黑体" w:cs="Helvetica"/>
          <w:b/>
          <w:color w:val="000000" w:themeColor="text1"/>
          <w:kern w:val="0"/>
          <w:sz w:val="28"/>
          <w:szCs w:val="28"/>
          <w14:textFill>
            <w14:solidFill>
              <w14:schemeClr w14:val="tx1"/>
            </w14:solidFill>
          </w14:textFill>
        </w:rPr>
        <w:t>产业发展趋势</w:t>
      </w:r>
      <w:bookmarkEnd w:id="6"/>
    </w:p>
    <w:p>
      <w:pPr>
        <w:ind w:firstLine="480"/>
        <w:rPr>
          <w:rFonts w:hint="eastAsia" w:asciiTheme="majorEastAsia" w:hAnsiTheme="majorEastAsia" w:eastAsiaTheme="majorEastAsia"/>
        </w:rPr>
      </w:pPr>
      <w:r>
        <w:rPr>
          <w:rFonts w:hint="eastAsia" w:asciiTheme="majorEastAsia" w:hAnsiTheme="majorEastAsia" w:eastAsiaTheme="majorEastAsia"/>
        </w:rPr>
        <w:t>医疗器械行业是中国国民经济发展的重要组成部分，其与中国宏观经济发展息息相关，未来随着中国医疗体系的不断发展，医疗器械行业市场规模或将持续上升。</w:t>
      </w:r>
    </w:p>
    <w:p>
      <w:pPr>
        <w:pStyle w:val="2"/>
        <w:ind w:firstLine="480"/>
      </w:pPr>
      <w:r>
        <w:rPr>
          <w:rFonts w:hint="eastAsia"/>
        </w:rPr>
        <w:t>相比发达国家，我国医疗器械行业具有起步晚、规模小、产品单一的特点。但经过近几十年的快速发展，现我国医疗器械行业已成为一个产业门类比较齐全、创新能力不断增强、市场需求旺盛的朝阳产业。随着国家政策支持与优化、医改不断深入、人口老龄化不断凸显、消费能力和健康意识提升，促使我国医疗器械行业尤其是国内医疗器械龙头企业进入了黄金发展时期。而国内高歌猛进的医疗器械市场，在兼具资金和技术优势的国际医疗巨头的青昧下，行业竞争激烈，机会与挑战并存，未来中国医疗器械或有以下发展趋势：</w:t>
      </w:r>
    </w:p>
    <w:p>
      <w:pPr>
        <w:ind w:firstLine="480"/>
      </w:pPr>
      <w:r>
        <w:rPr>
          <w:rFonts w:hint="eastAsia"/>
        </w:rPr>
        <w:t>市场发展规模体量持续增长：在GDP增长、社会消费水平提高、人口老龄化加快等多因素的驱动下，国内医疗器械未来成长空间巨大。与此同时，随着国内医疗器械企业产品力和资本力不断提升，高技术、高附加值器械产品的出口规模将持续扩大，从而进一步提升国内器械企业的市场空间。</w:t>
      </w:r>
    </w:p>
    <w:p>
      <w:pPr>
        <w:ind w:firstLine="480"/>
      </w:pPr>
      <w:r>
        <w:rPr>
          <w:rFonts w:hint="eastAsia"/>
        </w:rPr>
        <w:t>行业整合促进市场集中度：随着行业法规的日趋完善，监管趋严，对企业的研发、制造、资金能力提出了高要求，市场竞争将进一步加剧，最终将一批产品和品牌以市场化方式淘汰出局。</w:t>
      </w:r>
    </w:p>
    <w:p>
      <w:pPr>
        <w:ind w:firstLine="480"/>
      </w:pPr>
      <w:r>
        <w:rPr>
          <w:rFonts w:hint="eastAsia"/>
        </w:rPr>
        <w:t>家用医疗设备逐渐普及：近年来，“银发经济”迎来风口，针对银发群体的家用小型化、适老化医疗器械迎来发展机遇。其中，助听、睡眠呼吸、康复等产品市场需求快速增长，陪护机器人、智能监测仪、多功能护理床等领域迎来政策红利，轻巧便携、适老化的家用医疗器械成为居家诊疗、护理、保健等场景中不可或缺的工具。</w:t>
      </w:r>
    </w:p>
    <w:p>
      <w:pPr>
        <w:ind w:firstLine="480"/>
      </w:pPr>
      <w:r>
        <w:rPr>
          <w:rFonts w:hint="eastAsia"/>
        </w:rPr>
        <w:t>医疗器械产品数智化：未来，人工智能、虚拟现实、大数据等新一代信息技术与医疗器械深度融合，智能影像诊断设备、手术机器人、康复机器人等医疗器械加速上升。</w:t>
      </w:r>
    </w:p>
    <w:p>
      <w:pPr>
        <w:ind w:firstLine="562"/>
        <w:outlineLvl w:val="1"/>
        <w:rPr>
          <w:rFonts w:hint="eastAsia" w:ascii="黑体" w:hAnsi="黑体" w:eastAsia="黑体"/>
          <w:b/>
          <w:bCs/>
          <w:sz w:val="28"/>
          <w:szCs w:val="28"/>
        </w:rPr>
      </w:pPr>
      <w:bookmarkStart w:id="7" w:name="_Toc15303"/>
      <w:r>
        <w:rPr>
          <w:rFonts w:ascii="黑体" w:hAnsi="黑体" w:eastAsia="黑体"/>
          <w:b/>
          <w:bCs/>
          <w:sz w:val="28"/>
          <w:szCs w:val="28"/>
        </w:rPr>
        <w:t>1</w:t>
      </w:r>
      <w:r>
        <w:rPr>
          <w:rFonts w:hint="eastAsia" w:ascii="黑体" w:hAnsi="黑体" w:eastAsia="黑体"/>
          <w:b/>
          <w:bCs/>
          <w:sz w:val="28"/>
          <w:szCs w:val="28"/>
        </w:rPr>
        <w:t>.2</w:t>
      </w:r>
      <w:r>
        <w:rPr>
          <w:rFonts w:ascii="黑体" w:hAnsi="黑体" w:eastAsia="黑体"/>
          <w:b/>
          <w:bCs/>
          <w:sz w:val="28"/>
          <w:szCs w:val="28"/>
        </w:rPr>
        <w:t xml:space="preserve"> </w:t>
      </w:r>
      <w:r>
        <w:rPr>
          <w:rFonts w:hint="eastAsia" w:ascii="黑体" w:hAnsi="黑体" w:eastAsia="黑体"/>
          <w:b/>
          <w:bCs/>
          <w:sz w:val="28"/>
          <w:szCs w:val="28"/>
        </w:rPr>
        <w:t>聊城市医疗器械产业分析</w:t>
      </w:r>
      <w:bookmarkEnd w:id="7"/>
    </w:p>
    <w:p>
      <w:pPr>
        <w:ind w:firstLine="562"/>
        <w:outlineLvl w:val="2"/>
        <w:rPr>
          <w:rFonts w:hint="eastAsia" w:ascii="黑体" w:hAnsi="黑体" w:eastAsia="黑体" w:cs="Helvetica"/>
          <w:b/>
          <w:color w:val="000000" w:themeColor="text1"/>
          <w:kern w:val="0"/>
          <w:sz w:val="28"/>
          <w:szCs w:val="28"/>
          <w14:textFill>
            <w14:solidFill>
              <w14:schemeClr w14:val="tx1"/>
            </w14:solidFill>
          </w14:textFill>
        </w:rPr>
      </w:pPr>
      <w:bookmarkStart w:id="8" w:name="_Toc24857"/>
      <w:r>
        <w:rPr>
          <w:rFonts w:ascii="黑体" w:hAnsi="黑体" w:eastAsia="黑体" w:cs="Helvetica"/>
          <w:b/>
          <w:color w:val="000000" w:themeColor="text1"/>
          <w:kern w:val="0"/>
          <w:sz w:val="28"/>
          <w:szCs w:val="28"/>
          <w14:textFill>
            <w14:solidFill>
              <w14:schemeClr w14:val="tx1"/>
            </w14:solidFill>
          </w14:textFill>
        </w:rPr>
        <w:t>1</w:t>
      </w:r>
      <w:r>
        <w:rPr>
          <w:rFonts w:hint="eastAsia" w:ascii="黑体" w:hAnsi="黑体" w:eastAsia="黑体" w:cs="Helvetica"/>
          <w:b/>
          <w:color w:val="000000" w:themeColor="text1"/>
          <w:kern w:val="0"/>
          <w:sz w:val="28"/>
          <w:szCs w:val="28"/>
          <w14:textFill>
            <w14:solidFill>
              <w14:schemeClr w14:val="tx1"/>
            </w14:solidFill>
          </w14:textFill>
        </w:rPr>
        <w:t>.2.1</w:t>
      </w:r>
      <w:r>
        <w:rPr>
          <w:rFonts w:ascii="黑体" w:hAnsi="黑体" w:eastAsia="黑体" w:cs="Helvetica"/>
          <w:b/>
          <w:color w:val="000000" w:themeColor="text1"/>
          <w:kern w:val="0"/>
          <w:sz w:val="28"/>
          <w:szCs w:val="28"/>
          <w14:textFill>
            <w14:solidFill>
              <w14:schemeClr w14:val="tx1"/>
            </w14:solidFill>
          </w14:textFill>
        </w:rPr>
        <w:t xml:space="preserve"> </w:t>
      </w:r>
      <w:r>
        <w:rPr>
          <w:rFonts w:hint="eastAsia" w:ascii="黑体" w:hAnsi="黑体" w:eastAsia="黑体" w:cs="Helvetica"/>
          <w:b/>
          <w:color w:val="000000" w:themeColor="text1"/>
          <w:kern w:val="0"/>
          <w:sz w:val="28"/>
          <w:szCs w:val="28"/>
          <w14:textFill>
            <w14:solidFill>
              <w14:schemeClr w14:val="tx1"/>
            </w14:solidFill>
          </w14:textFill>
        </w:rPr>
        <w:t>产业发展概况</w:t>
      </w:r>
      <w:bookmarkEnd w:id="8"/>
    </w:p>
    <w:p>
      <w:pPr>
        <w:ind w:firstLine="480"/>
        <w:rPr>
          <w:rFonts w:hint="eastAsia" w:asciiTheme="majorEastAsia" w:hAnsiTheme="majorEastAsia" w:eastAsiaTheme="majorEastAsia"/>
        </w:rPr>
      </w:pPr>
      <w:r>
        <w:rPr>
          <w:rFonts w:hint="eastAsia" w:asciiTheme="majorEastAsia" w:hAnsiTheme="majorEastAsia" w:eastAsiaTheme="majorEastAsia"/>
        </w:rPr>
        <w:t> 为深入贯彻落实《山东省医养健康产业发展规划（2023—2027年）》相关精神，紧密结合聊城实际，聊城市制定了《聊城市大健康产业发展规划（2024—2028年）》，旨在打造覆盖全生命周期、内涵丰富、结构合理的大健康产业体系，推动全市大健康产业实现高质量发展。《规划》共六章，包括基础环境、发展前景、区域布局、重点领域、主要工程、政策保障等内容。</w:t>
      </w:r>
    </w:p>
    <w:p>
      <w:pPr>
        <w:ind w:firstLine="480"/>
        <w:rPr>
          <w:rFonts w:hint="eastAsia" w:asciiTheme="majorEastAsia" w:hAnsiTheme="majorEastAsia" w:eastAsiaTheme="majorEastAsia"/>
        </w:rPr>
      </w:pPr>
      <w:r>
        <w:rPr>
          <w:rFonts w:hint="eastAsia" w:asciiTheme="majorEastAsia" w:hAnsiTheme="majorEastAsia" w:eastAsiaTheme="majorEastAsia"/>
        </w:rPr>
        <w:t>聊城市力争2028年底前，建成1—2个国家级、省级大健康产业集聚区，25个以上国家级、省级创新平台，以及一批市级健康服务业集聚区，医养健康产业增加值突破300亿元，占全市生产总值8%，阿胶产业集群营业收入达100亿元，大健康产业增加值突破60亿元，年平均增长率超5%。</w:t>
      </w:r>
    </w:p>
    <w:p>
      <w:pPr>
        <w:ind w:firstLine="480"/>
        <w:rPr>
          <w:rFonts w:hint="eastAsia" w:asciiTheme="majorEastAsia" w:hAnsiTheme="majorEastAsia" w:eastAsiaTheme="majorEastAsia"/>
        </w:rPr>
      </w:pPr>
      <w:r>
        <w:rPr>
          <w:rFonts w:hint="eastAsia" w:asciiTheme="majorEastAsia" w:hAnsiTheme="majorEastAsia" w:eastAsiaTheme="majorEastAsia"/>
        </w:rPr>
        <w:t>聊城市立足各县（市、区）大健康产业发展基础、区位优势、资源要素配置以及发展定位，构建“三核引领、两带拓展、全域协同”的大健康产业发展新格局。三核引领，以生物医药、医疗器械、保健食品为三大核心引擎，通过全产业链发展、科技创新、品牌建设和文旅康养融合等方式，提升产业竞争力和影响力。两带拓展，“两河”文旅健康养生带，利用黄河、大运河聊城段的文化资源和自然资源，打造集文化、旅游、健康养生于一体的综合性发展区域；林下大健康区域发展带，以自然资源禀赋、生态区位为基础，发展林下中药材精深加工，推动产业集聚，发展特色产业。全域协同，秉持差异化发展理念，挖掘特色资源，培育特色产品，优势互补、协同合作，全市“一盘棋”推动大健康产业高质量发展。</w:t>
      </w:r>
    </w:p>
    <w:p>
      <w:pPr>
        <w:ind w:firstLine="480"/>
        <w:rPr>
          <w:rFonts w:hint="eastAsia" w:asciiTheme="majorEastAsia" w:hAnsiTheme="majorEastAsia" w:eastAsiaTheme="majorEastAsia"/>
        </w:rPr>
      </w:pPr>
      <w:r>
        <w:rPr>
          <w:rFonts w:hint="eastAsia" w:asciiTheme="majorEastAsia" w:hAnsiTheme="majorEastAsia" w:eastAsiaTheme="majorEastAsia"/>
        </w:rPr>
        <w:t>聊城市聚焦5个重点领域，着力培育大健康产业新优势。集群化发展生物医药产业，建设一流生物医药产业生态集群，延伸生物医药产业链条，做强链主企业，做精链条企业。高端化发展医疗器械产业，融入省会医疗器械发展集群，围绕研发、生产、流通、销售，构建医疗器械产业一体化发展新格局。特色化发展保健食品产业，构建资源、技术、生产和市场要素协调发展的保健食品产业体系，培育一批健康食品、特医食品企业或企业集团及品牌，满足消费者多元化、个性化的健康需求。多样化发展中医药健康产业，扩大以“鲁十味”为代表的大宗药材品种规范化种植养殖规模，支持中药材品种申报有机产品、绿色食品、农产品地理标志。融合化发展“新业态”健康产业，完善覆盖城乡、便捷高效、智慧精准的“互联网+医疗健康”服务体系，推动居民长期护理保险全覆盖，探索“体育+医疗”“体育+康养”等新型业态，推动体育健身与医疗卫生、健康管理等领域的深度融合。</w:t>
      </w:r>
    </w:p>
    <w:p>
      <w:pPr>
        <w:ind w:firstLine="480"/>
        <w:rPr>
          <w:rFonts w:hint="eastAsia" w:asciiTheme="majorEastAsia" w:hAnsiTheme="majorEastAsia" w:eastAsiaTheme="majorEastAsia"/>
        </w:rPr>
      </w:pPr>
      <w:r>
        <w:rPr>
          <w:rFonts w:hint="eastAsia" w:asciiTheme="majorEastAsia" w:hAnsiTheme="majorEastAsia" w:eastAsiaTheme="majorEastAsia"/>
        </w:rPr>
        <w:t>针对产业发展存在的突出问题和薄弱环节，深入实施“五大工程”。一是集群提升工程。链主企业带动，培育龙头、骨干企业，引导中小微企业走专精特新路线，支持跨区域联合，打造特色集聚区。二是人才引育工程。通过专项计划吸引急需高层次人才，借助院校及在职培训培育专业人才，建立激励机制，促进机构企业共享资源。三是科技创新助力工程。聚焦重点领域关键技术攻关，搭建平台，培养高新技术企业，推动产学研合作。四是智慧健康赋能工程。完善健康大数据平台，实现数据互通；优化全民健康智能管理服务平台，提升服务效率。五是营商环境优化工程。制定多领域惠企政策，简化审批流程，鼓励创新研发，推动产业国际化发展。</w:t>
      </w:r>
    </w:p>
    <w:p>
      <w:pPr>
        <w:ind w:firstLine="480"/>
        <w:rPr>
          <w:rFonts w:hint="eastAsia" w:asciiTheme="majorEastAsia" w:hAnsiTheme="majorEastAsia" w:eastAsiaTheme="majorEastAsia"/>
        </w:rPr>
      </w:pPr>
      <w:r>
        <w:rPr>
          <w:rFonts w:hint="eastAsia" w:asciiTheme="majorEastAsia" w:hAnsiTheme="majorEastAsia" w:eastAsiaTheme="majorEastAsia"/>
        </w:rPr>
        <w:t>《规划》深度布局战略性新兴产业，以生物医药、高端医疗器械为主攻方向，响应国家大型设备以旧换新政策，创新构建“基础研究—技术攻关—成果转化”全链条平台，抢占大健康产业未来“新赛道”。</w:t>
      </w:r>
    </w:p>
    <w:p>
      <w:pPr>
        <w:ind w:firstLine="562"/>
        <w:outlineLvl w:val="2"/>
        <w:rPr>
          <w:rFonts w:hint="eastAsia" w:ascii="黑体" w:hAnsi="黑体" w:eastAsia="黑体" w:cs="Helvetica"/>
          <w:b/>
          <w:color w:val="000000" w:themeColor="text1"/>
          <w:kern w:val="0"/>
          <w:sz w:val="28"/>
          <w:szCs w:val="28"/>
          <w14:textFill>
            <w14:solidFill>
              <w14:schemeClr w14:val="tx1"/>
            </w14:solidFill>
          </w14:textFill>
        </w:rPr>
      </w:pPr>
      <w:bookmarkStart w:id="9" w:name="_Toc10807"/>
      <w:r>
        <w:rPr>
          <w:rFonts w:ascii="黑体" w:hAnsi="黑体" w:eastAsia="黑体" w:cs="Helvetica"/>
          <w:b/>
          <w:color w:val="000000" w:themeColor="text1"/>
          <w:kern w:val="0"/>
          <w:sz w:val="28"/>
          <w:szCs w:val="28"/>
          <w14:textFill>
            <w14:solidFill>
              <w14:schemeClr w14:val="tx1"/>
            </w14:solidFill>
          </w14:textFill>
        </w:rPr>
        <w:t>1</w:t>
      </w:r>
      <w:r>
        <w:rPr>
          <w:rFonts w:hint="eastAsia" w:ascii="黑体" w:hAnsi="黑体" w:eastAsia="黑体" w:cs="Helvetica"/>
          <w:b/>
          <w:color w:val="000000" w:themeColor="text1"/>
          <w:kern w:val="0"/>
          <w:sz w:val="28"/>
          <w:szCs w:val="28"/>
          <w14:textFill>
            <w14:solidFill>
              <w14:schemeClr w14:val="tx1"/>
            </w14:solidFill>
          </w14:textFill>
        </w:rPr>
        <w:t>.2.2</w:t>
      </w:r>
      <w:r>
        <w:rPr>
          <w:rFonts w:ascii="黑体" w:hAnsi="黑体" w:eastAsia="黑体" w:cs="Helvetica"/>
          <w:b/>
          <w:color w:val="000000" w:themeColor="text1"/>
          <w:kern w:val="0"/>
          <w:sz w:val="28"/>
          <w:szCs w:val="28"/>
          <w14:textFill>
            <w14:solidFill>
              <w14:schemeClr w14:val="tx1"/>
            </w14:solidFill>
          </w14:textFill>
        </w:rPr>
        <w:t xml:space="preserve"> </w:t>
      </w:r>
      <w:r>
        <w:rPr>
          <w:rFonts w:hint="eastAsia" w:ascii="黑体" w:hAnsi="黑体" w:eastAsia="黑体" w:cs="Helvetica"/>
          <w:b/>
          <w:color w:val="000000" w:themeColor="text1"/>
          <w:kern w:val="0"/>
          <w:sz w:val="28"/>
          <w:szCs w:val="28"/>
          <w14:textFill>
            <w14:solidFill>
              <w14:schemeClr w14:val="tx1"/>
            </w14:solidFill>
          </w14:textFill>
        </w:rPr>
        <w:t>重点企业</w:t>
      </w:r>
      <w:bookmarkEnd w:id="9"/>
    </w:p>
    <w:p>
      <w:pPr>
        <w:ind w:firstLine="482"/>
        <w:rPr>
          <w:rFonts w:hint="eastAsia" w:asciiTheme="minorEastAsia" w:hAnsiTheme="minorEastAsia" w:eastAsiaTheme="minorEastAsia"/>
          <w:b/>
          <w:bCs/>
          <w:color w:val="191919"/>
          <w:shd w:val="clear" w:color="auto" w:fill="FFFFFF"/>
        </w:rPr>
      </w:pPr>
      <w:r>
        <w:rPr>
          <w:rFonts w:hint="eastAsia" w:asciiTheme="minorEastAsia" w:hAnsiTheme="minorEastAsia" w:eastAsiaTheme="minorEastAsia"/>
          <w:b/>
          <w:bCs/>
          <w:color w:val="191919"/>
          <w:shd w:val="clear" w:color="auto" w:fill="FFFFFF"/>
        </w:rPr>
        <w:t>一、山东医光医疗器械有限公司</w:t>
      </w:r>
    </w:p>
    <w:p>
      <w:pPr>
        <w:ind w:firstLine="480"/>
        <w:rPr>
          <w:rFonts w:hint="eastAsia" w:asciiTheme="majorEastAsia" w:hAnsiTheme="majorEastAsia" w:eastAsiaTheme="majorEastAsia"/>
        </w:rPr>
      </w:pPr>
      <w:r>
        <w:rPr>
          <w:rFonts w:hint="eastAsia" w:asciiTheme="majorEastAsia" w:hAnsiTheme="majorEastAsia" w:eastAsiaTheme="majorEastAsia"/>
        </w:rPr>
        <w:t>山东医光医疗器械有限公司位于“江北水城”山东省聊城市茌平三九科技工业园内，主要产品是一次性使用输液器、一次性使用无菌注射器、一次性使用输血器、一次性静脉输液针、一次性使用无菌注射针等以高分子材料为主的无菌医疗器械，产品注册商标“医光”牌，是聊城市生产一次性使用无菌医疗器械的中型企业。公司占地35000平方米，员工350人，100000级净化厂房5000m2，拥有现代化的医用级塑料挤出、吹塑、注塑、灭菌、制水、印刷、自动粘针机、自动组装机、封口设备150台。产品销售到世界40多个国家，受到国内外医护工作人员的一致好评，取得了较好的社会效益和经济效益。“产品是企业的生命，质量是产品的生命”，是公司的发展观念；公司坚持质量管理是企业永恒的主题，质量管理体系通过了ISO 13485：2016认证，取得了一次性使用输液器和无菌注射器的《医疗器械注册证》(国械注准20153140380，国械注准20153140381，国械注准20153140486，国械注准20213140904）和欧盟CE认证，及《医疗器械生产许可证》（鲁食药监械生产许20100093号）。公司严格按照标准要求建立了生物、化学、物理性能检测室，配备了全性能检测仪器和设备，质检人员均取得了国家食品药品监督管理局济南医疗器械质量监督检验中心颁发的上岗证，保证出厂产品合格率为100%。“以人为本，诚信务实；同舟共济，追求卓越”是企业的宗旨，“做百年企业，创百年名牌”是公司的战略目标。竭诚欢迎各大医疗机构、医药单位与我们合作，共谋发展大计,共同开创“医光”医疗器械事业的美好未来，携手为全人类健康事业献至诚至爱。</w:t>
      </w:r>
    </w:p>
    <w:p>
      <w:pPr>
        <w:ind w:firstLine="0" w:firstLineChars="0"/>
        <w:jc w:val="center"/>
        <w:rPr>
          <w:rFonts w:hint="eastAsia" w:cs="Helvetica" w:asciiTheme="minorEastAsia" w:hAnsiTheme="minorEastAsia"/>
          <w:b/>
          <w:color w:val="000000" w:themeColor="text1"/>
          <w:kern w:val="0"/>
          <w14:textFill>
            <w14:solidFill>
              <w14:schemeClr w14:val="tx1"/>
            </w14:solidFill>
          </w14:textFill>
        </w:rPr>
      </w:pPr>
      <w:r>
        <w:rPr>
          <w:rFonts w:hint="eastAsia" w:cs="Helvetica" w:asciiTheme="minorEastAsia" w:hAnsiTheme="minorEastAsia"/>
          <w:b/>
          <w:color w:val="000000" w:themeColor="text1"/>
          <w:kern w:val="0"/>
          <w14:textFill>
            <w14:solidFill>
              <w14:schemeClr w14:val="tx1"/>
            </w14:solidFill>
          </w14:textFill>
        </w:rPr>
        <w:t>表</w:t>
      </w:r>
      <w:r>
        <w:rPr>
          <w:rFonts w:cs="Helvetica" w:asciiTheme="minorEastAsia" w:hAnsiTheme="minorEastAsia"/>
          <w:b/>
          <w:color w:val="000000" w:themeColor="text1"/>
          <w:kern w:val="0"/>
          <w14:textFill>
            <w14:solidFill>
              <w14:schemeClr w14:val="tx1"/>
            </w14:solidFill>
          </w14:textFill>
        </w:rPr>
        <w:t>1.2-1</w:t>
      </w:r>
      <w:r>
        <w:rPr>
          <w:rFonts w:hint="eastAsia" w:cs="Helvetica" w:asciiTheme="minorEastAsia" w:hAnsiTheme="minorEastAsia"/>
          <w:b/>
          <w:color w:val="000000" w:themeColor="text1"/>
          <w:kern w:val="0"/>
          <w14:textFill>
            <w14:solidFill>
              <w14:schemeClr w14:val="tx1"/>
            </w14:solidFill>
          </w14:textFill>
        </w:rPr>
        <w:t xml:space="preserve"> 山东医光医疗器械有限公司部分专利</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810"/>
        <w:gridCol w:w="3194"/>
        <w:gridCol w:w="1392"/>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400" w:type="pct"/>
            <w:shd w:val="clear" w:color="33CCCC" w:fill="33CCCC"/>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序号</w:t>
            </w:r>
          </w:p>
        </w:tc>
        <w:tc>
          <w:tcPr>
            <w:tcW w:w="1062" w:type="pct"/>
            <w:shd w:val="clear" w:color="33CCCC" w:fill="33CCCC"/>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公开（公告）号</w:t>
            </w:r>
          </w:p>
        </w:tc>
        <w:tc>
          <w:tcPr>
            <w:tcW w:w="1874" w:type="pct"/>
            <w:shd w:val="clear" w:color="33CCCC" w:fill="33CCCC"/>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标题</w:t>
            </w:r>
          </w:p>
        </w:tc>
        <w:tc>
          <w:tcPr>
            <w:tcW w:w="817" w:type="pct"/>
            <w:shd w:val="clear" w:color="33CCCC" w:fill="33CCCC"/>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当前法律状态</w:t>
            </w:r>
          </w:p>
        </w:tc>
        <w:tc>
          <w:tcPr>
            <w:tcW w:w="845" w:type="pct"/>
            <w:shd w:val="clear" w:color="33CCCC" w:fill="33CCCC"/>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申请日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0"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w:t>
            </w:r>
          </w:p>
        </w:tc>
        <w:tc>
          <w:tcPr>
            <w:tcW w:w="1062"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CN220331418U</w:t>
            </w:r>
          </w:p>
        </w:tc>
        <w:tc>
          <w:tcPr>
            <w:tcW w:w="1874"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输液器生产线用牵管装置</w:t>
            </w:r>
          </w:p>
        </w:tc>
        <w:tc>
          <w:tcPr>
            <w:tcW w:w="817"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4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0"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w:t>
            </w:r>
          </w:p>
        </w:tc>
        <w:tc>
          <w:tcPr>
            <w:tcW w:w="1062"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CN221367782U</w:t>
            </w:r>
          </w:p>
        </w:tc>
        <w:tc>
          <w:tcPr>
            <w:tcW w:w="1874"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一种输液器包装袋用上料机械手</w:t>
            </w:r>
          </w:p>
        </w:tc>
        <w:tc>
          <w:tcPr>
            <w:tcW w:w="817"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4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0"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w:t>
            </w:r>
          </w:p>
        </w:tc>
        <w:tc>
          <w:tcPr>
            <w:tcW w:w="1062"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CN220642078U</w:t>
            </w:r>
          </w:p>
        </w:tc>
        <w:tc>
          <w:tcPr>
            <w:tcW w:w="1874"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输液管张紧输送机构</w:t>
            </w:r>
          </w:p>
        </w:tc>
        <w:tc>
          <w:tcPr>
            <w:tcW w:w="817"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4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0"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4</w:t>
            </w:r>
          </w:p>
        </w:tc>
        <w:tc>
          <w:tcPr>
            <w:tcW w:w="1062"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CN220143847U</w:t>
            </w:r>
          </w:p>
        </w:tc>
        <w:tc>
          <w:tcPr>
            <w:tcW w:w="1874"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输液器生产用涂胶装置</w:t>
            </w:r>
          </w:p>
        </w:tc>
        <w:tc>
          <w:tcPr>
            <w:tcW w:w="817"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4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0"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5</w:t>
            </w:r>
          </w:p>
        </w:tc>
        <w:tc>
          <w:tcPr>
            <w:tcW w:w="1062"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CN220260070U</w:t>
            </w:r>
          </w:p>
        </w:tc>
        <w:tc>
          <w:tcPr>
            <w:tcW w:w="1874"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一种输液器滚轮进料定位结构</w:t>
            </w:r>
          </w:p>
        </w:tc>
        <w:tc>
          <w:tcPr>
            <w:tcW w:w="817"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4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0"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6</w:t>
            </w:r>
          </w:p>
        </w:tc>
        <w:tc>
          <w:tcPr>
            <w:tcW w:w="1062"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CN221642801U</w:t>
            </w:r>
          </w:p>
        </w:tc>
        <w:tc>
          <w:tcPr>
            <w:tcW w:w="1874"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输液器进袋用顶推机构</w:t>
            </w:r>
          </w:p>
        </w:tc>
        <w:tc>
          <w:tcPr>
            <w:tcW w:w="817"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4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2024-1-31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0"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7</w:t>
            </w:r>
          </w:p>
        </w:tc>
        <w:tc>
          <w:tcPr>
            <w:tcW w:w="1062"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CN220844911U</w:t>
            </w:r>
          </w:p>
        </w:tc>
        <w:tc>
          <w:tcPr>
            <w:tcW w:w="1874"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输液器成品用卷绕装置</w:t>
            </w:r>
          </w:p>
        </w:tc>
        <w:tc>
          <w:tcPr>
            <w:tcW w:w="817"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4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0"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8</w:t>
            </w:r>
          </w:p>
        </w:tc>
        <w:tc>
          <w:tcPr>
            <w:tcW w:w="1062"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CN220560851U</w:t>
            </w:r>
          </w:p>
        </w:tc>
        <w:tc>
          <w:tcPr>
            <w:tcW w:w="1874"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输液器流量调节器上料夹持装置</w:t>
            </w:r>
          </w:p>
        </w:tc>
        <w:tc>
          <w:tcPr>
            <w:tcW w:w="817"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4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0"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9</w:t>
            </w:r>
          </w:p>
        </w:tc>
        <w:tc>
          <w:tcPr>
            <w:tcW w:w="1062"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CN221835648U</w:t>
            </w:r>
          </w:p>
        </w:tc>
        <w:tc>
          <w:tcPr>
            <w:tcW w:w="1874"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一种输液器产品包装用撑袋装置</w:t>
            </w:r>
          </w:p>
        </w:tc>
        <w:tc>
          <w:tcPr>
            <w:tcW w:w="817"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4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2024-1-31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0"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10</w:t>
            </w:r>
          </w:p>
        </w:tc>
        <w:tc>
          <w:tcPr>
            <w:tcW w:w="1062"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CN220563805U</w:t>
            </w:r>
          </w:p>
        </w:tc>
        <w:tc>
          <w:tcPr>
            <w:tcW w:w="1874"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用于输液器流速调节器的上料装置</w:t>
            </w:r>
          </w:p>
        </w:tc>
        <w:tc>
          <w:tcPr>
            <w:tcW w:w="817"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4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0"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11</w:t>
            </w:r>
          </w:p>
        </w:tc>
        <w:tc>
          <w:tcPr>
            <w:tcW w:w="1062"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CN220883469U</w:t>
            </w:r>
          </w:p>
        </w:tc>
        <w:tc>
          <w:tcPr>
            <w:tcW w:w="1874"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输液器输液软管组装用定位机构</w:t>
            </w:r>
          </w:p>
        </w:tc>
        <w:tc>
          <w:tcPr>
            <w:tcW w:w="817"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4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0"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12</w:t>
            </w:r>
          </w:p>
        </w:tc>
        <w:tc>
          <w:tcPr>
            <w:tcW w:w="1062"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CN221624096U</w:t>
            </w:r>
          </w:p>
        </w:tc>
        <w:tc>
          <w:tcPr>
            <w:tcW w:w="1874"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输液器成品包装转运导出设备</w:t>
            </w:r>
          </w:p>
        </w:tc>
        <w:tc>
          <w:tcPr>
            <w:tcW w:w="817"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4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2024-2-28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0"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13</w:t>
            </w:r>
          </w:p>
        </w:tc>
        <w:tc>
          <w:tcPr>
            <w:tcW w:w="1062"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CN221832848U</w:t>
            </w:r>
          </w:p>
        </w:tc>
        <w:tc>
          <w:tcPr>
            <w:tcW w:w="1874"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输液器瓶塞穿刺器用光检装置</w:t>
            </w:r>
          </w:p>
        </w:tc>
        <w:tc>
          <w:tcPr>
            <w:tcW w:w="817"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4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2024-2-28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0"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14</w:t>
            </w:r>
          </w:p>
        </w:tc>
        <w:tc>
          <w:tcPr>
            <w:tcW w:w="1062"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CN221563649U</w:t>
            </w:r>
          </w:p>
        </w:tc>
        <w:tc>
          <w:tcPr>
            <w:tcW w:w="1874"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待密封的输液器及包装袋夹持转移机构</w:t>
            </w:r>
          </w:p>
        </w:tc>
        <w:tc>
          <w:tcPr>
            <w:tcW w:w="817"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4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2024-1-31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0"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15</w:t>
            </w:r>
          </w:p>
        </w:tc>
        <w:tc>
          <w:tcPr>
            <w:tcW w:w="1062"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CN220975517U</w:t>
            </w:r>
          </w:p>
        </w:tc>
        <w:tc>
          <w:tcPr>
            <w:tcW w:w="1874"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输液器配件护帽的震动上料结构</w:t>
            </w:r>
          </w:p>
        </w:tc>
        <w:tc>
          <w:tcPr>
            <w:tcW w:w="817"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4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2023-9-22</w:t>
            </w:r>
          </w:p>
        </w:tc>
      </w:tr>
    </w:tbl>
    <w:p>
      <w:pPr>
        <w:pStyle w:val="2"/>
        <w:ind w:firstLine="482"/>
        <w:rPr>
          <w:rFonts w:hint="eastAsia" w:asciiTheme="minorEastAsia" w:hAnsiTheme="minorEastAsia" w:eastAsiaTheme="minorEastAsia"/>
          <w:b/>
          <w:bCs/>
          <w:color w:val="000000" w:themeColor="text1"/>
          <w14:textFill>
            <w14:solidFill>
              <w14:schemeClr w14:val="tx1"/>
            </w14:solidFill>
          </w14:textFill>
        </w:rPr>
      </w:pPr>
      <w:r>
        <w:rPr>
          <w:rFonts w:hint="eastAsia" w:asciiTheme="minorEastAsia" w:hAnsiTheme="minorEastAsia" w:eastAsiaTheme="minorEastAsia"/>
          <w:b/>
          <w:bCs/>
          <w:color w:val="000000" w:themeColor="text1"/>
          <w14:textFill>
            <w14:solidFill>
              <w14:schemeClr w14:val="tx1"/>
            </w14:solidFill>
          </w14:textFill>
        </w:rPr>
        <w:t>二、东阿阿华医疗科技有限公司</w:t>
      </w:r>
    </w:p>
    <w:p>
      <w:pPr>
        <w:ind w:firstLine="480"/>
        <w:rPr>
          <w:rFonts w:hint="eastAsia" w:asciiTheme="majorEastAsia" w:hAnsiTheme="majorEastAsia" w:eastAsiaTheme="majorEastAsia"/>
        </w:rPr>
      </w:pPr>
      <w:r>
        <w:rPr>
          <w:rFonts w:hint="eastAsia" w:asciiTheme="majorEastAsia" w:hAnsiTheme="majorEastAsia" w:eastAsiaTheme="majorEastAsia"/>
        </w:rPr>
        <w:t>东阿阿华医疗科技有限公司成立于1987年，是一家集研发、生产、销售为一体的专业医疗器械及药品生产企业。公司主要产品有：玻璃体温计、镓铟锡体温计、医用电子体温计、医用红外体温计、医用外科口罩、一次性使用医用口罩、数字式电子血压计、医用压敏胶带、医用橡皮膏以及麝香壮骨膏、关节止痛膏、伤湿祛痛膏等两大类一百多个规格的产品。公司是中国医疗器械行业协会体温测量专业委员会理事长单位，“全球环境基金（GEF）——中国含汞体温计生产淘汰及无汞产品应用替代示范项目”的示范企业，建成全国唯一中国东岳体温计科技馆。</w:t>
      </w:r>
    </w:p>
    <w:p>
      <w:pPr>
        <w:ind w:firstLine="480"/>
        <w:rPr>
          <w:rFonts w:hint="eastAsia" w:asciiTheme="majorEastAsia" w:hAnsiTheme="majorEastAsia" w:eastAsiaTheme="majorEastAsia"/>
        </w:rPr>
      </w:pPr>
      <w:r>
        <w:rPr>
          <w:rFonts w:hint="eastAsia" w:asciiTheme="majorEastAsia" w:hAnsiTheme="majorEastAsia" w:eastAsiaTheme="majorEastAsia"/>
        </w:rPr>
        <w:t>阿华医疗以“科技护佑生命健康”为企业愿景，守正创新，勇毅前行。公司依托山东省企业技术中心作为创新平台，走产学研发展之路，与中国计量科学研究院、北京科技大学、中国计量大学等多家国内一流科研单位和高校，建立起长期的合作关系，每年有数十项研究成果，并获多项国家专利，截止到目前知识产权共120项，其中11项发明专利、48项实用新型专利、12项外观专利、12项软件著作权、15项版权登记，22项注册商标，极大地促进了公司的技术进步。同时公司利用自身技术资源优势，2018年参与起草了JJG 111-2019《玻璃体温计检定规程》，2019年参与起草了JJF 1783-2019《玻璃体温计型式评价大纲》，两项标准现均已实施；主持修订了GB 1588-2024《医用玻璃体温计》，2024年4月29日发布，2026年5月1日实施。</w:t>
      </w:r>
    </w:p>
    <w:p>
      <w:pPr>
        <w:ind w:firstLine="480"/>
        <w:rPr>
          <w:rFonts w:hint="eastAsia" w:asciiTheme="majorEastAsia" w:hAnsiTheme="majorEastAsia" w:eastAsiaTheme="majorEastAsia"/>
        </w:rPr>
      </w:pPr>
      <w:r>
        <w:rPr>
          <w:rFonts w:hint="eastAsia" w:asciiTheme="majorEastAsia" w:hAnsiTheme="majorEastAsia" w:eastAsiaTheme="majorEastAsia"/>
        </w:rPr>
        <w:t>阿华医疗秉承“温度阿华 温暖生活”的企业使命，积极探索，不断进取，先后获得国家级高新技术企业、山东省瞪羚企业、山东省制造业单项冠军企业、山东省专精特新中小企业、山东省质量标杆企业、山东省技术创新示范企业、山东省上云标杆企业、山东省两化融合优秀企业、山东省制造业高端品牌培育企业、山东省博士后创新实践基地、山东省工业设计中心、第三十四届山东省企业管理现代创新成果、第八届聊城市市长质量奖。中国东岳体温计科技馆荣获山东省科普示范基地、阿华医疗数字化车间入选山东省智能工厂数字化车间、阿华医疗线上下单平台建设项目入选2021年山东省服务型制造示范项目、阿华医疗数据共享平台入选2021年度山东省工业大数据平台示范项目、“阿华医疗大数据营销平台”获2021年度省级大数据“三优两重”项目——优秀大数据应用案例、阿华医疗工业互联网营销平台荣获聊城市第二批新经济示范项目等荣誉。</w:t>
      </w:r>
    </w:p>
    <w:p>
      <w:pPr>
        <w:ind w:firstLine="480"/>
        <w:rPr>
          <w:rFonts w:hint="eastAsia" w:asciiTheme="majorEastAsia" w:hAnsiTheme="majorEastAsia" w:eastAsiaTheme="majorEastAsia"/>
        </w:rPr>
      </w:pPr>
      <w:r>
        <w:rPr>
          <w:rFonts w:hint="eastAsia" w:asciiTheme="majorEastAsia" w:hAnsiTheme="majorEastAsia" w:eastAsiaTheme="majorEastAsia"/>
        </w:rPr>
        <w:t>公司以“诚信 务实 博爱 奉献”的企业精神，规范企业各项管理工作，先后通过了ISO13485质量管理体系认证、医疗器械欧盟CE认证、知识产权管理体系认证以及安全生产标准化二级企业等的评定。</w:t>
      </w:r>
    </w:p>
    <w:p>
      <w:pPr>
        <w:ind w:firstLine="480"/>
        <w:rPr>
          <w:rFonts w:hint="eastAsia" w:asciiTheme="majorEastAsia" w:hAnsiTheme="majorEastAsia" w:eastAsiaTheme="majorEastAsia"/>
        </w:rPr>
      </w:pPr>
      <w:r>
        <w:rPr>
          <w:rFonts w:hint="eastAsia" w:asciiTheme="majorEastAsia" w:hAnsiTheme="majorEastAsia" w:eastAsiaTheme="majorEastAsia"/>
        </w:rPr>
        <w:t>三十余载专注生命健康事业，阿华医疗以行践言，慎终如始。愿以“阿华力量”踔厉奋发，尽社会责任、聚员工合力、创企业价值，在医疗健康事业的道路上建功新时代。</w:t>
      </w:r>
    </w:p>
    <w:p>
      <w:pPr>
        <w:ind w:firstLine="0" w:firstLineChars="0"/>
        <w:jc w:val="center"/>
        <w:rPr>
          <w:rFonts w:hint="eastAsia" w:cs="Helvetica" w:asciiTheme="minorEastAsia" w:hAnsiTheme="minorEastAsia"/>
          <w:b/>
          <w:color w:val="000000" w:themeColor="text1"/>
          <w:kern w:val="0"/>
          <w14:textFill>
            <w14:solidFill>
              <w14:schemeClr w14:val="tx1"/>
            </w14:solidFill>
          </w14:textFill>
        </w:rPr>
      </w:pPr>
      <w:r>
        <w:rPr>
          <w:rFonts w:hint="eastAsia" w:cs="Helvetica" w:asciiTheme="minorEastAsia" w:hAnsiTheme="minorEastAsia"/>
          <w:b/>
          <w:color w:val="000000" w:themeColor="text1"/>
          <w:kern w:val="0"/>
          <w14:textFill>
            <w14:solidFill>
              <w14:schemeClr w14:val="tx1"/>
            </w14:solidFill>
          </w14:textFill>
        </w:rPr>
        <w:t>表</w:t>
      </w:r>
      <w:r>
        <w:rPr>
          <w:rFonts w:cs="Helvetica" w:asciiTheme="minorEastAsia" w:hAnsiTheme="minorEastAsia"/>
          <w:b/>
          <w:color w:val="000000" w:themeColor="text1"/>
          <w:kern w:val="0"/>
          <w14:textFill>
            <w14:solidFill>
              <w14:schemeClr w14:val="tx1"/>
            </w14:solidFill>
          </w14:textFill>
        </w:rPr>
        <w:t>1.2-2</w:t>
      </w:r>
      <w:r>
        <w:rPr>
          <w:rFonts w:hint="eastAsia" w:cs="Helvetica" w:asciiTheme="minorEastAsia" w:hAnsiTheme="minorEastAsia"/>
          <w:b/>
          <w:color w:val="000000" w:themeColor="text1"/>
          <w:kern w:val="0"/>
          <w14:textFill>
            <w14:solidFill>
              <w14:schemeClr w14:val="tx1"/>
            </w14:solidFill>
          </w14:textFill>
        </w:rPr>
        <w:t xml:space="preserve"> 东阿阿华医疗科技有限公司部分专利</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1983"/>
        <w:gridCol w:w="2815"/>
        <w:gridCol w:w="1625"/>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345" w:type="pct"/>
            <w:shd w:val="clear" w:color="33CCCC" w:fill="33CCCC"/>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序号</w:t>
            </w:r>
          </w:p>
        </w:tc>
        <w:tc>
          <w:tcPr>
            <w:tcW w:w="1163" w:type="pct"/>
            <w:shd w:val="clear" w:color="33CCCC" w:fill="33CCCC"/>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公开（公告）号</w:t>
            </w:r>
          </w:p>
        </w:tc>
        <w:tc>
          <w:tcPr>
            <w:tcW w:w="1651" w:type="pct"/>
            <w:shd w:val="clear" w:color="33CCCC" w:fill="33CCCC"/>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标题</w:t>
            </w:r>
          </w:p>
        </w:tc>
        <w:tc>
          <w:tcPr>
            <w:tcW w:w="953" w:type="pct"/>
            <w:shd w:val="clear" w:color="33CCCC" w:fill="33CCCC"/>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当前法律状态</w:t>
            </w:r>
          </w:p>
        </w:tc>
        <w:tc>
          <w:tcPr>
            <w:tcW w:w="885" w:type="pct"/>
            <w:shd w:val="clear" w:color="33CCCC" w:fill="33CCCC"/>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申请日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CN107219011B</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一种温度计液泡定位及加热封泡机构</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2017-6-23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CN107340073B</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一种温度计液泡定位及加热机构</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2017-6-23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CN109130452A</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一种快捷制作玻璃体温计印刷用的标志版的方法</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驳回</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2018-9-14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4</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CN113600457B</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一种体温计用玻璃毛细管内壁疏水性涂层制备的方法</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5</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CN110013689A</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一种镓铟锡液体合金气泡去除装置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驳回</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2019-4-29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6</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CN208961853U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一种电子体温计固定填装治具</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2018-10-16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7</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CN210259095U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一种包装盒筛选及翻转输送装置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2019-6-14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8</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CN215480582U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一种体温计用毛细管镀膜装置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9</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CN113373325A</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一种镓合金液高真空蒸馏提纯方法</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驳回</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10</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CN214540785U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一种药品及其包装箱的箱体电子监管码扫码机构</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11</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CN210741708U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一种内标式体温计恒温水槽</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2019-11-18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12</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CN218709279U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一种污水处理池</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2022-10-28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13</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CN215741940U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一种体温计用镓基液态合金消泡装置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14</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CN307229687S</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存放壳(温度计)</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15</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CN110922037B</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一种降低玻璃体温计封口废品率的封口方法</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2019-11-18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16</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CN210058769U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一种医用胶带涂胶装置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2019-4-29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17</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CN306734634S</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温度计盒(翅形)</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18</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CN211217619U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一种用于玻璃体温计自动分拣装置的电磁推射机构</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2019-11-18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19</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CN113576441B</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一种数字式电子血压计</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CN210741695U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一种内标玻璃体温计刮喇叭装置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2019-11-18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21</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CN214748498U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一种感温合金液用灌装盘</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22</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CN308123025S</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体温计(一)</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23</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CN210480360U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一种膏药复合机检测送料机构</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24</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CN221069966U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一种塑封机塑封产品的输放料装置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25</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CN308208681S</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体温贴</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26</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CN208852932U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一种温度计玻璃壳体粉碎装置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2018-8-30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27</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CN210480345U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一种橡皮膏涂布机自动上料装置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28</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CN210741694U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一种玻璃体温计缩喉抽真空装置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2019-11-18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29</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CN308429905S</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包装挂卡(绿纸卡体温计)</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30</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CN210479868U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一种医用压敏胶带包装盒输送机构</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31</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CN211224414U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一种内标式玻璃体温计贴内标用分类盒</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2019-11-18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32</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CN214372959U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一种推动式温度计壳体</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33</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CN304564961S</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温度计包装盒(挂卡)</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2017-11-21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34</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CN208853157U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一种胶液恒温供料粘接装置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2018-8-30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35</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CN208360659U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一种喷码机导料集料装置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2018-6-20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36</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CN208453027U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一种封闭式转料装置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2018-6-20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37</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CN218538896U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一种带有顶升安全门的产品提升转送系统</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2022-10-20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38</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CN110000048A</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一种医用胶带涂胶装置及方法</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撤回</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2019-4-29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39</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CN113432733B</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一种电子体温计</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40</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CN208453933U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一种监管码包装盒旋转输送装置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2018-6-20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41</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CN218987115U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一种医用压敏胶带装盒装置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2022-12-27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42</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CN208855903U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一种真空灌装定量供料装置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43</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CN210260206U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一种医用胶带料卷转序装置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2019-6-20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44</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CN209499710U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一种检测体温计示值的装置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45</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CN218641258U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一种口罩包装塑膜输送碾平贴合机构</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2022-10-20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46</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CN109596237A</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一种镓铟锡体温计复溢的生产方法</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驳回</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2018-12-18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47</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CN304715512S</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温度计包装盒(礼)</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2017-11-21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48</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CN215741861U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一种镓合金液蒸馏提纯装置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49</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CN209935708U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一种电子体温计生产用冲压设备</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2019-4-29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50</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CN115505914A</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一种镓合金液体存储方法</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驳回</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51</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CN307318870S</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温度计表壳</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52</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CN117346922A</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一种检测体温计留点流速快慢的装置及方法</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实质审查</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53</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CN304564962S</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温度计包装盒(小)</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2017-11-21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54</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CN209513093U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一种蓝牙电子体温贴</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2018-11-23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55</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CN210078914U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一种镓铟锡液体合金气泡去除装置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2019-4-29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56</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CN209935718U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一种体温计支架冲压固定治具</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2019-4-29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57</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CN215109347U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一种温度计生产用镓合金液体提纯抽真空机构</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58</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CN218574143U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一种卫材涂胶机上料架</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2022-10-20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59</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CN214733235U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一种膏药涂布机组涨紧可调式输送支架</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60</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CN113493312A</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一种体温计用玻璃毛细管内壁镀氧化镓薄膜的方法</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驳回</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61</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CN215101043U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一种压敏胶带滑动模切机构</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62</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CN107152976B</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一种温度计自动封泡机</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2017-6-23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63</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CN103977961B</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玻璃体温计自动分拣装置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2014-4-30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64</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CN102426064B</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一种玻璃体温计无涨真空的生产方法</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2011-9-19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65</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CN102728259B</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一种过滤机及其用于生产橡胶膏剂的过滤工艺</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2012-7-13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66</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CN304953560S</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静脉扩张仪</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2018-8-24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67</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CN304953559S</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静脉扩张仪</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2018-8-24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68</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CN105796151B</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一种肢体浅静脉血管充盈扩张仪</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2015-11-20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69</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CN205198073U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一种肢体浅静脉血管充盈扩张仪</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2015-11-20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70</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CN100368784C</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无水银体温计用的液体合金温度载体和体温计制备方法</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2006-3-10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71</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CN102727383A</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一种橡胶膏剂的无尘生产方法</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撤回</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2012-7-13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72</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CN3213217D</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包装盒(2)(橡皮膏)</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2001-5-31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73</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CN3213215D</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包装盒(体温计1)</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期限届满</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2001-5-31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74</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CN206886942U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一种温度计生产污泥处理集料装置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2017-6-23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75</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CN202471288U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玻璃体温计内心管涨小泡装置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2012-1-17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76</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CN207452210U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一种温度计生产的汞回收装置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2017-6-23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77</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CN206990119U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一种温度计自动封泡机</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2017-6-23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78</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CN303967330S</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电子体温计(TDB 1)</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2016-8-22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79</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CN206955141U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一种膏片切片横切机收料装置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2017-6-23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80</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CN3213145D</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包装桶(橡皮膏)</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2001-5-31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81</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CN304195977S</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存放装置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2017-1-23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82</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CN207025724U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一种电子体温计点胶装置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2017-6-23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83</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CN206430823U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一种含放大镜的温度计存放装置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2017-1-23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84</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CN103424207A</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一种电子体温计及其制作方法</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撤回</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85</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CN202482212U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玻璃体温计自动封头装置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2012-1-16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86</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CN105300538A</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节能型生产体温计的方法</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驳回</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2015-9-22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87</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CN303957941S</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电子体温计(TDB 6)</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2016-8-22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88</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CN3214280D</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包装盒(1)(橡皮膏)</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2001-5-31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89</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CN203519196U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一种电子体温计</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90</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CN3213216D</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包装盒(2)(体温计)</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期限届满</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2001-5-31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91</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CN205126220U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一种可以方言播报的语音血压计</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2015-11-24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92</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CN204997273U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用于体温计焊接工艺的焊接托盘</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2015-8-31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93</w:t>
            </w:r>
          </w:p>
        </w:tc>
        <w:tc>
          <w:tcPr>
            <w:tcW w:w="116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CN206954564U</w:t>
            </w:r>
          </w:p>
        </w:tc>
        <w:tc>
          <w:tcPr>
            <w:tcW w:w="165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一种包装盒封装机输送装置</w:t>
            </w:r>
          </w:p>
        </w:tc>
        <w:tc>
          <w:tcPr>
            <w:tcW w:w="953"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未缴年费</w:t>
            </w:r>
          </w:p>
        </w:tc>
        <w:tc>
          <w:tcPr>
            <w:tcW w:w="885"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2017-6-23</w:t>
            </w:r>
          </w:p>
        </w:tc>
      </w:tr>
    </w:tbl>
    <w:p>
      <w:pPr>
        <w:pStyle w:val="2"/>
        <w:ind w:firstLine="482"/>
        <w:rPr>
          <w:rFonts w:hint="eastAsia" w:asciiTheme="minorEastAsia" w:hAnsiTheme="minorEastAsia" w:eastAsiaTheme="minorEastAsia" w:cstheme="minorBidi"/>
          <w:b/>
          <w:bCs/>
          <w:color w:val="191919"/>
          <w:shd w:val="clear" w:color="auto" w:fill="FFFFFF"/>
        </w:rPr>
      </w:pPr>
      <w:r>
        <w:rPr>
          <w:rFonts w:hint="eastAsia" w:asciiTheme="minorEastAsia" w:hAnsiTheme="minorEastAsia" w:eastAsiaTheme="minorEastAsia" w:cstheme="minorBidi"/>
          <w:b/>
          <w:bCs/>
          <w:color w:val="191919"/>
          <w:shd w:val="clear" w:color="auto" w:fill="FFFFFF"/>
        </w:rPr>
        <w:t>三、山东方格医疗器械有限公司</w:t>
      </w:r>
    </w:p>
    <w:p>
      <w:pPr>
        <w:ind w:firstLine="480"/>
        <w:rPr>
          <w:rFonts w:hint="eastAsia" w:asciiTheme="majorEastAsia" w:hAnsiTheme="majorEastAsia" w:eastAsiaTheme="majorEastAsia"/>
        </w:rPr>
      </w:pPr>
      <w:r>
        <w:rPr>
          <w:rFonts w:hint="eastAsia" w:asciiTheme="majorEastAsia" w:hAnsiTheme="majorEastAsia" w:eastAsiaTheme="majorEastAsia"/>
        </w:rPr>
        <w:t>山东方格医疗器械有限公司是一家智慧医用家具解决方案服务商。公司自2008年创立以来，始终以"功能性×美学×创新"为研发内核，打造覆盖智慧信息化推车、智能耗材管理柜、医院储存架、医用推车、医用橱柜等200+全场景产品矩阵，通过ISO9001国际质量体系认证及欧盟CE认证，并畅销全国各地，出口欧美、东南亚、中东、非洲等国家。方格依托全栈自研构筑关键性技术体系，已获得数十项核心专利授权，在绿色智造战略引领下，形成贯穿研发-生产-服务的全链路创新生态。未来，方格将以更加成熟和稳健的步伐，担负起对用户和社会的责任，为人类的健康事业做出力所能及的贡献。</w:t>
      </w:r>
    </w:p>
    <w:p>
      <w:pPr>
        <w:ind w:firstLine="0" w:firstLineChars="0"/>
        <w:jc w:val="center"/>
        <w:rPr>
          <w:rFonts w:hint="eastAsia" w:cs="Helvetica" w:asciiTheme="minorEastAsia" w:hAnsiTheme="minorEastAsia"/>
          <w:b/>
          <w:color w:val="000000" w:themeColor="text1"/>
          <w:kern w:val="0"/>
          <w14:textFill>
            <w14:solidFill>
              <w14:schemeClr w14:val="tx1"/>
            </w14:solidFill>
          </w14:textFill>
        </w:rPr>
      </w:pPr>
      <w:r>
        <w:rPr>
          <w:rFonts w:hint="eastAsia" w:cs="Helvetica" w:asciiTheme="minorEastAsia" w:hAnsiTheme="minorEastAsia"/>
          <w:b/>
          <w:color w:val="000000" w:themeColor="text1"/>
          <w:kern w:val="0"/>
          <w14:textFill>
            <w14:solidFill>
              <w14:schemeClr w14:val="tx1"/>
            </w14:solidFill>
          </w14:textFill>
        </w:rPr>
        <w:t>表</w:t>
      </w:r>
      <w:r>
        <w:rPr>
          <w:rFonts w:cs="Helvetica" w:asciiTheme="minorEastAsia" w:hAnsiTheme="minorEastAsia"/>
          <w:b/>
          <w:color w:val="000000" w:themeColor="text1"/>
          <w:kern w:val="0"/>
          <w14:textFill>
            <w14:solidFill>
              <w14:schemeClr w14:val="tx1"/>
            </w14:solidFill>
          </w14:textFill>
        </w:rPr>
        <w:t>1.2-3</w:t>
      </w:r>
      <w:r>
        <w:rPr>
          <w:rFonts w:hint="eastAsia" w:cs="Helvetica" w:asciiTheme="minorEastAsia" w:hAnsiTheme="minorEastAsia"/>
          <w:b/>
          <w:color w:val="000000" w:themeColor="text1"/>
          <w:kern w:val="0"/>
          <w14:textFill>
            <w14:solidFill>
              <w14:schemeClr w14:val="tx1"/>
            </w14:solidFill>
          </w14:textFill>
        </w:rPr>
        <w:t xml:space="preserve"> 山东方格医疗器械有限公司部分专利</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1747"/>
        <w:gridCol w:w="3116"/>
        <w:gridCol w:w="1348"/>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trPr>
        <w:tc>
          <w:tcPr>
            <w:tcW w:w="345" w:type="pct"/>
            <w:shd w:val="clear" w:color="33CCCC" w:fill="33CCCC"/>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序号</w:t>
            </w:r>
          </w:p>
        </w:tc>
        <w:tc>
          <w:tcPr>
            <w:tcW w:w="1025" w:type="pct"/>
            <w:shd w:val="clear" w:color="33CCCC" w:fill="33CCCC"/>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公开（公告）号</w:t>
            </w:r>
          </w:p>
        </w:tc>
        <w:tc>
          <w:tcPr>
            <w:tcW w:w="1828" w:type="pct"/>
            <w:shd w:val="clear" w:color="33CCCC" w:fill="33CCCC"/>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标题</w:t>
            </w:r>
          </w:p>
        </w:tc>
        <w:tc>
          <w:tcPr>
            <w:tcW w:w="791" w:type="pct"/>
            <w:shd w:val="clear" w:color="33CCCC" w:fill="33CCCC"/>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当前法律状态</w:t>
            </w:r>
          </w:p>
        </w:tc>
        <w:tc>
          <w:tcPr>
            <w:tcW w:w="1009" w:type="pct"/>
            <w:shd w:val="clear" w:color="33CCCC" w:fill="33CCCC"/>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申请日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CN117219226B</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疼痛觉知自适应的镇痛药物自动调控装置</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CN307195480S</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型材(抽屉边框)</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2021-12-17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CN215385549U</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一种多方式应用的抽屉</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4</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CN306440594S</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输液车</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2020-11-19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5</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CN213190074U</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一种新型医疗车安装结构</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2020-7-17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6</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CN215304231U</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一种拼装抽屉前板</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7</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CN115394416B</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一种发药车数据监测管理系统及方法</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2022-10-27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8</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CN222675758U</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一种抽屉滑轨安装结构</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2024-6-18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9</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CN215604267U</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一种医疗车用拼装抽屉</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10</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CN307195433S</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立柱型材(铝合金)</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2021-11-13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11</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CN213310283U</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一种医疗车的双向可调节结构</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2020-7-17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12</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CN306440595S</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发药车</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2020-11-19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13</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CN115252334A</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一种病例车数据监测管理系统及方法</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驳回</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2022-9-29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14</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CN113768290B</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一种实现方便整理抽屉内物品的方法</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15</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CN214367055U</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一种病历车中锁结构连接件</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16</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CN308414073S</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治疗车(一)</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17</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CN206463164U</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一种医用推车用可拆卸活动输液袋挂钩</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2016-11-8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18</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CN217697180U</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一种医用推车防撞装置</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2022-4-25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19</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CN205683136U</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医用推车</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2016-4-18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CN307274792S</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一次性锁控旋钮</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2021-11-13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21</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CN214740545U</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一种病历车用锁及其病历车</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22</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CN209332271U</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一种带有挂架的医用推车</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2018-11-23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23</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CN215126155U</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一种医疗车用抽屉芯体</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24</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CN215556179U</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一种膝顶式垃圾桶</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25</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CN212878716U</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一种屏风安装结构及其屏风</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2020-8-25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26</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CN308381432S</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麻醉车</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27</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CN206239649U</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带抽屉医用推车</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28</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CN308381431S</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输液车</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29</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CN308414072S</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治疗车(二)</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30</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CN304013245S</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医用推车</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2016-11-14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31</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CN210019657U</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一种新型医用推车</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2019-1-24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32</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CN211787907U</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一种可移动标签卡盒</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2020-5-13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33</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CN214659472U</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医用推车用一次性锁具的安装结构</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34</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CN306431319S</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治疗车</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2020-11-19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35</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CN307202037S</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病历车(单双排)</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36</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CN113273831A</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一种医疗车用拼装抽屉</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实质审查</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37</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CN308320874S</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病历车</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38</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CN308320875S</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医用推车(治疗车、发药车)</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39</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CN308320873S</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抢救车</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2023-5-6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40</w:t>
            </w:r>
          </w:p>
        </w:tc>
        <w:tc>
          <w:tcPr>
            <w:tcW w:w="1025"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CN109124965B</w:t>
            </w:r>
          </w:p>
        </w:tc>
        <w:tc>
          <w:tcPr>
            <w:tcW w:w="1828"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外科用于手部清洗包扎的手术台</w:t>
            </w:r>
          </w:p>
        </w:tc>
        <w:tc>
          <w:tcPr>
            <w:tcW w:w="791" w:type="pct"/>
            <w:shd w:val="clear" w:color="auto" w:fill="auto"/>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授权</w:t>
            </w:r>
          </w:p>
        </w:tc>
        <w:tc>
          <w:tcPr>
            <w:tcW w:w="1009" w:type="pct"/>
            <w:shd w:val="clear" w:color="auto" w:fill="auto"/>
            <w:noWrap/>
            <w:vAlign w:val="center"/>
          </w:tcPr>
          <w:p>
            <w:pPr>
              <w:widowControl/>
              <w:spacing w:line="240" w:lineRule="auto"/>
              <w:ind w:firstLine="0" w:firstLineChars="0"/>
              <w:jc w:val="center"/>
              <w:textAlignment w:val="center"/>
              <w:rPr>
                <w:rFonts w:hint="eastAsia" w:ascii="宋体" w:hAnsi="宋体" w:cs="宋体"/>
                <w:color w:val="000000"/>
                <w:sz w:val="16"/>
                <w:szCs w:val="16"/>
              </w:rPr>
            </w:pPr>
            <w:r>
              <w:rPr>
                <w:rFonts w:hint="eastAsia" w:ascii="宋体" w:hAnsi="宋体" w:cs="宋体"/>
                <w:color w:val="000000"/>
                <w:kern w:val="0"/>
                <w:sz w:val="16"/>
                <w:szCs w:val="16"/>
                <w:lang w:bidi="ar"/>
              </w:rPr>
              <w:t>2017-2-27</w:t>
            </w:r>
          </w:p>
        </w:tc>
      </w:tr>
    </w:tbl>
    <w:p>
      <w:pPr>
        <w:widowControl/>
        <w:spacing w:line="240" w:lineRule="auto"/>
        <w:ind w:firstLine="0" w:firstLineChars="0"/>
        <w:jc w:val="left"/>
      </w:pPr>
      <w:r>
        <w:br w:type="page"/>
      </w:r>
    </w:p>
    <w:p>
      <w:pPr>
        <w:pStyle w:val="3"/>
        <w:spacing w:before="312" w:after="312"/>
        <w:rPr>
          <w:rFonts w:hint="eastAsia"/>
        </w:rPr>
      </w:pPr>
      <w:bookmarkStart w:id="10" w:name="_Toc24269"/>
      <w:r>
        <w:rPr>
          <w:rFonts w:hint="eastAsia"/>
        </w:rPr>
        <w:t xml:space="preserve">第二章 </w:t>
      </w:r>
      <w:r>
        <w:t>专利检索、产业专利竞争态势及风险识别</w:t>
      </w:r>
      <w:bookmarkEnd w:id="10"/>
    </w:p>
    <w:p>
      <w:pPr>
        <w:ind w:firstLine="562"/>
        <w:outlineLvl w:val="1"/>
        <w:rPr>
          <w:rFonts w:hint="eastAsia" w:ascii="黑体" w:hAnsi="黑体" w:eastAsia="黑体"/>
          <w:b/>
          <w:bCs/>
          <w:sz w:val="28"/>
          <w:szCs w:val="28"/>
        </w:rPr>
      </w:pPr>
      <w:bookmarkStart w:id="11" w:name="_Toc8104"/>
      <w:r>
        <w:rPr>
          <w:rFonts w:ascii="黑体" w:hAnsi="黑体" w:eastAsia="黑体"/>
          <w:b/>
          <w:bCs/>
          <w:sz w:val="28"/>
          <w:szCs w:val="28"/>
        </w:rPr>
        <w:t>2</w:t>
      </w:r>
      <w:r>
        <w:rPr>
          <w:rFonts w:hint="eastAsia" w:ascii="黑体" w:hAnsi="黑体" w:eastAsia="黑体"/>
          <w:b/>
          <w:bCs/>
          <w:sz w:val="28"/>
          <w:szCs w:val="28"/>
        </w:rPr>
        <w:t>.1 技术分解及专利检索</w:t>
      </w:r>
      <w:bookmarkEnd w:id="11"/>
    </w:p>
    <w:p>
      <w:pPr>
        <w:shd w:val="clear" w:color="auto" w:fill="FFFFFF"/>
        <w:ind w:firstLine="482"/>
        <w:rPr>
          <w:rFonts w:hint="eastAsia" w:cs="Helvetica" w:asciiTheme="minorEastAsia" w:hAnsiTheme="minorEastAsia"/>
          <w:b/>
          <w:bCs/>
          <w:color w:val="000000" w:themeColor="text1"/>
          <w:kern w:val="0"/>
          <w14:textFill>
            <w14:solidFill>
              <w14:schemeClr w14:val="tx1"/>
            </w14:solidFill>
          </w14:textFill>
        </w:rPr>
      </w:pPr>
      <w:r>
        <w:rPr>
          <w:rFonts w:hint="eastAsia" w:cs="Helvetica" w:asciiTheme="minorEastAsia" w:hAnsiTheme="minorEastAsia"/>
          <w:b/>
          <w:bCs/>
          <w:color w:val="000000" w:themeColor="text1"/>
          <w:kern w:val="0"/>
          <w14:textFill>
            <w14:solidFill>
              <w14:schemeClr w14:val="tx1"/>
            </w14:solidFill>
          </w14:textFill>
        </w:rPr>
        <w:t>一、技术边界</w:t>
      </w:r>
    </w:p>
    <w:p>
      <w:pPr>
        <w:ind w:firstLine="480"/>
        <w:rPr>
          <w:rFonts w:hint="eastAsia" w:asciiTheme="minorEastAsia" w:hAnsiTheme="minorEastAsia" w:eastAsiaTheme="minorEastAsia"/>
        </w:rPr>
      </w:pPr>
      <w:r>
        <w:rPr>
          <w:rFonts w:hint="eastAsia" w:asciiTheme="minorEastAsia" w:hAnsiTheme="minorEastAsia" w:eastAsiaTheme="minorEastAsia"/>
          <w:color w:val="000000" w:themeColor="text1"/>
          <w14:textFill>
            <w14:solidFill>
              <w14:schemeClr w14:val="tx1"/>
            </w14:solidFill>
          </w14:textFill>
        </w:rPr>
        <w:t>医疗器械是指单独或者组合使用于人体的仪器、设备、器具、材料或者其他物品，包括所需要的软件。医疗器械的效用主要通过物理等方式获得，而不是通过药理学、免疫学或者代谢的方式获得，或者虽然有这些方式参与但只起辅助作用。</w:t>
      </w:r>
    </w:p>
    <w:p>
      <w:pPr>
        <w:pStyle w:val="2"/>
        <w:ind w:firstLine="482"/>
        <w:rPr>
          <w:b/>
          <w:bCs/>
        </w:rPr>
      </w:pPr>
      <w:r>
        <w:rPr>
          <w:rFonts w:hint="eastAsia"/>
          <w:b/>
          <w:bCs/>
        </w:rPr>
        <w:t>二、技术分解</w:t>
      </w:r>
    </w:p>
    <w:p>
      <w:pPr>
        <w:ind w:firstLine="0" w:firstLineChars="0"/>
        <w:jc w:val="center"/>
        <w:rPr>
          <w:rFonts w:hint="eastAsia" w:ascii="宋体" w:hAnsi="宋体"/>
          <w:b/>
          <w:bCs/>
        </w:rPr>
      </w:pPr>
      <w:r>
        <w:rPr>
          <w:rFonts w:hint="eastAsia" w:ascii="宋体" w:hAnsi="宋体"/>
          <w:b/>
          <w:bCs/>
        </w:rPr>
        <w:t>表</w:t>
      </w:r>
      <w:r>
        <w:rPr>
          <w:rFonts w:ascii="宋体" w:hAnsi="宋体"/>
          <w:b/>
          <w:bCs/>
        </w:rPr>
        <w:t xml:space="preserve">2.1-1 </w:t>
      </w:r>
      <w:r>
        <w:rPr>
          <w:rFonts w:hint="eastAsia" w:ascii="宋体" w:hAnsi="宋体"/>
          <w:b/>
          <w:bCs/>
        </w:rPr>
        <w:t>医疗器械技术分解表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2840" w:type="dxa"/>
            <w:vAlign w:val="center"/>
          </w:tcPr>
          <w:p>
            <w:pPr>
              <w:spacing w:line="240" w:lineRule="auto"/>
              <w:ind w:firstLine="0" w:firstLineChars="0"/>
              <w:jc w:val="center"/>
              <w:rPr>
                <w:rFonts w:eastAsiaTheme="minorEastAsia"/>
              </w:rPr>
            </w:pPr>
            <w:r>
              <w:rPr>
                <w:rFonts w:hint="eastAsia"/>
              </w:rPr>
              <w:t>一级技术</w:t>
            </w:r>
          </w:p>
        </w:tc>
        <w:tc>
          <w:tcPr>
            <w:tcW w:w="2841" w:type="dxa"/>
            <w:vAlign w:val="center"/>
          </w:tcPr>
          <w:p>
            <w:pPr>
              <w:spacing w:line="240" w:lineRule="auto"/>
              <w:ind w:firstLine="0" w:firstLineChars="0"/>
              <w:jc w:val="center"/>
              <w:rPr>
                <w:rFonts w:eastAsiaTheme="minorEastAsia"/>
              </w:rPr>
            </w:pPr>
            <w:r>
              <w:rPr>
                <w:rFonts w:hint="eastAsia"/>
              </w:rPr>
              <w:t>二级技术</w:t>
            </w:r>
          </w:p>
        </w:tc>
        <w:tc>
          <w:tcPr>
            <w:tcW w:w="2841" w:type="dxa"/>
            <w:vAlign w:val="center"/>
          </w:tcPr>
          <w:p>
            <w:pPr>
              <w:spacing w:line="240" w:lineRule="auto"/>
              <w:ind w:firstLine="0" w:firstLineChars="0"/>
              <w:jc w:val="center"/>
              <w:rPr>
                <w:rFonts w:eastAsiaTheme="minorEastAsia"/>
              </w:rPr>
            </w:pPr>
            <w:r>
              <w:rPr>
                <w:rFonts w:hint="eastAsia"/>
              </w:rPr>
              <w:t>三级技术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vAlign w:val="center"/>
          </w:tcPr>
          <w:p>
            <w:pPr>
              <w:spacing w:line="240" w:lineRule="auto"/>
              <w:ind w:firstLine="0" w:firstLineChars="0"/>
              <w:jc w:val="center"/>
              <w:rPr>
                <w:rFonts w:eastAsiaTheme="minorEastAsia"/>
              </w:rPr>
            </w:pPr>
            <w:r>
              <w:rPr>
                <w:rFonts w:hint="eastAsia"/>
              </w:rPr>
              <w:t>医疗器械</w:t>
            </w:r>
          </w:p>
        </w:tc>
        <w:tc>
          <w:tcPr>
            <w:tcW w:w="2841" w:type="dxa"/>
            <w:vMerge w:val="restart"/>
            <w:vAlign w:val="center"/>
          </w:tcPr>
          <w:p>
            <w:pPr>
              <w:spacing w:line="240" w:lineRule="auto"/>
              <w:ind w:firstLine="0" w:firstLineChars="0"/>
              <w:jc w:val="center"/>
            </w:pPr>
            <w:r>
              <w:rPr>
                <w:rFonts w:hint="eastAsia"/>
              </w:rPr>
              <w:t>高值耗材</w:t>
            </w:r>
          </w:p>
        </w:tc>
        <w:tc>
          <w:tcPr>
            <w:tcW w:w="2841" w:type="dxa"/>
            <w:vAlign w:val="center"/>
          </w:tcPr>
          <w:p>
            <w:pPr>
              <w:spacing w:line="240" w:lineRule="auto"/>
              <w:ind w:firstLine="0" w:firstLineChars="0"/>
              <w:jc w:val="center"/>
            </w:pPr>
            <w:r>
              <w:rPr>
                <w:rFonts w:hint="eastAsia"/>
              </w:rPr>
              <w:t>血管介入类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pPr>
          </w:p>
        </w:tc>
        <w:tc>
          <w:tcPr>
            <w:tcW w:w="2841" w:type="dxa"/>
            <w:vAlign w:val="center"/>
          </w:tcPr>
          <w:p>
            <w:pPr>
              <w:spacing w:line="240" w:lineRule="auto"/>
              <w:ind w:firstLine="0" w:firstLineChars="0"/>
              <w:jc w:val="center"/>
            </w:pPr>
            <w:r>
              <w:rPr>
                <w:rFonts w:hint="eastAsia"/>
              </w:rPr>
              <w:t>非血管介入类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pPr>
          </w:p>
        </w:tc>
        <w:tc>
          <w:tcPr>
            <w:tcW w:w="2841" w:type="dxa"/>
            <w:vAlign w:val="center"/>
          </w:tcPr>
          <w:p>
            <w:pPr>
              <w:spacing w:line="240" w:lineRule="auto"/>
              <w:ind w:firstLine="0" w:firstLineChars="0"/>
              <w:jc w:val="center"/>
            </w:pPr>
            <w:r>
              <w:rPr>
                <w:rFonts w:hint="eastAsia"/>
              </w:rPr>
              <w:t>骨科植入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pPr>
          </w:p>
        </w:tc>
        <w:tc>
          <w:tcPr>
            <w:tcW w:w="2841" w:type="dxa"/>
            <w:vAlign w:val="center"/>
          </w:tcPr>
          <w:p>
            <w:pPr>
              <w:spacing w:line="240" w:lineRule="auto"/>
              <w:ind w:firstLine="0" w:firstLineChars="0"/>
              <w:jc w:val="center"/>
            </w:pPr>
            <w:r>
              <w:rPr>
                <w:rFonts w:hint="eastAsia"/>
              </w:rPr>
              <w:t>神经外科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pPr>
          </w:p>
        </w:tc>
        <w:tc>
          <w:tcPr>
            <w:tcW w:w="2841" w:type="dxa"/>
            <w:vAlign w:val="center"/>
          </w:tcPr>
          <w:p>
            <w:pPr>
              <w:spacing w:line="240" w:lineRule="auto"/>
              <w:ind w:firstLine="0" w:firstLineChars="0"/>
              <w:jc w:val="center"/>
            </w:pPr>
            <w:r>
              <w:rPr>
                <w:rFonts w:hint="eastAsia"/>
              </w:rPr>
              <w:t>电生理类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pPr>
          </w:p>
        </w:tc>
        <w:tc>
          <w:tcPr>
            <w:tcW w:w="2841" w:type="dxa"/>
            <w:vAlign w:val="center"/>
          </w:tcPr>
          <w:p>
            <w:pPr>
              <w:spacing w:line="240" w:lineRule="auto"/>
              <w:ind w:firstLine="0" w:firstLineChars="0"/>
              <w:jc w:val="center"/>
            </w:pPr>
            <w:r>
              <w:rPr>
                <w:rFonts w:hint="eastAsia"/>
              </w:rPr>
              <w:t>起搏器类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pPr>
          </w:p>
        </w:tc>
        <w:tc>
          <w:tcPr>
            <w:tcW w:w="2841" w:type="dxa"/>
            <w:vAlign w:val="center"/>
          </w:tcPr>
          <w:p>
            <w:pPr>
              <w:spacing w:line="240" w:lineRule="auto"/>
              <w:ind w:firstLine="0" w:firstLineChars="0"/>
              <w:jc w:val="center"/>
            </w:pPr>
            <w:r>
              <w:rPr>
                <w:rFonts w:hint="eastAsia"/>
              </w:rPr>
              <w:t>体外循环及血液净化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pPr>
          </w:p>
        </w:tc>
        <w:tc>
          <w:tcPr>
            <w:tcW w:w="2841" w:type="dxa"/>
            <w:vAlign w:val="center"/>
          </w:tcPr>
          <w:p>
            <w:pPr>
              <w:spacing w:line="240" w:lineRule="auto"/>
              <w:ind w:firstLine="0" w:firstLineChars="0"/>
              <w:jc w:val="center"/>
            </w:pPr>
            <w:r>
              <w:rPr>
                <w:rFonts w:hint="eastAsia"/>
              </w:rPr>
              <w:t>眼科材料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pPr>
          </w:p>
        </w:tc>
        <w:tc>
          <w:tcPr>
            <w:tcW w:w="2841" w:type="dxa"/>
            <w:vAlign w:val="center"/>
          </w:tcPr>
          <w:p>
            <w:pPr>
              <w:spacing w:line="240" w:lineRule="auto"/>
              <w:ind w:firstLine="0" w:firstLineChars="0"/>
              <w:jc w:val="center"/>
            </w:pPr>
            <w:r>
              <w:rPr>
                <w:rFonts w:hint="eastAsia"/>
              </w:rPr>
              <w:t>口腔科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pPr>
          </w:p>
        </w:tc>
        <w:tc>
          <w:tcPr>
            <w:tcW w:w="2841" w:type="dxa"/>
            <w:vAlign w:val="center"/>
          </w:tcPr>
          <w:p>
            <w:pPr>
              <w:spacing w:line="240" w:lineRule="auto"/>
              <w:ind w:firstLine="0" w:firstLineChars="0"/>
              <w:jc w:val="center"/>
            </w:pP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rPr>
                <w:rFonts w:eastAsiaTheme="minorEastAsia"/>
              </w:rPr>
            </w:pPr>
          </w:p>
        </w:tc>
        <w:tc>
          <w:tcPr>
            <w:tcW w:w="2841" w:type="dxa"/>
            <w:vMerge w:val="restart"/>
            <w:vAlign w:val="center"/>
          </w:tcPr>
          <w:p>
            <w:pPr>
              <w:spacing w:line="240" w:lineRule="auto"/>
              <w:ind w:firstLine="0" w:firstLineChars="0"/>
              <w:jc w:val="center"/>
              <w:rPr>
                <w:rFonts w:eastAsiaTheme="minorEastAsia"/>
              </w:rPr>
            </w:pPr>
            <w:r>
              <w:rPr>
                <w:rFonts w:hint="eastAsia"/>
              </w:rPr>
              <w:t>低值耗材</w:t>
            </w:r>
          </w:p>
        </w:tc>
        <w:tc>
          <w:tcPr>
            <w:tcW w:w="2841" w:type="dxa"/>
            <w:shd w:val="clear" w:color="auto" w:fill="auto"/>
            <w:vAlign w:val="center"/>
          </w:tcPr>
          <w:p>
            <w:pPr>
              <w:spacing w:line="240" w:lineRule="auto"/>
              <w:ind w:firstLine="0" w:firstLineChars="0"/>
              <w:jc w:val="center"/>
              <w:rPr>
                <w:rFonts w:asciiTheme="minorHAnsi" w:hAnsiTheme="minorHAnsi" w:eastAsiaTheme="minorEastAsia"/>
              </w:rPr>
            </w:pPr>
            <w:r>
              <w:rPr>
                <w:rFonts w:hint="eastAsia"/>
              </w:rPr>
              <w:t>输液器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rPr>
                <w:rFonts w:eastAsiaTheme="minorEastAsia"/>
              </w:rPr>
            </w:pPr>
          </w:p>
        </w:tc>
        <w:tc>
          <w:tcPr>
            <w:tcW w:w="2841" w:type="dxa"/>
            <w:shd w:val="clear" w:color="auto" w:fill="auto"/>
            <w:vAlign w:val="center"/>
          </w:tcPr>
          <w:p>
            <w:pPr>
              <w:spacing w:line="240" w:lineRule="auto"/>
              <w:ind w:firstLine="0" w:firstLineChars="0"/>
              <w:jc w:val="center"/>
              <w:rPr>
                <w:rFonts w:asciiTheme="minorHAnsi" w:hAnsiTheme="minorHAnsi" w:eastAsiaTheme="minorEastAsia"/>
              </w:rPr>
            </w:pPr>
            <w:r>
              <w:rPr>
                <w:rFonts w:hint="eastAsia"/>
              </w:rPr>
              <w:t>注射器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rPr>
                <w:rFonts w:eastAsiaTheme="minorEastAsia"/>
              </w:rPr>
            </w:pPr>
          </w:p>
        </w:tc>
        <w:tc>
          <w:tcPr>
            <w:tcW w:w="2841" w:type="dxa"/>
            <w:shd w:val="clear" w:color="auto" w:fill="auto"/>
            <w:vAlign w:val="center"/>
          </w:tcPr>
          <w:p>
            <w:pPr>
              <w:spacing w:line="240" w:lineRule="auto"/>
              <w:ind w:firstLine="0" w:firstLineChars="0"/>
              <w:jc w:val="center"/>
              <w:rPr>
                <w:rFonts w:asciiTheme="minorHAnsi" w:hAnsiTheme="minorHAnsi" w:eastAsiaTheme="minorEastAsia"/>
              </w:rPr>
            </w:pPr>
            <w:r>
              <w:rPr>
                <w:rFonts w:hint="eastAsia"/>
              </w:rPr>
              <w:t>静脉针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rPr>
                <w:rFonts w:eastAsiaTheme="minorEastAsia"/>
              </w:rPr>
            </w:pPr>
          </w:p>
        </w:tc>
        <w:tc>
          <w:tcPr>
            <w:tcW w:w="2841" w:type="dxa"/>
            <w:shd w:val="clear" w:color="auto" w:fill="auto"/>
            <w:vAlign w:val="center"/>
          </w:tcPr>
          <w:p>
            <w:pPr>
              <w:spacing w:line="240" w:lineRule="auto"/>
              <w:ind w:firstLine="0" w:firstLineChars="0"/>
              <w:jc w:val="center"/>
              <w:rPr>
                <w:rFonts w:asciiTheme="minorHAnsi" w:hAnsiTheme="minorHAnsi" w:eastAsiaTheme="minorEastAsia"/>
              </w:rPr>
            </w:pPr>
            <w:r>
              <w:rPr>
                <w:rFonts w:hint="eastAsia"/>
              </w:rPr>
              <w:t>注射针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rPr>
                <w:rFonts w:eastAsiaTheme="minorEastAsia"/>
              </w:rPr>
            </w:pPr>
          </w:p>
        </w:tc>
        <w:tc>
          <w:tcPr>
            <w:tcW w:w="2841" w:type="dxa"/>
            <w:shd w:val="clear" w:color="auto" w:fill="auto"/>
            <w:vAlign w:val="center"/>
          </w:tcPr>
          <w:p>
            <w:pPr>
              <w:spacing w:line="240" w:lineRule="auto"/>
              <w:ind w:firstLine="0" w:firstLineChars="0"/>
              <w:jc w:val="center"/>
              <w:rPr>
                <w:rFonts w:asciiTheme="minorHAnsi" w:hAnsiTheme="minorHAnsi" w:eastAsiaTheme="minorEastAsia"/>
              </w:rPr>
            </w:pPr>
            <w:r>
              <w:rPr>
                <w:rFonts w:hint="eastAsia"/>
              </w:rPr>
              <w:t>输血器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rPr>
                <w:rFonts w:eastAsiaTheme="minorEastAsia"/>
              </w:rPr>
            </w:pPr>
          </w:p>
        </w:tc>
        <w:tc>
          <w:tcPr>
            <w:tcW w:w="2841" w:type="dxa"/>
            <w:shd w:val="clear" w:color="auto" w:fill="auto"/>
            <w:vAlign w:val="center"/>
          </w:tcPr>
          <w:p>
            <w:pPr>
              <w:spacing w:line="240" w:lineRule="auto"/>
              <w:ind w:firstLine="0" w:firstLineChars="0"/>
              <w:jc w:val="center"/>
            </w:pPr>
            <w:r>
              <w:rPr>
                <w:rFonts w:hint="eastAsia"/>
              </w:rPr>
              <w:t>压敏胶带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rPr>
                <w:rFonts w:eastAsiaTheme="minorEastAsia"/>
              </w:rPr>
            </w:pPr>
          </w:p>
        </w:tc>
        <w:tc>
          <w:tcPr>
            <w:tcW w:w="2841" w:type="dxa"/>
            <w:shd w:val="clear" w:color="auto" w:fill="auto"/>
            <w:vAlign w:val="center"/>
          </w:tcPr>
          <w:p>
            <w:pPr>
              <w:spacing w:line="240" w:lineRule="auto"/>
              <w:ind w:firstLine="0" w:firstLineChars="0"/>
              <w:jc w:val="center"/>
            </w:pPr>
            <w:r>
              <w:rPr>
                <w:rFonts w:hint="eastAsia"/>
              </w:rPr>
              <w:t>医用口罩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restart"/>
            <w:vAlign w:val="center"/>
          </w:tcPr>
          <w:p>
            <w:pPr>
              <w:spacing w:line="240" w:lineRule="auto"/>
              <w:ind w:firstLine="0" w:firstLineChars="0"/>
              <w:jc w:val="center"/>
              <w:rPr>
                <w:rFonts w:eastAsiaTheme="minorEastAsia"/>
              </w:rPr>
            </w:pPr>
            <w:r>
              <w:rPr>
                <w:rFonts w:hint="eastAsia"/>
              </w:rPr>
              <w:t>体外诊断</w:t>
            </w:r>
          </w:p>
        </w:tc>
        <w:tc>
          <w:tcPr>
            <w:tcW w:w="2841" w:type="dxa"/>
            <w:shd w:val="clear" w:color="auto" w:fill="auto"/>
            <w:vAlign w:val="center"/>
          </w:tcPr>
          <w:p>
            <w:pPr>
              <w:spacing w:line="240" w:lineRule="auto"/>
              <w:ind w:firstLine="0" w:firstLineChars="0"/>
              <w:jc w:val="center"/>
              <w:rPr>
                <w:rFonts w:asciiTheme="minorHAnsi" w:hAnsiTheme="minorHAnsi" w:eastAsiaTheme="minorEastAsia"/>
              </w:rPr>
            </w:pPr>
            <w:r>
              <w:rPr>
                <w:rFonts w:hint="eastAsia"/>
              </w:rPr>
              <w:t>体温计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rPr>
                <w:rFonts w:eastAsiaTheme="minorEastAsia"/>
              </w:rPr>
            </w:pPr>
          </w:p>
        </w:tc>
        <w:tc>
          <w:tcPr>
            <w:tcW w:w="2841" w:type="dxa"/>
            <w:shd w:val="clear" w:color="auto" w:fill="auto"/>
            <w:vAlign w:val="center"/>
          </w:tcPr>
          <w:p>
            <w:pPr>
              <w:spacing w:line="240" w:lineRule="auto"/>
              <w:ind w:firstLine="0" w:firstLineChars="0"/>
              <w:jc w:val="center"/>
              <w:rPr>
                <w:rFonts w:asciiTheme="minorHAnsi" w:hAnsiTheme="minorHAnsi" w:eastAsiaTheme="minorEastAsia"/>
              </w:rPr>
            </w:pPr>
            <w:r>
              <w:rPr>
                <w:rFonts w:hint="eastAsia"/>
              </w:rPr>
              <w:t>血压计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rPr>
                <w:rFonts w:eastAsiaTheme="minorEastAsia"/>
              </w:rPr>
            </w:pPr>
          </w:p>
        </w:tc>
        <w:tc>
          <w:tcPr>
            <w:tcW w:w="2841" w:type="dxa"/>
            <w:shd w:val="clear" w:color="auto" w:fill="auto"/>
            <w:vAlign w:val="center"/>
          </w:tcPr>
          <w:p>
            <w:pPr>
              <w:spacing w:line="240" w:lineRule="auto"/>
              <w:ind w:firstLine="0" w:firstLineChars="0"/>
              <w:jc w:val="center"/>
              <w:rPr>
                <w:rFonts w:asciiTheme="minorHAnsi" w:hAnsiTheme="minorHAnsi" w:eastAsiaTheme="minorEastAsia"/>
              </w:rPr>
            </w:pPr>
            <w:r>
              <w:rPr>
                <w:rFonts w:hint="eastAsia"/>
              </w:rPr>
              <w:t>血糖分析仪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restart"/>
            <w:vAlign w:val="center"/>
          </w:tcPr>
          <w:p>
            <w:pPr>
              <w:spacing w:line="240" w:lineRule="auto"/>
              <w:ind w:firstLine="0" w:firstLineChars="0"/>
              <w:jc w:val="center"/>
              <w:rPr>
                <w:rFonts w:eastAsiaTheme="minorEastAsia"/>
              </w:rPr>
            </w:pPr>
            <w:r>
              <w:rPr>
                <w:rFonts w:hint="eastAsia"/>
              </w:rPr>
              <w:t>仓储系统</w:t>
            </w:r>
          </w:p>
        </w:tc>
        <w:tc>
          <w:tcPr>
            <w:tcW w:w="2841" w:type="dxa"/>
            <w:vAlign w:val="center"/>
          </w:tcPr>
          <w:p>
            <w:pPr>
              <w:spacing w:line="240" w:lineRule="auto"/>
              <w:ind w:firstLine="0" w:firstLineChars="0"/>
              <w:jc w:val="center"/>
              <w:rPr>
                <w:rFonts w:eastAsiaTheme="minorEastAsia"/>
              </w:rPr>
            </w:pPr>
            <w:r>
              <w:rPr>
                <w:rFonts w:hint="eastAsia"/>
              </w:rPr>
              <w:t>仓储架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pPr>
          </w:p>
        </w:tc>
        <w:tc>
          <w:tcPr>
            <w:tcW w:w="2841" w:type="dxa"/>
            <w:vAlign w:val="center"/>
          </w:tcPr>
          <w:p>
            <w:pPr>
              <w:spacing w:line="240" w:lineRule="auto"/>
              <w:ind w:firstLine="0" w:firstLineChars="0"/>
              <w:jc w:val="center"/>
              <w:rPr>
                <w:rFonts w:eastAsiaTheme="minorEastAsia"/>
              </w:rPr>
            </w:pPr>
            <w:r>
              <w:rPr>
                <w:rFonts w:hint="eastAsia"/>
              </w:rPr>
              <w:t>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pPr>
          </w:p>
        </w:tc>
        <w:tc>
          <w:tcPr>
            <w:tcW w:w="2841" w:type="dxa"/>
            <w:vAlign w:val="center"/>
          </w:tcPr>
          <w:p>
            <w:pPr>
              <w:spacing w:line="240" w:lineRule="auto"/>
              <w:ind w:firstLine="0" w:firstLineChars="0"/>
              <w:jc w:val="center"/>
              <w:rPr>
                <w:rFonts w:eastAsiaTheme="minorEastAsia"/>
              </w:rPr>
            </w:pPr>
            <w:r>
              <w:rPr>
                <w:rFonts w:hint="eastAsia"/>
              </w:rPr>
              <w:t>导管架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pPr>
          </w:p>
        </w:tc>
        <w:tc>
          <w:tcPr>
            <w:tcW w:w="2841" w:type="dxa"/>
            <w:vMerge w:val="continue"/>
            <w:vAlign w:val="center"/>
          </w:tcPr>
          <w:p>
            <w:pPr>
              <w:spacing w:line="240" w:lineRule="auto"/>
              <w:ind w:firstLine="0" w:firstLineChars="0"/>
              <w:jc w:val="center"/>
            </w:pPr>
          </w:p>
        </w:tc>
        <w:tc>
          <w:tcPr>
            <w:tcW w:w="2841" w:type="dxa"/>
            <w:vAlign w:val="center"/>
          </w:tcPr>
          <w:p>
            <w:pPr>
              <w:spacing w:line="240" w:lineRule="auto"/>
              <w:ind w:firstLine="0" w:firstLineChars="0"/>
              <w:jc w:val="center"/>
              <w:rPr>
                <w:rFonts w:eastAsiaTheme="minorEastAsia"/>
              </w:rPr>
            </w:pPr>
            <w:r>
              <w:rPr>
                <w:rFonts w:hint="eastAsia"/>
              </w:rPr>
              <w:t>器械架</w:t>
            </w:r>
          </w:p>
        </w:tc>
      </w:tr>
    </w:tbl>
    <w:p>
      <w:pPr>
        <w:pStyle w:val="2"/>
        <w:ind w:firstLine="482"/>
        <w:rPr>
          <w:b/>
          <w:bCs/>
        </w:rPr>
      </w:pPr>
      <w:r>
        <w:rPr>
          <w:rFonts w:hint="eastAsia"/>
          <w:b/>
          <w:bCs/>
        </w:rPr>
        <w:t>三、检索范围</w:t>
      </w:r>
    </w:p>
    <w:p>
      <w:pPr>
        <w:ind w:firstLine="480"/>
        <w:rPr>
          <w:rFonts w:hint="eastAsia" w:ascii="宋体" w:hAnsi="宋体" w:cs="楷体"/>
          <w:color w:val="000000" w:themeColor="text1"/>
          <w14:textFill>
            <w14:solidFill>
              <w14:schemeClr w14:val="tx1"/>
            </w14:solidFill>
          </w14:textFill>
        </w:rPr>
      </w:pPr>
      <w:r>
        <w:rPr>
          <w:rFonts w:hint="eastAsia" w:ascii="宋体" w:hAnsi="宋体" w:cs="楷体"/>
          <w:color w:val="000000" w:themeColor="text1"/>
          <w14:textFill>
            <w14:solidFill>
              <w14:schemeClr w14:val="tx1"/>
            </w14:solidFill>
          </w14:textFill>
        </w:rPr>
        <w:t>本次</w:t>
      </w:r>
      <w:r>
        <w:rPr>
          <w:rFonts w:ascii="宋体" w:hAnsi="宋体" w:cs="楷体"/>
          <w:color w:val="000000" w:themeColor="text1"/>
          <w14:textFill>
            <w14:solidFill>
              <w14:schemeClr w14:val="tx1"/>
            </w14:solidFill>
          </w14:textFill>
        </w:rPr>
        <w:t>分析报告综合了分类号检索策略、关键词检索策略以及申请人或发明人追踪检索策略。</w:t>
      </w:r>
    </w:p>
    <w:p>
      <w:pPr>
        <w:ind w:firstLine="480"/>
        <w:rPr>
          <w:rFonts w:hint="eastAsia" w:ascii="宋体" w:hAnsi="宋体" w:cs="楷体"/>
          <w:color w:val="000000" w:themeColor="text1"/>
          <w14:textFill>
            <w14:solidFill>
              <w14:schemeClr w14:val="tx1"/>
            </w14:solidFill>
          </w14:textFill>
        </w:rPr>
      </w:pPr>
      <w:r>
        <w:rPr>
          <w:rFonts w:ascii="宋体" w:hAnsi="宋体" w:cs="楷体"/>
          <w:color w:val="000000" w:themeColor="text1"/>
          <w14:textFill>
            <w14:solidFill>
              <w14:schemeClr w14:val="tx1"/>
            </w14:solidFill>
          </w14:textFill>
        </w:rPr>
        <w:t>分类号检索策略</w:t>
      </w:r>
      <w:r>
        <w:rPr>
          <w:rFonts w:hint="eastAsia" w:ascii="宋体" w:hAnsi="宋体" w:cs="楷体"/>
          <w:color w:val="000000" w:themeColor="text1"/>
          <w14:textFill>
            <w14:solidFill>
              <w14:schemeClr w14:val="tx1"/>
            </w14:solidFill>
          </w14:textFill>
        </w:rPr>
        <w:t>：采用</w:t>
      </w:r>
      <w:r>
        <w:rPr>
          <w:rFonts w:ascii="宋体" w:hAnsi="宋体" w:cs="楷体"/>
          <w:color w:val="000000" w:themeColor="text1"/>
          <w14:textFill>
            <w14:solidFill>
              <w14:schemeClr w14:val="tx1"/>
            </w14:solidFill>
          </w14:textFill>
        </w:rPr>
        <w:t>国际上通用的专利文献分类规</w:t>
      </w:r>
      <w:r>
        <w:rPr>
          <w:rFonts w:hint="eastAsia" w:ascii="宋体" w:hAnsi="宋体" w:cs="楷体"/>
          <w:color w:val="000000" w:themeColor="text1"/>
          <w14:textFill>
            <w14:solidFill>
              <w14:schemeClr w14:val="tx1"/>
            </w14:solidFill>
          </w14:textFill>
        </w:rPr>
        <w:t>--</w:t>
      </w:r>
      <w:r>
        <w:rPr>
          <w:rFonts w:ascii="宋体" w:hAnsi="宋体" w:cs="楷体"/>
          <w:color w:val="000000" w:themeColor="text1"/>
          <w14:textFill>
            <w14:solidFill>
              <w14:schemeClr w14:val="tx1"/>
            </w14:solidFill>
          </w14:textFill>
        </w:rPr>
        <w:t>IPC分类规则</w:t>
      </w:r>
      <w:r>
        <w:rPr>
          <w:rFonts w:hint="eastAsia" w:ascii="宋体" w:hAnsi="宋体" w:cs="楷体"/>
          <w:color w:val="000000" w:themeColor="text1"/>
          <w14:textFill>
            <w14:solidFill>
              <w14:schemeClr w14:val="tx1"/>
            </w14:solidFill>
          </w14:textFill>
        </w:rPr>
        <w:t>，</w:t>
      </w:r>
      <w:r>
        <w:rPr>
          <w:rFonts w:ascii="宋体" w:hAnsi="宋体" w:cs="楷体"/>
          <w:color w:val="000000" w:themeColor="text1"/>
          <w14:textFill>
            <w14:solidFill>
              <w14:schemeClr w14:val="tx1"/>
            </w14:solidFill>
          </w14:textFill>
        </w:rPr>
        <w:t>另外，针对EPO、USPTO以及JPO</w:t>
      </w:r>
      <w:r>
        <w:rPr>
          <w:rFonts w:hint="eastAsia" w:ascii="宋体" w:hAnsi="宋体" w:cs="楷体"/>
          <w:color w:val="000000" w:themeColor="text1"/>
          <w14:textFill>
            <w14:solidFill>
              <w14:schemeClr w14:val="tx1"/>
            </w14:solidFill>
          </w14:textFill>
        </w:rPr>
        <w:t>，</w:t>
      </w:r>
      <w:r>
        <w:rPr>
          <w:rFonts w:ascii="宋体" w:hAnsi="宋体" w:cs="楷体"/>
          <w:color w:val="000000" w:themeColor="text1"/>
          <w14:textFill>
            <w14:solidFill>
              <w14:schemeClr w14:val="tx1"/>
            </w14:solidFill>
          </w14:textFill>
        </w:rPr>
        <w:t>分别采用ECLA、UC、FI/FT等分类体系，对其公布的文献、部分外国专利文献和一些非专利文献进行分类检索。在本报告中根据</w:t>
      </w:r>
      <w:r>
        <w:rPr>
          <w:rFonts w:hint="eastAsia" w:ascii="宋体" w:hAnsi="宋体" w:cs="楷体"/>
          <w:color w:val="000000" w:themeColor="text1"/>
          <w14:textFill>
            <w14:solidFill>
              <w14:schemeClr w14:val="tx1"/>
            </w14:solidFill>
          </w14:textFill>
        </w:rPr>
        <w:t>达宝文</w:t>
      </w:r>
      <w:r>
        <w:rPr>
          <w:rFonts w:ascii="宋体" w:hAnsi="宋体" w:cs="楷体"/>
          <w:color w:val="000000" w:themeColor="text1"/>
          <w14:textFill>
            <w14:solidFill>
              <w14:schemeClr w14:val="tx1"/>
            </w14:solidFill>
          </w14:textFill>
        </w:rPr>
        <w:t>公司提供的相关技术资料进行技术分解，重点选择IPC分类体系进行检索。</w:t>
      </w:r>
    </w:p>
    <w:p>
      <w:pPr>
        <w:ind w:firstLine="480"/>
        <w:rPr>
          <w:rFonts w:hint="eastAsia" w:ascii="宋体" w:hAnsi="宋体" w:cs="楷体"/>
          <w:color w:val="000000" w:themeColor="text1"/>
          <w14:textFill>
            <w14:solidFill>
              <w14:schemeClr w14:val="tx1"/>
            </w14:solidFill>
          </w14:textFill>
        </w:rPr>
      </w:pPr>
      <w:r>
        <w:rPr>
          <w:rFonts w:ascii="宋体" w:hAnsi="宋体" w:cs="楷体"/>
          <w:color w:val="000000" w:themeColor="text1"/>
          <w14:textFill>
            <w14:solidFill>
              <w14:schemeClr w14:val="tx1"/>
            </w14:solidFill>
          </w14:textFill>
        </w:rPr>
        <w:t>关键词检索策略</w:t>
      </w:r>
      <w:r>
        <w:rPr>
          <w:rFonts w:hint="eastAsia" w:ascii="宋体" w:hAnsi="宋体" w:cs="楷体"/>
          <w:color w:val="000000" w:themeColor="text1"/>
          <w14:textFill>
            <w14:solidFill>
              <w14:schemeClr w14:val="tx1"/>
            </w14:solidFill>
          </w14:textFill>
        </w:rPr>
        <w:t>：</w:t>
      </w:r>
      <w:r>
        <w:rPr>
          <w:rFonts w:ascii="宋体" w:hAnsi="宋体" w:cs="楷体"/>
          <w:color w:val="000000" w:themeColor="text1"/>
          <w14:textFill>
            <w14:solidFill>
              <w14:schemeClr w14:val="tx1"/>
            </w14:solidFill>
          </w14:textFill>
        </w:rPr>
        <w:t>本报告针对关键词在标题</w:t>
      </w:r>
      <w:r>
        <w:rPr>
          <w:rFonts w:hint="eastAsia" w:ascii="宋体" w:hAnsi="宋体" w:cs="楷体"/>
          <w:color w:val="000000" w:themeColor="text1"/>
          <w14:textFill>
            <w14:solidFill>
              <w14:schemeClr w14:val="tx1"/>
            </w14:solidFill>
          </w14:textFill>
        </w:rPr>
        <w:t>、</w:t>
      </w:r>
      <w:r>
        <w:rPr>
          <w:rFonts w:ascii="宋体" w:hAnsi="宋体" w:cs="楷体"/>
          <w:color w:val="000000" w:themeColor="text1"/>
          <w14:textFill>
            <w14:solidFill>
              <w14:schemeClr w14:val="tx1"/>
            </w14:solidFill>
          </w14:textFill>
        </w:rPr>
        <w:t>摘要</w:t>
      </w:r>
      <w:r>
        <w:rPr>
          <w:rFonts w:hint="eastAsia" w:ascii="宋体" w:hAnsi="宋体" w:cs="楷体"/>
          <w:color w:val="000000" w:themeColor="text1"/>
          <w14:textFill>
            <w14:solidFill>
              <w14:schemeClr w14:val="tx1"/>
            </w14:solidFill>
          </w14:textFill>
        </w:rPr>
        <w:t>、</w:t>
      </w:r>
      <w:r>
        <w:rPr>
          <w:rFonts w:ascii="宋体" w:hAnsi="宋体" w:cs="楷体"/>
          <w:color w:val="000000" w:themeColor="text1"/>
          <w14:textFill>
            <w14:solidFill>
              <w14:schemeClr w14:val="tx1"/>
            </w14:solidFill>
          </w14:textFill>
        </w:rPr>
        <w:t>权利要求书</w:t>
      </w:r>
      <w:r>
        <w:rPr>
          <w:rFonts w:hint="eastAsia" w:ascii="宋体" w:hAnsi="宋体" w:cs="楷体"/>
          <w:color w:val="000000" w:themeColor="text1"/>
          <w14:textFill>
            <w14:solidFill>
              <w14:schemeClr w14:val="tx1"/>
            </w14:solidFill>
          </w14:textFill>
        </w:rPr>
        <w:t>、</w:t>
      </w:r>
      <w:r>
        <w:rPr>
          <w:rFonts w:ascii="宋体" w:hAnsi="宋体" w:cs="楷体"/>
          <w:color w:val="000000" w:themeColor="text1"/>
          <w14:textFill>
            <w14:solidFill>
              <w14:schemeClr w14:val="tx1"/>
            </w14:solidFill>
          </w14:textFill>
        </w:rPr>
        <w:t>和全文中进行检索</w:t>
      </w:r>
      <w:r>
        <w:rPr>
          <w:rFonts w:hint="eastAsia" w:ascii="宋体" w:hAnsi="宋体" w:cs="楷体"/>
          <w:color w:val="000000" w:themeColor="text1"/>
          <w14:textFill>
            <w14:solidFill>
              <w14:schemeClr w14:val="tx1"/>
            </w14:solidFill>
          </w14:textFill>
        </w:rPr>
        <w:t>，</w:t>
      </w:r>
      <w:r>
        <w:rPr>
          <w:rFonts w:ascii="宋体" w:hAnsi="宋体" w:cs="楷体"/>
          <w:color w:val="000000" w:themeColor="text1"/>
          <w14:textFill>
            <w14:solidFill>
              <w14:schemeClr w14:val="tx1"/>
            </w14:solidFill>
          </w14:textFill>
        </w:rPr>
        <w:t>着重在权利要求书中进行检索</w:t>
      </w:r>
      <w:r>
        <w:rPr>
          <w:rFonts w:hint="eastAsia" w:ascii="宋体" w:hAnsi="宋体" w:cs="楷体"/>
          <w:color w:val="000000" w:themeColor="text1"/>
          <w14:textFill>
            <w14:solidFill>
              <w14:schemeClr w14:val="tx1"/>
            </w14:solidFill>
          </w14:textFill>
        </w:rPr>
        <w:t>。</w:t>
      </w:r>
    </w:p>
    <w:p>
      <w:pPr>
        <w:ind w:firstLine="480"/>
        <w:rPr>
          <w:rFonts w:hint="eastAsia" w:ascii="宋体" w:hAnsi="宋体" w:cs="楷体"/>
          <w:color w:val="000000" w:themeColor="text1"/>
          <w14:textFill>
            <w14:solidFill>
              <w14:schemeClr w14:val="tx1"/>
            </w14:solidFill>
          </w14:textFill>
        </w:rPr>
      </w:pPr>
      <w:r>
        <w:rPr>
          <w:rFonts w:ascii="宋体" w:hAnsi="宋体" w:cs="楷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摘要检索</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摘要是说明书、</w:t>
      </w:r>
      <w:r>
        <w:rPr>
          <w:rFonts w:ascii="宋体" w:hAnsi="宋体" w:cs="楷体"/>
          <w:color w:val="000000" w:themeColor="text1"/>
          <w14:textFill>
            <w14:solidFill>
              <w14:schemeClr w14:val="tx1"/>
            </w14:solidFill>
          </w14:textFill>
        </w:rPr>
        <w:t>权利要求书和附图中所包含的公开内容的概要，其一般</w:t>
      </w:r>
      <w:r>
        <w:rPr>
          <w:rFonts w:hint="eastAsia" w:ascii="宋体" w:hAnsi="宋体" w:cs="楷体"/>
          <w:color w:val="000000" w:themeColor="text1"/>
          <w14:textFill>
            <w14:solidFill>
              <w14:schemeClr w14:val="tx1"/>
            </w14:solidFill>
          </w14:textFill>
        </w:rPr>
        <w:t>涵盖</w:t>
      </w:r>
      <w:r>
        <w:rPr>
          <w:rFonts w:ascii="宋体" w:hAnsi="宋体" w:cs="楷体"/>
          <w:color w:val="000000" w:themeColor="text1"/>
          <w14:textFill>
            <w14:solidFill>
              <w14:schemeClr w14:val="tx1"/>
            </w14:solidFill>
          </w14:textFill>
        </w:rPr>
        <w:t>发明所属技术领域</w:t>
      </w:r>
      <w:r>
        <w:rPr>
          <w:rFonts w:hint="eastAsia" w:ascii="宋体" w:hAnsi="宋体" w:cs="楷体"/>
          <w:color w:val="000000" w:themeColor="text1"/>
          <w14:textFill>
            <w14:solidFill>
              <w14:schemeClr w14:val="tx1"/>
            </w14:solidFill>
          </w14:textFill>
        </w:rPr>
        <w:t>、</w:t>
      </w:r>
      <w:r>
        <w:rPr>
          <w:rFonts w:ascii="宋体" w:hAnsi="宋体" w:cs="楷体"/>
          <w:color w:val="000000" w:themeColor="text1"/>
          <w14:textFill>
            <w14:solidFill>
              <w14:schemeClr w14:val="tx1"/>
            </w14:solidFill>
          </w14:textFill>
        </w:rPr>
        <w:t>要解决的技术问题、通过发明解决该技术问题的方案的要点和发明的用途。</w:t>
      </w:r>
    </w:p>
    <w:p>
      <w:pPr>
        <w:ind w:firstLine="480"/>
        <w:rPr>
          <w:rFonts w:hint="eastAsia" w:ascii="宋体" w:hAnsi="宋体" w:cs="楷体"/>
          <w:color w:val="000000" w:themeColor="text1"/>
          <w14:textFill>
            <w14:solidFill>
              <w14:schemeClr w14:val="tx1"/>
            </w14:solidFill>
          </w14:textFill>
        </w:rPr>
      </w:pPr>
      <w:r>
        <w:rPr>
          <w:rFonts w:hint="eastAsia" w:ascii="宋体" w:hAnsi="宋体" w:cs="楷体"/>
          <w:color w:val="000000" w:themeColor="text1"/>
          <w14:textFill>
            <w14:solidFill>
              <w14:schemeClr w14:val="tx1"/>
            </w14:solidFill>
          </w14:textFill>
        </w:rPr>
        <w:t>2</w:t>
      </w:r>
      <w:r>
        <w:rPr>
          <w:rFonts w:ascii="宋体" w:hAnsi="宋体" w:cs="楷体"/>
          <w:color w:val="000000" w:themeColor="text1"/>
          <w14:textFill>
            <w14:solidFill>
              <w14:schemeClr w14:val="tx1"/>
            </w14:solidFill>
          </w14:textFill>
        </w:rPr>
        <w:t>.</w:t>
      </w:r>
      <w:r>
        <w:rPr>
          <w:rFonts w:hint="eastAsia" w:ascii="宋体" w:hAnsi="宋体" w:cs="楷体"/>
          <w:color w:val="000000" w:themeColor="text1"/>
          <w14:textFill>
            <w14:solidFill>
              <w14:schemeClr w14:val="tx1"/>
            </w14:solidFill>
          </w14:textFill>
        </w:rPr>
        <w:t>权力要求检索：</w:t>
      </w:r>
      <w:r>
        <w:rPr>
          <w:rFonts w:ascii="宋体" w:hAnsi="宋体" w:cs="楷体"/>
          <w:color w:val="000000" w:themeColor="text1"/>
          <w14:textFill>
            <w14:solidFill>
              <w14:schemeClr w14:val="tx1"/>
            </w14:solidFill>
          </w14:textFill>
        </w:rPr>
        <w:t>权利要求书是专利文件中限定专利保护范围的文件部分。权利要求书记载发明或者实用新型的技术特征。权利要求具有独立权利要求，也可以有从属权利要求。独立权利要求从整体上反映发明或者实用新型的技术方案，记载解决技术问题所需的必要技术特征。从属权利要求用附加的技术特征，对引用的权利要求做进一步限定。</w:t>
      </w:r>
    </w:p>
    <w:p>
      <w:pPr>
        <w:ind w:firstLine="480"/>
        <w:rPr>
          <w:rFonts w:hint="eastAsia" w:ascii="宋体" w:hAnsi="宋体" w:cs="楷体"/>
          <w:color w:val="000000" w:themeColor="text1"/>
          <w14:textFill>
            <w14:solidFill>
              <w14:schemeClr w14:val="tx1"/>
            </w14:solidFill>
          </w14:textFill>
        </w:rPr>
      </w:pPr>
      <w:r>
        <w:rPr>
          <w:rFonts w:ascii="宋体" w:hAnsi="宋体" w:cs="楷体"/>
          <w:color w:val="000000" w:themeColor="text1"/>
          <w14:textFill>
            <w14:solidFill>
              <w14:schemeClr w14:val="tx1"/>
            </w14:solidFill>
          </w14:textFill>
        </w:rPr>
        <w:t>3.全文检索</w:t>
      </w:r>
      <w:r>
        <w:rPr>
          <w:rFonts w:hint="eastAsia" w:ascii="宋体" w:hAnsi="宋体" w:cs="楷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对于全文库的检索，更关注一些技术细节，或者技术参数等等。在进行全文检索时对关键词进行选择与对文摘库进行检索时侧重点有所不同，对于全文库的检索，更多的关注关键词的“全”。</w:t>
      </w:r>
      <w:r>
        <w:rPr>
          <w:rFonts w:hint="eastAsia" w:ascii="宋体" w:hAnsi="宋体" w:cs="楷体"/>
          <w:color w:val="000000" w:themeColor="text1"/>
          <w14:textFill>
            <w14:solidFill>
              <w14:schemeClr w14:val="tx1"/>
            </w14:solidFill>
          </w14:textFill>
        </w:rPr>
        <w:t>通过对</w:t>
      </w:r>
      <w:r>
        <w:rPr>
          <w:rFonts w:ascii="宋体" w:hAnsi="宋体" w:cs="楷体"/>
          <w:color w:val="000000" w:themeColor="text1"/>
          <w14:textFill>
            <w14:solidFill>
              <w14:schemeClr w14:val="tx1"/>
            </w14:solidFill>
          </w14:textFill>
        </w:rPr>
        <w:t>全文库的检索，</w:t>
      </w:r>
      <w:r>
        <w:rPr>
          <w:rFonts w:hint="eastAsia" w:ascii="宋体" w:hAnsi="宋体" w:cs="楷体"/>
          <w:color w:val="000000" w:themeColor="text1"/>
          <w14:textFill>
            <w14:solidFill>
              <w14:schemeClr w14:val="tx1"/>
            </w14:solidFill>
          </w14:textFill>
        </w:rPr>
        <w:t>可以</w:t>
      </w:r>
      <w:r>
        <w:rPr>
          <w:rFonts w:ascii="宋体" w:hAnsi="宋体" w:cs="楷体"/>
          <w:color w:val="000000" w:themeColor="text1"/>
          <w14:textFill>
            <w14:solidFill>
              <w14:schemeClr w14:val="tx1"/>
            </w14:solidFill>
          </w14:textFill>
        </w:rPr>
        <w:t>保证检索的查全率。</w:t>
      </w:r>
    </w:p>
    <w:p>
      <w:pPr>
        <w:ind w:firstLine="480"/>
        <w:rPr>
          <w:rFonts w:hint="eastAsia" w:ascii="宋体" w:hAnsi="宋体"/>
        </w:rPr>
      </w:pPr>
      <w:r>
        <w:rPr>
          <w:rFonts w:hint="eastAsia" w:ascii="宋体" w:hAnsi="宋体"/>
        </w:rPr>
        <w:t>应当声明，受专利审查进度的影响，2</w:t>
      </w:r>
      <w:r>
        <w:rPr>
          <w:rFonts w:ascii="宋体" w:hAnsi="宋体"/>
        </w:rPr>
        <w:t>02</w:t>
      </w:r>
      <w:r>
        <w:rPr>
          <w:rFonts w:hint="eastAsia" w:ascii="宋体" w:hAnsi="宋体"/>
        </w:rPr>
        <w:t>4年与2</w:t>
      </w:r>
      <w:r>
        <w:rPr>
          <w:rFonts w:ascii="宋体" w:hAnsi="宋体"/>
        </w:rPr>
        <w:t>02</w:t>
      </w:r>
      <w:r>
        <w:rPr>
          <w:rFonts w:hint="eastAsia" w:ascii="宋体" w:hAnsi="宋体"/>
        </w:rPr>
        <w:t>5年的部分专利仍未公开，所以本报告中2</w:t>
      </w:r>
      <w:r>
        <w:rPr>
          <w:rFonts w:ascii="宋体" w:hAnsi="宋体"/>
        </w:rPr>
        <w:t>02</w:t>
      </w:r>
      <w:r>
        <w:rPr>
          <w:rFonts w:hint="eastAsia" w:ascii="宋体" w:hAnsi="宋体"/>
        </w:rPr>
        <w:t>4年与2</w:t>
      </w:r>
      <w:r>
        <w:rPr>
          <w:rFonts w:ascii="宋体" w:hAnsi="宋体"/>
        </w:rPr>
        <w:t>02</w:t>
      </w:r>
      <w:r>
        <w:rPr>
          <w:rFonts w:hint="eastAsia" w:ascii="宋体" w:hAnsi="宋体"/>
        </w:rPr>
        <w:t>5年的专利数量只包含了已经公开的专利数量，所以2</w:t>
      </w:r>
      <w:r>
        <w:rPr>
          <w:rFonts w:ascii="宋体" w:hAnsi="宋体"/>
        </w:rPr>
        <w:t>02</w:t>
      </w:r>
      <w:r>
        <w:rPr>
          <w:rFonts w:hint="eastAsia" w:ascii="宋体" w:hAnsi="宋体"/>
        </w:rPr>
        <w:t>4年与2</w:t>
      </w:r>
      <w:r>
        <w:rPr>
          <w:rFonts w:ascii="宋体" w:hAnsi="宋体"/>
        </w:rPr>
        <w:t>02</w:t>
      </w:r>
      <w:r>
        <w:rPr>
          <w:rFonts w:hint="eastAsia" w:ascii="宋体" w:hAnsi="宋体"/>
        </w:rPr>
        <w:t>5年的专利数量不具备参考价值，下文中将不再赘述。</w:t>
      </w:r>
    </w:p>
    <w:p>
      <w:pPr>
        <w:ind w:firstLine="482"/>
        <w:rPr>
          <w:rFonts w:hint="eastAsia" w:ascii="宋体" w:hAnsi="宋体"/>
          <w:b/>
          <w:bCs/>
        </w:rPr>
      </w:pPr>
      <w:r>
        <w:rPr>
          <w:rFonts w:hint="eastAsia" w:ascii="宋体" w:hAnsi="宋体"/>
          <w:b/>
          <w:bCs/>
        </w:rPr>
        <w:t>四、主要检索式</w:t>
      </w:r>
    </w:p>
    <w:p>
      <w:pPr>
        <w:pStyle w:val="18"/>
        <w:shd w:val="clear" w:color="auto" w:fill="FFFFFF"/>
        <w:ind w:firstLine="0" w:firstLineChars="0"/>
        <w:jc w:val="center"/>
        <w:rPr>
          <w:rFonts w:hint="eastAsia" w:cs="Helvetica" w:asciiTheme="minorEastAsia" w:hAnsiTheme="minorEastAsia" w:eastAsiaTheme="minorEastAsia"/>
          <w:b/>
          <w:color w:val="000000" w:themeColor="text1"/>
          <w14:textFill>
            <w14:solidFill>
              <w14:schemeClr w14:val="tx1"/>
            </w14:solidFill>
          </w14:textFill>
        </w:rPr>
      </w:pPr>
      <w:r>
        <w:rPr>
          <w:rFonts w:hint="eastAsia" w:cs="Helvetica" w:asciiTheme="minorEastAsia" w:hAnsiTheme="minorEastAsia" w:eastAsiaTheme="minorEastAsia"/>
          <w:b/>
          <w:color w:val="000000" w:themeColor="text1"/>
          <w14:textFill>
            <w14:solidFill>
              <w14:schemeClr w14:val="tx1"/>
            </w14:solidFill>
          </w14:textFill>
        </w:rPr>
        <w:t>表</w:t>
      </w:r>
      <w:r>
        <w:rPr>
          <w:rFonts w:cs="Helvetica" w:asciiTheme="minorEastAsia" w:hAnsiTheme="minorEastAsia" w:eastAsiaTheme="minorEastAsia"/>
          <w:b/>
          <w:color w:val="000000" w:themeColor="text1"/>
          <w14:textFill>
            <w14:solidFill>
              <w14:schemeClr w14:val="tx1"/>
            </w14:solidFill>
          </w14:textFill>
        </w:rPr>
        <w:t>2.1-2</w:t>
      </w:r>
      <w:r>
        <w:rPr>
          <w:rFonts w:hint="eastAsia" w:cs="Helvetica" w:asciiTheme="minorEastAsia" w:hAnsiTheme="minorEastAsia" w:eastAsiaTheme="minorEastAsia"/>
          <w:b/>
          <w:color w:val="000000" w:themeColor="text1"/>
          <w14:textFill>
            <w14:solidFill>
              <w14:schemeClr w14:val="tx1"/>
            </w14:solidFill>
          </w14:textFill>
        </w:rPr>
        <w:t xml:space="preserve"> 专利检索式</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6"/>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vAlign w:val="center"/>
          </w:tcPr>
          <w:p>
            <w:pPr>
              <w:ind w:firstLine="0" w:firstLineChars="0"/>
              <w:jc w:val="center"/>
              <w:rPr>
                <w:rFonts w:hint="eastAsia" w:ascii="宋体" w:hAnsi="宋体"/>
                <w:b/>
                <w:bCs/>
              </w:rPr>
            </w:pPr>
            <w:r>
              <w:rPr>
                <w:rFonts w:hint="eastAsia" w:ascii="宋体" w:hAnsi="宋体"/>
                <w:b/>
                <w:bCs/>
              </w:rPr>
              <w:t>检索式</w:t>
            </w:r>
          </w:p>
        </w:tc>
        <w:tc>
          <w:tcPr>
            <w:tcW w:w="1780" w:type="dxa"/>
            <w:vAlign w:val="center"/>
          </w:tcPr>
          <w:p>
            <w:pPr>
              <w:ind w:firstLine="0" w:firstLineChars="0"/>
              <w:jc w:val="center"/>
              <w:rPr>
                <w:rFonts w:hint="eastAsia" w:ascii="宋体" w:hAnsi="宋体"/>
                <w:b/>
                <w:bCs/>
              </w:rPr>
            </w:pPr>
            <w:r>
              <w:rPr>
                <w:rFonts w:hint="eastAsia" w:ascii="宋体" w:hAnsi="宋体"/>
                <w:b/>
                <w:bCs/>
              </w:rPr>
              <w:t>专利数量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trPr>
        <w:tc>
          <w:tcPr>
            <w:tcW w:w="6516" w:type="dxa"/>
            <w:vAlign w:val="center"/>
          </w:tcPr>
          <w:p>
            <w:pPr>
              <w:ind w:firstLine="0" w:firstLineChars="0"/>
              <w:rPr>
                <w:rFonts w:hint="eastAsia" w:asciiTheme="minorEastAsia" w:hAnsiTheme="minorEastAsia" w:eastAsiaTheme="minorEastAsia"/>
              </w:rPr>
            </w:pPr>
            <w:r>
              <w:rPr>
                <w:rFonts w:hint="eastAsia" w:asciiTheme="minorEastAsia" w:hAnsiTheme="minorEastAsia" w:eastAsiaTheme="minorEastAsia"/>
              </w:rPr>
              <w:t>TIABC=医疗器械 AND (高值耗材 OR 低值耗材 OR 体外诊断 OR 推车 OR 仓储架 OR 器械架 OR 导管架)</w:t>
            </w:r>
          </w:p>
        </w:tc>
        <w:tc>
          <w:tcPr>
            <w:tcW w:w="1780" w:type="dxa"/>
            <w:vAlign w:val="center"/>
          </w:tcPr>
          <w:p>
            <w:pPr>
              <w:ind w:firstLine="0" w:firstLineChars="0"/>
              <w:jc w:val="center"/>
              <w:rPr>
                <w:rFonts w:hint="eastAsia" w:ascii="宋体" w:hAnsi="宋体"/>
              </w:rPr>
            </w:pPr>
            <w:r>
              <w:rPr>
                <w:rFonts w:hint="eastAsia" w:ascii="宋体" w:hAnsi="宋体"/>
              </w:rPr>
              <w:t>共检索到2758件专利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6516" w:type="dxa"/>
            <w:vAlign w:val="center"/>
          </w:tcPr>
          <w:p>
            <w:pPr>
              <w:ind w:firstLine="0" w:firstLineChars="0"/>
              <w:rPr>
                <w:rFonts w:hint="eastAsia" w:ascii="宋体" w:hAnsi="宋体"/>
              </w:rPr>
            </w:pPr>
            <w:r>
              <w:rPr>
                <w:rFonts w:hint="eastAsia" w:asciiTheme="minorEastAsia" w:hAnsiTheme="minorEastAsia" w:eastAsiaTheme="minorEastAsia"/>
              </w:rPr>
              <w:t xml:space="preserve"> TIABC=医疗器械 AND  IPC=(A61B17/00 OR A61B42/00 OR A61B46/00 OR A61B5/00  OR A61B50/00 OR A61B7/00 OR A61M)</w:t>
            </w:r>
          </w:p>
        </w:tc>
        <w:tc>
          <w:tcPr>
            <w:tcW w:w="1780" w:type="dxa"/>
            <w:vAlign w:val="center"/>
          </w:tcPr>
          <w:p>
            <w:pPr>
              <w:ind w:firstLine="0" w:firstLineChars="0"/>
              <w:jc w:val="center"/>
              <w:rPr>
                <w:rFonts w:hint="eastAsia" w:ascii="宋体" w:hAnsi="宋体"/>
              </w:rPr>
            </w:pPr>
            <w:r>
              <w:rPr>
                <w:rFonts w:hint="eastAsia" w:ascii="宋体" w:hAnsi="宋体"/>
              </w:rPr>
              <w:t>共检索到92554件专利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6516" w:type="dxa"/>
            <w:vAlign w:val="center"/>
          </w:tcPr>
          <w:p>
            <w:pPr>
              <w:ind w:firstLine="0" w:firstLineChars="0"/>
              <w:rPr>
                <w:rFonts w:hint="eastAsia" w:asciiTheme="minorEastAsia" w:hAnsiTheme="minorEastAsia" w:eastAsiaTheme="minorEastAsia"/>
              </w:rPr>
            </w:pPr>
            <w:r>
              <w:rPr>
                <w:rFonts w:hint="eastAsia" w:asciiTheme="minorEastAsia" w:hAnsiTheme="minorEastAsia" w:eastAsiaTheme="minorEastAsia"/>
              </w:rPr>
              <w:t>(LOC=(24-04 OR 24-02)) AND (TIABC=医疗 AND 器械)</w:t>
            </w:r>
          </w:p>
        </w:tc>
        <w:tc>
          <w:tcPr>
            <w:tcW w:w="1780" w:type="dxa"/>
            <w:vAlign w:val="center"/>
          </w:tcPr>
          <w:p>
            <w:pPr>
              <w:ind w:firstLine="0" w:firstLineChars="0"/>
              <w:jc w:val="center"/>
              <w:rPr>
                <w:rFonts w:hint="eastAsia" w:ascii="宋体" w:hAnsi="宋体"/>
              </w:rPr>
            </w:pPr>
            <w:r>
              <w:rPr>
                <w:rFonts w:hint="eastAsia" w:ascii="宋体" w:hAnsi="宋体"/>
              </w:rPr>
              <w:t>共检索到13159件专利</w:t>
            </w:r>
          </w:p>
        </w:tc>
      </w:tr>
    </w:tbl>
    <w:p>
      <w:pPr>
        <w:ind w:firstLine="480"/>
        <w:rPr>
          <w:rFonts w:hint="eastAsia" w:ascii="宋体" w:hAnsi="宋体"/>
        </w:rPr>
      </w:pPr>
      <w:r>
        <w:rPr>
          <w:rFonts w:hint="eastAsia" w:ascii="宋体" w:hAnsi="宋体"/>
        </w:rPr>
        <w:t>在专利数据库</w:t>
      </w:r>
      <w:r>
        <w:rPr>
          <w:rFonts w:ascii="宋体" w:hAnsi="宋体"/>
        </w:rPr>
        <w:t>(</w:t>
      </w:r>
      <w:r>
        <w:rPr>
          <w:rFonts w:hint="eastAsia" w:ascii="宋体" w:hAnsi="宋体"/>
        </w:rPr>
        <w:t>智慧芽</w:t>
      </w:r>
      <w:r>
        <w:rPr>
          <w:rFonts w:ascii="宋体" w:hAnsi="宋体"/>
        </w:rPr>
        <w:t>)</w:t>
      </w:r>
      <w:r>
        <w:rPr>
          <w:rFonts w:hint="eastAsia" w:ascii="宋体" w:hAnsi="宋体"/>
        </w:rPr>
        <w:t>中检索得到全球与医疗器械直接相关的专利108131件，其中中国专利64932件，国外专利43199件。本项目后续将基于该108131件专利形成专利数据池，并对其进行专利分析。</w:t>
      </w:r>
    </w:p>
    <w:p>
      <w:pPr>
        <w:ind w:firstLine="562"/>
        <w:outlineLvl w:val="1"/>
        <w:rPr>
          <w:rFonts w:hint="eastAsia" w:ascii="黑体" w:hAnsi="黑体" w:eastAsia="黑体"/>
          <w:b/>
          <w:bCs/>
          <w:sz w:val="28"/>
          <w:szCs w:val="28"/>
        </w:rPr>
      </w:pPr>
      <w:bookmarkStart w:id="12" w:name="_Toc22000"/>
      <w:r>
        <w:rPr>
          <w:rFonts w:ascii="黑体" w:hAnsi="黑体" w:eastAsia="黑体"/>
          <w:b/>
          <w:bCs/>
          <w:sz w:val="28"/>
          <w:szCs w:val="28"/>
        </w:rPr>
        <w:t>2</w:t>
      </w:r>
      <w:r>
        <w:rPr>
          <w:rFonts w:hint="eastAsia" w:ascii="黑体" w:hAnsi="黑体" w:eastAsia="黑体"/>
          <w:b/>
          <w:bCs/>
          <w:sz w:val="28"/>
          <w:szCs w:val="28"/>
        </w:rPr>
        <w:t>.2 聊城市医疗器械产业知识产权保护现状</w:t>
      </w:r>
      <w:bookmarkEnd w:id="12"/>
    </w:p>
    <w:p>
      <w:pPr>
        <w:ind w:firstLine="482"/>
        <w:rPr>
          <w:rFonts w:hint="eastAsia" w:ascii="宋体" w:hAnsi="宋体"/>
          <w:b/>
          <w:bCs/>
        </w:rPr>
      </w:pPr>
      <w:r>
        <w:rPr>
          <w:rFonts w:hint="eastAsia" w:ascii="宋体" w:hAnsi="宋体"/>
          <w:b/>
          <w:bCs/>
        </w:rPr>
        <w:t>1</w:t>
      </w:r>
      <w:r>
        <w:rPr>
          <w:rFonts w:ascii="宋体" w:hAnsi="宋体"/>
          <w:b/>
          <w:bCs/>
        </w:rPr>
        <w:t>.</w:t>
      </w:r>
      <w:r>
        <w:rPr>
          <w:rFonts w:hint="eastAsia" w:ascii="宋体" w:hAnsi="宋体"/>
          <w:b/>
          <w:bCs/>
        </w:rPr>
        <w:t>专利申请趋势</w:t>
      </w:r>
    </w:p>
    <w:p>
      <w:pPr>
        <w:ind w:firstLine="0" w:firstLineChars="0"/>
        <w:jc w:val="center"/>
      </w:pPr>
      <w:r>
        <w:rPr>
          <w:rFonts w:hint="eastAsia"/>
        </w:rPr>
        <w:drawing>
          <wp:inline distT="0" distB="0" distL="114300" distR="114300">
            <wp:extent cx="5258435" cy="2957830"/>
            <wp:effectExtent l="0" t="0" r="18415" b="13970"/>
            <wp:docPr id="8" name="图片 8" descr="申请趋势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申请趋势 (46)"/>
                    <pic:cNvPicPr>
                      <a:picLocks noChangeAspect="1"/>
                    </pic:cNvPicPr>
                  </pic:nvPicPr>
                  <pic:blipFill>
                    <a:blip r:embed="rId14"/>
                    <a:stretch>
                      <a:fillRect/>
                    </a:stretch>
                  </pic:blipFill>
                  <pic:spPr>
                    <a:xfrm>
                      <a:off x="0" y="0"/>
                      <a:ext cx="5258435" cy="2957830"/>
                    </a:xfrm>
                    <a:prstGeom prst="rect">
                      <a:avLst/>
                    </a:prstGeom>
                  </pic:spPr>
                </pic:pic>
              </a:graphicData>
            </a:graphic>
          </wp:inline>
        </w:drawing>
      </w:r>
    </w:p>
    <w:p>
      <w:pPr>
        <w:pStyle w:val="18"/>
        <w:shd w:val="clear" w:color="auto" w:fill="FFFFFF"/>
        <w:ind w:firstLine="0" w:firstLineChars="0"/>
        <w:jc w:val="center"/>
        <w:rPr>
          <w:rFonts w:hint="eastAsia" w:cs="Helvetica" w:asciiTheme="minorEastAsia" w:hAnsiTheme="minorEastAsia" w:eastAsiaTheme="minorEastAsia"/>
          <w:b/>
          <w:color w:val="000000" w:themeColor="text1"/>
          <w14:textFill>
            <w14:solidFill>
              <w14:schemeClr w14:val="tx1"/>
            </w14:solidFill>
          </w14:textFill>
        </w:rPr>
      </w:pPr>
      <w:r>
        <w:rPr>
          <w:rFonts w:hint="eastAsia" w:cs="Helvetica" w:asciiTheme="minorEastAsia" w:hAnsiTheme="minorEastAsia" w:eastAsiaTheme="minorEastAsia"/>
          <w:b/>
          <w:color w:val="000000" w:themeColor="text1"/>
          <w14:textFill>
            <w14:solidFill>
              <w14:schemeClr w14:val="tx1"/>
            </w14:solidFill>
          </w14:textFill>
        </w:rPr>
        <w:t>图</w:t>
      </w:r>
      <w:r>
        <w:rPr>
          <w:rFonts w:cs="Helvetica" w:asciiTheme="minorEastAsia" w:hAnsiTheme="minorEastAsia" w:eastAsiaTheme="minorEastAsia"/>
          <w:b/>
          <w:color w:val="000000" w:themeColor="text1"/>
          <w14:textFill>
            <w14:solidFill>
              <w14:schemeClr w14:val="tx1"/>
            </w14:solidFill>
          </w14:textFill>
        </w:rPr>
        <w:t xml:space="preserve">2.2-1 </w:t>
      </w:r>
      <w:r>
        <w:rPr>
          <w:rFonts w:hint="eastAsia" w:cs="Helvetica" w:asciiTheme="minorEastAsia" w:hAnsiTheme="minorEastAsia" w:eastAsiaTheme="minorEastAsia"/>
          <w:b/>
          <w:color w:val="000000" w:themeColor="text1"/>
          <w14:textFill>
            <w14:solidFill>
              <w14:schemeClr w14:val="tx1"/>
            </w14:solidFill>
          </w14:textFill>
        </w:rPr>
        <w:t>聊城市相关专利申请趋势</w:t>
      </w:r>
    </w:p>
    <w:p>
      <w:pPr>
        <w:ind w:firstLine="480"/>
      </w:pPr>
      <w:r>
        <w:t>共检索到</w:t>
      </w:r>
      <w:r>
        <w:rPr>
          <w:rFonts w:hint="eastAsia"/>
        </w:rPr>
        <w:t>聊城市</w:t>
      </w:r>
      <w:r>
        <w:t>相关专利文献</w:t>
      </w:r>
      <w:r>
        <w:rPr>
          <w:rFonts w:hint="eastAsia"/>
        </w:rPr>
        <w:t>801件。从专利年申请量来看，聊城在该领域专利申请起步时间较早，2010年及以前已有较多专利数量布局。2011年开始聊城在该领域专利申请数量有所下降，一直到2019年专利申请数量回升，达到10年前专利申请水平，近几年出现回落趋势。</w:t>
      </w:r>
    </w:p>
    <w:p>
      <w:pPr>
        <w:ind w:firstLine="482"/>
        <w:rPr>
          <w:rFonts w:hint="eastAsia" w:asciiTheme="minorEastAsia" w:hAnsiTheme="minorEastAsia" w:eastAsiaTheme="minorEastAsia"/>
          <w:b/>
          <w:bCs/>
          <w:color w:val="191919"/>
          <w:shd w:val="clear" w:color="auto" w:fill="FFFFFF"/>
        </w:rPr>
      </w:pPr>
      <w:r>
        <w:rPr>
          <w:rFonts w:hint="eastAsia" w:asciiTheme="minorEastAsia" w:hAnsiTheme="minorEastAsia" w:eastAsiaTheme="minorEastAsia"/>
          <w:b/>
          <w:bCs/>
          <w:color w:val="191919"/>
          <w:shd w:val="clear" w:color="auto" w:fill="FFFFFF"/>
        </w:rPr>
        <w:t>2</w:t>
      </w:r>
      <w:r>
        <w:rPr>
          <w:rFonts w:asciiTheme="minorEastAsia" w:hAnsiTheme="minorEastAsia" w:eastAsiaTheme="minorEastAsia"/>
          <w:b/>
          <w:bCs/>
          <w:color w:val="191919"/>
          <w:shd w:val="clear" w:color="auto" w:fill="FFFFFF"/>
        </w:rPr>
        <w:t>.</w:t>
      </w:r>
      <w:r>
        <w:rPr>
          <w:rFonts w:hint="eastAsia" w:asciiTheme="minorEastAsia" w:hAnsiTheme="minorEastAsia" w:eastAsiaTheme="minorEastAsia"/>
          <w:b/>
          <w:bCs/>
          <w:color w:val="191919"/>
          <w:shd w:val="clear" w:color="auto" w:fill="FFFFFF"/>
        </w:rPr>
        <w:t>专利类型</w:t>
      </w:r>
    </w:p>
    <w:p>
      <w:pPr>
        <w:ind w:firstLine="0" w:firstLineChars="0"/>
        <w:jc w:val="center"/>
        <w:rPr>
          <w:rFonts w:hint="eastAsia" w:asciiTheme="minorEastAsia" w:hAnsiTheme="minorEastAsia" w:eastAsiaTheme="minorEastAsia"/>
          <w:color w:val="191919"/>
          <w:shd w:val="clear" w:color="auto" w:fill="FFFFFF"/>
        </w:rPr>
      </w:pPr>
      <w:r>
        <w:rPr>
          <w:rFonts w:hint="eastAsia" w:asciiTheme="minorEastAsia" w:hAnsiTheme="minorEastAsia" w:eastAsiaTheme="minorEastAsia"/>
          <w:b/>
          <w:bCs/>
          <w:color w:val="191919"/>
          <w:shd w:val="clear" w:color="auto" w:fill="FFFFFF"/>
        </w:rPr>
        <w:drawing>
          <wp:inline distT="0" distB="0" distL="114300" distR="114300">
            <wp:extent cx="5258435" cy="2957830"/>
            <wp:effectExtent l="0" t="0" r="18415" b="13970"/>
            <wp:docPr id="9" name="图片 9" descr="申请趋势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申请趋势 (47)"/>
                    <pic:cNvPicPr>
                      <a:picLocks noChangeAspect="1"/>
                    </pic:cNvPicPr>
                  </pic:nvPicPr>
                  <pic:blipFill>
                    <a:blip r:embed="rId15"/>
                    <a:stretch>
                      <a:fillRect/>
                    </a:stretch>
                  </pic:blipFill>
                  <pic:spPr>
                    <a:xfrm>
                      <a:off x="0" y="0"/>
                      <a:ext cx="5258435" cy="2957830"/>
                    </a:xfrm>
                    <a:prstGeom prst="rect">
                      <a:avLst/>
                    </a:prstGeom>
                  </pic:spPr>
                </pic:pic>
              </a:graphicData>
            </a:graphic>
          </wp:inline>
        </w:drawing>
      </w:r>
    </w:p>
    <w:p>
      <w:pPr>
        <w:pStyle w:val="18"/>
        <w:shd w:val="clear" w:color="auto" w:fill="FFFFFF"/>
        <w:ind w:firstLine="0" w:firstLineChars="0"/>
        <w:jc w:val="center"/>
        <w:rPr>
          <w:rFonts w:hint="eastAsia" w:cs="Helvetica" w:asciiTheme="minorEastAsia" w:hAnsiTheme="minorEastAsia" w:eastAsiaTheme="minorEastAsia"/>
          <w:b/>
          <w:color w:val="000000" w:themeColor="text1"/>
          <w14:textFill>
            <w14:solidFill>
              <w14:schemeClr w14:val="tx1"/>
            </w14:solidFill>
          </w14:textFill>
        </w:rPr>
      </w:pPr>
      <w:r>
        <w:rPr>
          <w:rFonts w:hint="eastAsia" w:cs="Helvetica" w:asciiTheme="minorEastAsia" w:hAnsiTheme="minorEastAsia" w:eastAsiaTheme="minorEastAsia"/>
          <w:b/>
          <w:color w:val="000000" w:themeColor="text1"/>
          <w14:textFill>
            <w14:solidFill>
              <w14:schemeClr w14:val="tx1"/>
            </w14:solidFill>
          </w14:textFill>
        </w:rPr>
        <w:t>图</w:t>
      </w:r>
      <w:r>
        <w:rPr>
          <w:rFonts w:cs="Helvetica" w:asciiTheme="minorEastAsia" w:hAnsiTheme="minorEastAsia" w:eastAsiaTheme="minorEastAsia"/>
          <w:b/>
          <w:color w:val="000000" w:themeColor="text1"/>
          <w14:textFill>
            <w14:solidFill>
              <w14:schemeClr w14:val="tx1"/>
            </w14:solidFill>
          </w14:textFill>
        </w:rPr>
        <w:t xml:space="preserve">2.2-2 </w:t>
      </w:r>
      <w:r>
        <w:rPr>
          <w:rFonts w:hint="eastAsia" w:cs="Helvetica" w:asciiTheme="minorEastAsia" w:hAnsiTheme="minorEastAsia" w:eastAsiaTheme="minorEastAsia"/>
          <w:b/>
          <w:color w:val="000000" w:themeColor="text1"/>
          <w14:textFill>
            <w14:solidFill>
              <w14:schemeClr w14:val="tx1"/>
            </w14:solidFill>
          </w14:textFill>
        </w:rPr>
        <w:t>聊城市医疗器械领域相关专利类型占比</w:t>
      </w:r>
    </w:p>
    <w:p>
      <w:pPr>
        <w:ind w:firstLine="480"/>
      </w:pPr>
      <w:r>
        <w:t>由图2.2-2可以看出，目前</w:t>
      </w:r>
      <w:r>
        <w:rPr>
          <w:rFonts w:hint="eastAsia"/>
        </w:rPr>
        <w:t>聊城市在医疗器械领域专利申请类型主要为实用新型专利</w:t>
      </w:r>
      <w:r>
        <w:t>，占比</w:t>
      </w:r>
      <w:r>
        <w:rPr>
          <w:rFonts w:hint="eastAsia"/>
        </w:rPr>
        <w:t>达到85.77%；其次为发明申请，占比为11.49%</w:t>
      </w:r>
      <w:r>
        <w:t>。</w:t>
      </w:r>
      <w:r>
        <w:rPr>
          <w:rFonts w:hint="eastAsia"/>
        </w:rPr>
        <w:t>通常来说，专利申请人为了获得专利授权证书，会将创新性较低的技术申请实用新型专利，而将创新性较高的专利申请发明专利，所以相对而言，发明专利的创新性或者说技术先进性要明显高于实用新型专利。所以，聊城市当前在医疗器械领域的专利技术先进性相对较低，专利总体质量仍有较大的提升空间。</w:t>
      </w:r>
    </w:p>
    <w:p>
      <w:pPr>
        <w:ind w:firstLine="482"/>
        <w:rPr>
          <w:rFonts w:hint="eastAsia"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专利法律状态</w:t>
      </w:r>
    </w:p>
    <w:p>
      <w:pPr>
        <w:ind w:firstLine="0" w:firstLineChars="0"/>
        <w:jc w:val="center"/>
        <w:rPr>
          <w:rFonts w:hint="eastAsia" w:asciiTheme="minorEastAsia" w:hAnsiTheme="minorEastAsia" w:eastAsiaTheme="minorEastAsia"/>
          <w:color w:val="191919"/>
          <w:shd w:val="clear" w:color="auto" w:fill="FFFFFF"/>
        </w:rPr>
      </w:pPr>
      <w:r>
        <w:rPr>
          <w:rFonts w:hint="eastAsia" w:asciiTheme="minorEastAsia" w:hAnsiTheme="minorEastAsia" w:eastAsiaTheme="minorEastAsia"/>
          <w:color w:val="191919"/>
          <w:shd w:val="clear" w:color="auto" w:fill="FFFFFF"/>
        </w:rPr>
        <w:drawing>
          <wp:inline distT="0" distB="0" distL="114300" distR="114300">
            <wp:extent cx="2573020" cy="2545080"/>
            <wp:effectExtent l="0" t="0" r="17780" b="7620"/>
            <wp:docPr id="10" name="图片 10" descr="申请趋势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申请趋势 (48)"/>
                    <pic:cNvPicPr>
                      <a:picLocks noChangeAspect="1"/>
                    </pic:cNvPicPr>
                  </pic:nvPicPr>
                  <pic:blipFill>
                    <a:blip r:embed="rId16"/>
                    <a:srcRect l="28849" t="12967" r="30962" b="16359"/>
                    <a:stretch>
                      <a:fillRect/>
                    </a:stretch>
                  </pic:blipFill>
                  <pic:spPr>
                    <a:xfrm>
                      <a:off x="0" y="0"/>
                      <a:ext cx="2573020" cy="2545080"/>
                    </a:xfrm>
                    <a:prstGeom prst="rect">
                      <a:avLst/>
                    </a:prstGeom>
                  </pic:spPr>
                </pic:pic>
              </a:graphicData>
            </a:graphic>
          </wp:inline>
        </w:drawing>
      </w:r>
    </w:p>
    <w:p>
      <w:pPr>
        <w:pStyle w:val="18"/>
        <w:shd w:val="clear" w:color="auto" w:fill="FFFFFF"/>
        <w:ind w:firstLine="0" w:firstLineChars="0"/>
        <w:jc w:val="center"/>
        <w:rPr>
          <w:rFonts w:hint="eastAsia" w:cs="Helvetica" w:asciiTheme="minorEastAsia" w:hAnsiTheme="minorEastAsia" w:eastAsiaTheme="minorEastAsia"/>
          <w:b/>
          <w:color w:val="000000" w:themeColor="text1"/>
          <w14:textFill>
            <w14:solidFill>
              <w14:schemeClr w14:val="tx1"/>
            </w14:solidFill>
          </w14:textFill>
        </w:rPr>
      </w:pPr>
      <w:r>
        <w:rPr>
          <w:rFonts w:hint="eastAsia" w:cs="Helvetica" w:asciiTheme="minorEastAsia" w:hAnsiTheme="minorEastAsia" w:eastAsiaTheme="minorEastAsia"/>
          <w:b/>
          <w:color w:val="000000" w:themeColor="text1"/>
          <w14:textFill>
            <w14:solidFill>
              <w14:schemeClr w14:val="tx1"/>
            </w14:solidFill>
          </w14:textFill>
        </w:rPr>
        <w:t>图</w:t>
      </w:r>
      <w:r>
        <w:rPr>
          <w:rFonts w:cs="Helvetica" w:asciiTheme="minorEastAsia" w:hAnsiTheme="minorEastAsia" w:eastAsiaTheme="minorEastAsia"/>
          <w:b/>
          <w:color w:val="000000" w:themeColor="text1"/>
          <w14:textFill>
            <w14:solidFill>
              <w14:schemeClr w14:val="tx1"/>
            </w14:solidFill>
          </w14:textFill>
        </w:rPr>
        <w:t xml:space="preserve">2.2-3 </w:t>
      </w:r>
      <w:r>
        <w:rPr>
          <w:rFonts w:hint="eastAsia" w:cs="Helvetica" w:asciiTheme="minorEastAsia" w:hAnsiTheme="minorEastAsia" w:eastAsiaTheme="minorEastAsia"/>
          <w:b/>
          <w:color w:val="000000" w:themeColor="text1"/>
          <w14:textFill>
            <w14:solidFill>
              <w14:schemeClr w14:val="tx1"/>
            </w14:solidFill>
          </w14:textFill>
        </w:rPr>
        <w:t>聊城市医疗器械领域相关专利法律状态</w:t>
      </w:r>
    </w:p>
    <w:p>
      <w:pPr>
        <w:ind w:firstLine="480"/>
      </w:pPr>
      <w:r>
        <w:rPr>
          <w:rFonts w:hint="eastAsia"/>
        </w:rPr>
        <w:t>通过分析当前专利法律状态的分布情况，可以了解分析目标中专利的权利状态及失效原因，以作为专利价值或管理能力评估、风险分析、技术引进或专利运营等决策行动的参考依据。从图</w:t>
      </w:r>
      <w:r>
        <w:t>2.2-3</w:t>
      </w:r>
      <w:r>
        <w:rPr>
          <w:rFonts w:hint="eastAsia"/>
        </w:rPr>
        <w:t>可以看出，聊城市目前专利健康状态较差，有86.77</w:t>
      </w:r>
      <w:r>
        <w:t>%</w:t>
      </w:r>
      <w:r>
        <w:rPr>
          <w:rFonts w:hint="eastAsia"/>
        </w:rPr>
        <w:t>的专利处于未缴年费状态；其次为授权专利，占比为4.74%；撤回专利占比4.62%，驳回专利占比3.37%，实质审查专利占比0.37%，期限届满专利占比0.12%。</w:t>
      </w:r>
    </w:p>
    <w:p>
      <w:pPr>
        <w:ind w:firstLine="562"/>
        <w:outlineLvl w:val="1"/>
        <w:rPr>
          <w:rFonts w:hint="eastAsia" w:ascii="黑体" w:hAnsi="黑体" w:eastAsia="黑体"/>
          <w:b/>
          <w:bCs/>
          <w:sz w:val="28"/>
          <w:szCs w:val="28"/>
        </w:rPr>
      </w:pPr>
      <w:bookmarkStart w:id="13" w:name="_Toc19072"/>
      <w:r>
        <w:rPr>
          <w:rFonts w:ascii="黑体" w:hAnsi="黑体" w:eastAsia="黑体"/>
          <w:b/>
          <w:bCs/>
          <w:sz w:val="28"/>
          <w:szCs w:val="28"/>
        </w:rPr>
        <w:t>2</w:t>
      </w:r>
      <w:r>
        <w:rPr>
          <w:rFonts w:hint="eastAsia" w:ascii="黑体" w:hAnsi="黑体" w:eastAsia="黑体"/>
          <w:b/>
          <w:bCs/>
          <w:sz w:val="28"/>
          <w:szCs w:val="28"/>
        </w:rPr>
        <w:t>.3 产业重点布局区域知识产权竞争态势</w:t>
      </w:r>
      <w:bookmarkEnd w:id="13"/>
    </w:p>
    <w:p>
      <w:pPr>
        <w:ind w:firstLine="562"/>
        <w:outlineLvl w:val="2"/>
        <w:rPr>
          <w:rFonts w:hint="eastAsia" w:ascii="黑体" w:hAnsi="黑体" w:eastAsia="黑体" w:cs="Helvetica"/>
          <w:b/>
          <w:color w:val="000000" w:themeColor="text1"/>
          <w:kern w:val="0"/>
          <w:sz w:val="28"/>
          <w:szCs w:val="28"/>
          <w14:textFill>
            <w14:solidFill>
              <w14:schemeClr w14:val="tx1"/>
            </w14:solidFill>
          </w14:textFill>
        </w:rPr>
      </w:pPr>
      <w:bookmarkStart w:id="14" w:name="_Toc24774"/>
      <w:r>
        <w:rPr>
          <w:rFonts w:ascii="黑体" w:hAnsi="黑体" w:eastAsia="黑体" w:cs="Helvetica"/>
          <w:b/>
          <w:color w:val="000000" w:themeColor="text1"/>
          <w:kern w:val="0"/>
          <w:sz w:val="28"/>
          <w:szCs w:val="28"/>
          <w14:textFill>
            <w14:solidFill>
              <w14:schemeClr w14:val="tx1"/>
            </w14:solidFill>
          </w14:textFill>
        </w:rPr>
        <w:t>2.3</w:t>
      </w:r>
      <w:r>
        <w:rPr>
          <w:rFonts w:hint="eastAsia" w:ascii="黑体" w:hAnsi="黑体" w:eastAsia="黑体" w:cs="Helvetica"/>
          <w:b/>
          <w:color w:val="000000" w:themeColor="text1"/>
          <w:kern w:val="0"/>
          <w:sz w:val="28"/>
          <w:szCs w:val="28"/>
          <w14:textFill>
            <w14:solidFill>
              <w14:schemeClr w14:val="tx1"/>
            </w14:solidFill>
          </w14:textFill>
        </w:rPr>
        <w:t>.1</w:t>
      </w:r>
      <w:r>
        <w:rPr>
          <w:rFonts w:ascii="黑体" w:hAnsi="黑体" w:eastAsia="黑体" w:cs="Helvetica"/>
          <w:b/>
          <w:color w:val="000000" w:themeColor="text1"/>
          <w:kern w:val="0"/>
          <w:sz w:val="28"/>
          <w:szCs w:val="28"/>
          <w14:textFill>
            <w14:solidFill>
              <w14:schemeClr w14:val="tx1"/>
            </w14:solidFill>
          </w14:textFill>
        </w:rPr>
        <w:t xml:space="preserve"> </w:t>
      </w:r>
      <w:r>
        <w:rPr>
          <w:rFonts w:hint="eastAsia" w:ascii="黑体" w:hAnsi="黑体" w:eastAsia="黑体" w:cs="Helvetica"/>
          <w:b/>
          <w:color w:val="000000" w:themeColor="text1"/>
          <w:kern w:val="0"/>
          <w:sz w:val="28"/>
          <w:szCs w:val="28"/>
          <w14:textFill>
            <w14:solidFill>
              <w14:schemeClr w14:val="tx1"/>
            </w14:solidFill>
          </w14:textFill>
        </w:rPr>
        <w:t>美国</w:t>
      </w:r>
      <w:bookmarkEnd w:id="14"/>
    </w:p>
    <w:p>
      <w:pPr>
        <w:ind w:firstLine="482"/>
        <w:rPr>
          <w:rFonts w:hint="eastAsia" w:asciiTheme="minorEastAsia" w:hAnsiTheme="minorEastAsia" w:eastAsiaTheme="minorEastAsia"/>
          <w:b/>
          <w:bCs/>
        </w:rPr>
      </w:pPr>
      <w:r>
        <w:rPr>
          <w:rFonts w:asciiTheme="minorEastAsia" w:hAnsiTheme="minorEastAsia" w:eastAsiaTheme="minorEastAsia"/>
          <w:b/>
          <w:bCs/>
        </w:rPr>
        <w:t>1.</w:t>
      </w:r>
      <w:r>
        <w:rPr>
          <w:rFonts w:hint="eastAsia" w:asciiTheme="minorEastAsia" w:hAnsiTheme="minorEastAsia" w:eastAsiaTheme="minorEastAsia"/>
          <w:b/>
          <w:bCs/>
        </w:rPr>
        <w:t>专利申请趋势</w:t>
      </w:r>
    </w:p>
    <w:p>
      <w:pPr>
        <w:ind w:firstLine="0" w:firstLineChars="0"/>
        <w:jc w:val="center"/>
        <w:rPr>
          <w:rFonts w:hint="eastAsia" w:asciiTheme="minorEastAsia" w:hAnsiTheme="minorEastAsia" w:eastAsiaTheme="minorEastAsia"/>
        </w:rPr>
      </w:pPr>
      <w:r>
        <w:rPr>
          <w:rFonts w:hint="eastAsia" w:asciiTheme="minorEastAsia" w:hAnsiTheme="minorEastAsia" w:eastAsiaTheme="minorEastAsia"/>
        </w:rPr>
        <w:drawing>
          <wp:inline distT="0" distB="0" distL="114300" distR="114300">
            <wp:extent cx="5258435" cy="2957830"/>
            <wp:effectExtent l="0" t="0" r="18415" b="13970"/>
            <wp:docPr id="11" name="图片 11" descr="申请趋势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申请趋势 (49)"/>
                    <pic:cNvPicPr>
                      <a:picLocks noChangeAspect="1"/>
                    </pic:cNvPicPr>
                  </pic:nvPicPr>
                  <pic:blipFill>
                    <a:blip r:embed="rId17"/>
                    <a:stretch>
                      <a:fillRect/>
                    </a:stretch>
                  </pic:blipFill>
                  <pic:spPr>
                    <a:xfrm>
                      <a:off x="0" y="0"/>
                      <a:ext cx="5258435" cy="2957830"/>
                    </a:xfrm>
                    <a:prstGeom prst="rect">
                      <a:avLst/>
                    </a:prstGeom>
                  </pic:spPr>
                </pic:pic>
              </a:graphicData>
            </a:graphic>
          </wp:inline>
        </w:drawing>
      </w:r>
    </w:p>
    <w:p>
      <w:pPr>
        <w:pStyle w:val="16"/>
        <w:rPr>
          <w:rFonts w:hint="eastAsia"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2.3-1 </w:t>
      </w:r>
      <w:r>
        <w:rPr>
          <w:rFonts w:hint="eastAsia" w:asciiTheme="minorEastAsia" w:hAnsiTheme="minorEastAsia" w:eastAsiaTheme="minorEastAsia"/>
          <w:b/>
          <w:bCs/>
          <w:sz w:val="24"/>
        </w:rPr>
        <w:t>美国医疗器械领域相关专利申请趋势</w:t>
      </w:r>
    </w:p>
    <w:p>
      <w:pPr>
        <w:ind w:firstLine="480"/>
        <w:rPr>
          <w:rFonts w:hint="eastAsia" w:asciiTheme="minorEastAsia" w:hAnsiTheme="minorEastAsia" w:eastAsiaTheme="minorEastAsia"/>
        </w:rPr>
      </w:pPr>
      <w:r>
        <w:rPr>
          <w:rFonts w:asciiTheme="minorEastAsia" w:hAnsiTheme="minorEastAsia" w:eastAsiaTheme="minorEastAsia"/>
        </w:rPr>
        <w:t>共检索到</w:t>
      </w:r>
      <w:r>
        <w:rPr>
          <w:rFonts w:hint="eastAsia" w:asciiTheme="minorEastAsia" w:hAnsiTheme="minorEastAsia" w:eastAsiaTheme="minorEastAsia"/>
        </w:rPr>
        <w:t>美国医疗器械领域</w:t>
      </w:r>
      <w:r>
        <w:rPr>
          <w:rFonts w:asciiTheme="minorEastAsia" w:hAnsiTheme="minorEastAsia" w:eastAsiaTheme="minorEastAsia"/>
        </w:rPr>
        <w:t>相关专利文献</w:t>
      </w:r>
      <w:r>
        <w:rPr>
          <w:rFonts w:hint="eastAsia" w:asciiTheme="minorEastAsia" w:hAnsiTheme="minorEastAsia" w:eastAsiaTheme="minorEastAsia"/>
        </w:rPr>
        <w:t>10188</w:t>
      </w:r>
      <w:r>
        <w:rPr>
          <w:rFonts w:asciiTheme="minorEastAsia" w:hAnsiTheme="minorEastAsia" w:eastAsiaTheme="minorEastAsia"/>
        </w:rPr>
        <w:t>项，</w:t>
      </w:r>
      <w:r>
        <w:rPr>
          <w:rFonts w:hint="eastAsia" w:asciiTheme="minorEastAsia" w:hAnsiTheme="minorEastAsia" w:eastAsiaTheme="minorEastAsia"/>
        </w:rPr>
        <w:t>美国在医疗器械领域的专利申请开始较早，技术已经非常成熟，近几年，美国在该领域的年专利申请数量出现了一定的减少，2019年之前美国在医疗器械领域的年专利申请数量总体上呈现出逐渐上升的申请趋势</w:t>
      </w:r>
      <w:r>
        <w:rPr>
          <w:rFonts w:asciiTheme="minorEastAsia" w:hAnsiTheme="minorEastAsia" w:eastAsiaTheme="minorEastAsia"/>
        </w:rPr>
        <w:t>。</w:t>
      </w:r>
    </w:p>
    <w:p>
      <w:pPr>
        <w:ind w:firstLine="482"/>
        <w:rPr>
          <w:rFonts w:hint="eastAsia"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专利类型</w:t>
      </w:r>
    </w:p>
    <w:p>
      <w:pPr>
        <w:ind w:firstLine="0" w:firstLineChars="0"/>
        <w:jc w:val="center"/>
        <w:rPr>
          <w:rFonts w:hint="eastAsia" w:asciiTheme="minorEastAsia" w:hAnsiTheme="minorEastAsia" w:eastAsiaTheme="minorEastAsia"/>
        </w:rPr>
      </w:pPr>
      <w:r>
        <w:rPr>
          <w:rFonts w:hint="eastAsia" w:asciiTheme="minorEastAsia" w:hAnsiTheme="minorEastAsia" w:eastAsiaTheme="minorEastAsia"/>
        </w:rPr>
        <w:drawing>
          <wp:inline distT="0" distB="0" distL="114300" distR="114300">
            <wp:extent cx="3663315" cy="2450465"/>
            <wp:effectExtent l="0" t="0" r="13335" b="6985"/>
            <wp:docPr id="12" name="图片 12" descr="申请趋势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申请趋势 (50)"/>
                    <pic:cNvPicPr>
                      <a:picLocks noChangeAspect="1"/>
                    </pic:cNvPicPr>
                  </pic:nvPicPr>
                  <pic:blipFill>
                    <a:blip r:embed="rId18"/>
                    <a:srcRect l="21507" t="14684" r="20698" b="16595"/>
                    <a:stretch>
                      <a:fillRect/>
                    </a:stretch>
                  </pic:blipFill>
                  <pic:spPr>
                    <a:xfrm>
                      <a:off x="0" y="0"/>
                      <a:ext cx="3663315" cy="2450465"/>
                    </a:xfrm>
                    <a:prstGeom prst="rect">
                      <a:avLst/>
                    </a:prstGeom>
                  </pic:spPr>
                </pic:pic>
              </a:graphicData>
            </a:graphic>
          </wp:inline>
        </w:drawing>
      </w:r>
    </w:p>
    <w:p>
      <w:pPr>
        <w:pStyle w:val="16"/>
        <w:rPr>
          <w:rFonts w:hint="eastAsia"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2.3-2 </w:t>
      </w:r>
      <w:r>
        <w:rPr>
          <w:rFonts w:hint="eastAsia" w:asciiTheme="minorEastAsia" w:hAnsiTheme="minorEastAsia" w:eastAsiaTheme="minorEastAsia"/>
          <w:b/>
          <w:bCs/>
          <w:sz w:val="24"/>
        </w:rPr>
        <w:t>美国医疗器械领域</w:t>
      </w:r>
      <w:r>
        <w:rPr>
          <w:rFonts w:asciiTheme="minorEastAsia" w:hAnsiTheme="minorEastAsia" w:eastAsiaTheme="minorEastAsia"/>
          <w:b/>
          <w:bCs/>
          <w:sz w:val="24"/>
        </w:rPr>
        <w:t>相关专利申请类型</w:t>
      </w:r>
    </w:p>
    <w:p>
      <w:pPr>
        <w:ind w:firstLine="480"/>
        <w:rPr>
          <w:rFonts w:hint="eastAsia" w:asciiTheme="minorEastAsia" w:hAnsiTheme="minorEastAsia" w:eastAsiaTheme="minorEastAsia"/>
        </w:rPr>
      </w:pPr>
      <w:r>
        <w:rPr>
          <w:rFonts w:asciiTheme="minorEastAsia" w:hAnsiTheme="minorEastAsia" w:eastAsiaTheme="minorEastAsia"/>
        </w:rPr>
        <w:t>由图2.3-2可以看出，目前</w:t>
      </w:r>
      <w:r>
        <w:rPr>
          <w:rFonts w:hint="eastAsia" w:asciiTheme="minorEastAsia" w:hAnsiTheme="minorEastAsia" w:eastAsiaTheme="minorEastAsia"/>
        </w:rPr>
        <w:t>美国在医疗器械领域的专利申请类型主要以发明专利为主</w:t>
      </w:r>
      <w:r>
        <w:rPr>
          <w:rFonts w:asciiTheme="minorEastAsia" w:hAnsiTheme="minorEastAsia" w:eastAsiaTheme="minorEastAsia"/>
        </w:rPr>
        <w:t>，</w:t>
      </w:r>
      <w:r>
        <w:rPr>
          <w:rFonts w:hint="eastAsia" w:asciiTheme="minorEastAsia" w:hAnsiTheme="minorEastAsia" w:eastAsiaTheme="minorEastAsia"/>
        </w:rPr>
        <w:t>发明授权</w:t>
      </w:r>
      <w:r>
        <w:rPr>
          <w:rFonts w:asciiTheme="minorEastAsia" w:hAnsiTheme="minorEastAsia" w:eastAsiaTheme="minorEastAsia"/>
        </w:rPr>
        <w:t>占比</w:t>
      </w:r>
      <w:r>
        <w:rPr>
          <w:rFonts w:hint="eastAsia" w:asciiTheme="minorEastAsia" w:hAnsiTheme="minorEastAsia" w:eastAsiaTheme="minorEastAsia"/>
        </w:rPr>
        <w:t>高达49.7%，其中授权发明申请专利占比达到46.59%，其次为外观设计专利，占比为3.71%，可见美国在医疗器械领域专利申请的技术先进性非常高。</w:t>
      </w:r>
    </w:p>
    <w:p>
      <w:pPr>
        <w:ind w:firstLine="482"/>
        <w:rPr>
          <w:rFonts w:hint="eastAsia"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专利法律状态</w:t>
      </w:r>
    </w:p>
    <w:p>
      <w:pPr>
        <w:ind w:firstLine="0" w:firstLineChars="0"/>
        <w:jc w:val="center"/>
        <w:rPr>
          <w:rFonts w:hint="eastAsia" w:asciiTheme="minorEastAsia" w:hAnsiTheme="minorEastAsia" w:eastAsiaTheme="minorEastAsia"/>
        </w:rPr>
      </w:pPr>
      <w:r>
        <w:rPr>
          <w:rFonts w:hint="eastAsia" w:asciiTheme="minorEastAsia" w:hAnsiTheme="minorEastAsia" w:eastAsiaTheme="minorEastAsia"/>
        </w:rPr>
        <w:drawing>
          <wp:inline distT="0" distB="0" distL="114300" distR="114300">
            <wp:extent cx="5258435" cy="2957830"/>
            <wp:effectExtent l="0" t="0" r="18415" b="13970"/>
            <wp:docPr id="13" name="图片 13" descr="申请趋势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申请趋势 (51)"/>
                    <pic:cNvPicPr>
                      <a:picLocks noChangeAspect="1"/>
                    </pic:cNvPicPr>
                  </pic:nvPicPr>
                  <pic:blipFill>
                    <a:blip r:embed="rId19"/>
                    <a:stretch>
                      <a:fillRect/>
                    </a:stretch>
                  </pic:blipFill>
                  <pic:spPr>
                    <a:xfrm>
                      <a:off x="0" y="0"/>
                      <a:ext cx="5258435" cy="2957830"/>
                    </a:xfrm>
                    <a:prstGeom prst="rect">
                      <a:avLst/>
                    </a:prstGeom>
                  </pic:spPr>
                </pic:pic>
              </a:graphicData>
            </a:graphic>
          </wp:inline>
        </w:drawing>
      </w:r>
    </w:p>
    <w:p>
      <w:pPr>
        <w:pStyle w:val="16"/>
        <w:rPr>
          <w:rFonts w:hint="eastAsia"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2.3-3 </w:t>
      </w:r>
      <w:r>
        <w:rPr>
          <w:rFonts w:hint="eastAsia" w:asciiTheme="minorEastAsia" w:hAnsiTheme="minorEastAsia" w:eastAsiaTheme="minorEastAsia"/>
          <w:b/>
          <w:bCs/>
          <w:sz w:val="24"/>
        </w:rPr>
        <w:t>美国医疗器械领域相关专利法律状态</w:t>
      </w:r>
    </w:p>
    <w:p>
      <w:pPr>
        <w:ind w:firstLine="480"/>
        <w:rPr>
          <w:rFonts w:hint="eastAsia" w:asciiTheme="minorEastAsia" w:hAnsiTheme="minorEastAsia" w:eastAsiaTheme="minorEastAsia"/>
        </w:rPr>
      </w:pPr>
      <w:r>
        <w:rPr>
          <w:rFonts w:hint="eastAsia" w:asciiTheme="minorEastAsia" w:hAnsiTheme="minorEastAsia" w:eastAsiaTheme="minorEastAsia"/>
        </w:rPr>
        <w:t>从图</w:t>
      </w:r>
      <w:r>
        <w:rPr>
          <w:rFonts w:asciiTheme="minorEastAsia" w:hAnsiTheme="minorEastAsia" w:eastAsiaTheme="minorEastAsia"/>
        </w:rPr>
        <w:t>2.3-3</w:t>
      </w:r>
      <w:r>
        <w:rPr>
          <w:rFonts w:hint="eastAsia" w:asciiTheme="minorEastAsia" w:hAnsiTheme="minorEastAsia" w:eastAsiaTheme="minorEastAsia"/>
        </w:rPr>
        <w:t>可以看出，美国医疗器械领域的专利申请中，有49.09</w:t>
      </w:r>
      <w:r>
        <w:rPr>
          <w:rFonts w:asciiTheme="minorEastAsia" w:hAnsiTheme="minorEastAsia" w:eastAsiaTheme="minorEastAsia"/>
        </w:rPr>
        <w:t>%</w:t>
      </w:r>
      <w:r>
        <w:rPr>
          <w:rFonts w:hint="eastAsia" w:asciiTheme="minorEastAsia" w:hAnsiTheme="minorEastAsia" w:eastAsiaTheme="minorEastAsia"/>
        </w:rPr>
        <w:t>的专利被授权，有16.66</w:t>
      </w:r>
      <w:r>
        <w:rPr>
          <w:rFonts w:asciiTheme="minorEastAsia" w:hAnsiTheme="minorEastAsia" w:eastAsiaTheme="minorEastAsia"/>
        </w:rPr>
        <w:t>%</w:t>
      </w:r>
      <w:r>
        <w:rPr>
          <w:rFonts w:hint="eastAsia" w:asciiTheme="minorEastAsia" w:hAnsiTheme="minorEastAsia" w:eastAsiaTheme="minorEastAsia"/>
        </w:rPr>
        <w:t>的专利未缴年费，有13.71</w:t>
      </w:r>
      <w:r>
        <w:rPr>
          <w:rFonts w:asciiTheme="minorEastAsia" w:hAnsiTheme="minorEastAsia" w:eastAsiaTheme="minorEastAsia"/>
        </w:rPr>
        <w:t>%</w:t>
      </w:r>
      <w:r>
        <w:rPr>
          <w:rFonts w:hint="eastAsia" w:asciiTheme="minorEastAsia" w:hAnsiTheme="minorEastAsia" w:eastAsiaTheme="minorEastAsia"/>
        </w:rPr>
        <w:t>的专利期限届满，有</w:t>
      </w:r>
      <w:r>
        <w:rPr>
          <w:rFonts w:asciiTheme="minorEastAsia" w:hAnsiTheme="minorEastAsia" w:eastAsiaTheme="minorEastAsia"/>
        </w:rPr>
        <w:t>1</w:t>
      </w:r>
      <w:r>
        <w:rPr>
          <w:rFonts w:hint="eastAsia" w:asciiTheme="minorEastAsia" w:hAnsiTheme="minorEastAsia" w:eastAsiaTheme="minorEastAsia"/>
        </w:rPr>
        <w:t>0.74</w:t>
      </w:r>
      <w:r>
        <w:rPr>
          <w:rFonts w:asciiTheme="minorEastAsia" w:hAnsiTheme="minorEastAsia" w:eastAsiaTheme="minorEastAsia"/>
        </w:rPr>
        <w:t>%</w:t>
      </w:r>
      <w:r>
        <w:rPr>
          <w:rFonts w:hint="eastAsia" w:asciiTheme="minorEastAsia" w:hAnsiTheme="minorEastAsia" w:eastAsiaTheme="minorEastAsia"/>
        </w:rPr>
        <w:t>的专利被放弃，9.08</w:t>
      </w:r>
      <w:r>
        <w:rPr>
          <w:rFonts w:asciiTheme="minorEastAsia" w:hAnsiTheme="minorEastAsia" w:eastAsiaTheme="minorEastAsia"/>
        </w:rPr>
        <w:t>%</w:t>
      </w:r>
      <w:r>
        <w:rPr>
          <w:rFonts w:hint="eastAsia" w:asciiTheme="minorEastAsia" w:hAnsiTheme="minorEastAsia" w:eastAsiaTheme="minorEastAsia"/>
        </w:rPr>
        <w:t>的专利处于实质审查状态，0.7%的专利处于公开状态，0.02的专利处于权利恢复状态。可见，美国在医疗器械领域的专利大多都处于授权有效状态，失效的原因主要是未缴年费、期限届满以及放弃。</w:t>
      </w:r>
    </w:p>
    <w:p>
      <w:pPr>
        <w:ind w:firstLine="562"/>
        <w:outlineLvl w:val="2"/>
        <w:rPr>
          <w:rFonts w:hint="eastAsia" w:ascii="黑体" w:hAnsi="黑体" w:eastAsia="黑体" w:cs="Helvetica"/>
          <w:b/>
          <w:color w:val="000000" w:themeColor="text1"/>
          <w:kern w:val="0"/>
          <w:sz w:val="28"/>
          <w:szCs w:val="28"/>
          <w14:textFill>
            <w14:solidFill>
              <w14:schemeClr w14:val="tx1"/>
            </w14:solidFill>
          </w14:textFill>
        </w:rPr>
      </w:pPr>
      <w:bookmarkStart w:id="15" w:name="_Toc21379"/>
      <w:r>
        <w:rPr>
          <w:rFonts w:ascii="黑体" w:hAnsi="黑体" w:eastAsia="黑体" w:cs="Helvetica"/>
          <w:b/>
          <w:color w:val="000000" w:themeColor="text1"/>
          <w:kern w:val="0"/>
          <w:sz w:val="28"/>
          <w:szCs w:val="28"/>
          <w14:textFill>
            <w14:solidFill>
              <w14:schemeClr w14:val="tx1"/>
            </w14:solidFill>
          </w14:textFill>
        </w:rPr>
        <w:t>2.3</w:t>
      </w:r>
      <w:r>
        <w:rPr>
          <w:rFonts w:hint="eastAsia" w:ascii="黑体" w:hAnsi="黑体" w:eastAsia="黑体" w:cs="Helvetica"/>
          <w:b/>
          <w:color w:val="000000" w:themeColor="text1"/>
          <w:kern w:val="0"/>
          <w:sz w:val="28"/>
          <w:szCs w:val="28"/>
          <w14:textFill>
            <w14:solidFill>
              <w14:schemeClr w14:val="tx1"/>
            </w14:solidFill>
          </w14:textFill>
        </w:rPr>
        <w:t>.</w:t>
      </w:r>
      <w:r>
        <w:rPr>
          <w:rFonts w:ascii="黑体" w:hAnsi="黑体" w:eastAsia="黑体" w:cs="Helvetica"/>
          <w:b/>
          <w:color w:val="000000" w:themeColor="text1"/>
          <w:kern w:val="0"/>
          <w:sz w:val="28"/>
          <w:szCs w:val="28"/>
          <w14:textFill>
            <w14:solidFill>
              <w14:schemeClr w14:val="tx1"/>
            </w14:solidFill>
          </w14:textFill>
        </w:rPr>
        <w:t xml:space="preserve">2 </w:t>
      </w:r>
      <w:r>
        <w:rPr>
          <w:rFonts w:hint="eastAsia" w:ascii="黑体" w:hAnsi="黑体" w:eastAsia="黑体" w:cs="Helvetica"/>
          <w:b/>
          <w:color w:val="000000" w:themeColor="text1"/>
          <w:kern w:val="0"/>
          <w:sz w:val="28"/>
          <w:szCs w:val="28"/>
          <w14:textFill>
            <w14:solidFill>
              <w14:schemeClr w14:val="tx1"/>
            </w14:solidFill>
          </w14:textFill>
        </w:rPr>
        <w:t>日本</w:t>
      </w:r>
      <w:bookmarkEnd w:id="15"/>
    </w:p>
    <w:p>
      <w:pPr>
        <w:ind w:firstLine="482"/>
        <w:rPr>
          <w:rFonts w:hint="eastAsia" w:asciiTheme="minorEastAsia" w:hAnsiTheme="minorEastAsia" w:eastAsiaTheme="minorEastAsia"/>
          <w:b/>
          <w:bCs/>
        </w:rPr>
      </w:pPr>
      <w:r>
        <w:rPr>
          <w:rFonts w:asciiTheme="minorEastAsia" w:hAnsiTheme="minorEastAsia" w:eastAsiaTheme="minorEastAsia"/>
          <w:b/>
          <w:bCs/>
        </w:rPr>
        <w:t>1.</w:t>
      </w:r>
      <w:r>
        <w:rPr>
          <w:rFonts w:hint="eastAsia" w:asciiTheme="minorEastAsia" w:hAnsiTheme="minorEastAsia" w:eastAsiaTheme="minorEastAsia"/>
          <w:b/>
          <w:bCs/>
        </w:rPr>
        <w:t>专利申请趋势</w:t>
      </w:r>
    </w:p>
    <w:p>
      <w:pPr>
        <w:ind w:firstLine="0" w:firstLineChars="0"/>
        <w:jc w:val="center"/>
        <w:rPr>
          <w:rFonts w:hint="eastAsia" w:asciiTheme="minorEastAsia" w:hAnsiTheme="minorEastAsia" w:eastAsiaTheme="minorEastAsia"/>
        </w:rPr>
      </w:pPr>
      <w:r>
        <w:rPr>
          <w:rFonts w:hint="eastAsia" w:asciiTheme="minorEastAsia" w:hAnsiTheme="minorEastAsia" w:eastAsiaTheme="minorEastAsia"/>
        </w:rPr>
        <w:drawing>
          <wp:inline distT="0" distB="0" distL="114300" distR="114300">
            <wp:extent cx="5258435" cy="2957830"/>
            <wp:effectExtent l="0" t="0" r="18415" b="13970"/>
            <wp:docPr id="14" name="图片 14" descr="申请趋势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申请趋势 (52)"/>
                    <pic:cNvPicPr>
                      <a:picLocks noChangeAspect="1"/>
                    </pic:cNvPicPr>
                  </pic:nvPicPr>
                  <pic:blipFill>
                    <a:blip r:embed="rId20"/>
                    <a:stretch>
                      <a:fillRect/>
                    </a:stretch>
                  </pic:blipFill>
                  <pic:spPr>
                    <a:xfrm>
                      <a:off x="0" y="0"/>
                      <a:ext cx="5258435" cy="2957830"/>
                    </a:xfrm>
                    <a:prstGeom prst="rect">
                      <a:avLst/>
                    </a:prstGeom>
                  </pic:spPr>
                </pic:pic>
              </a:graphicData>
            </a:graphic>
          </wp:inline>
        </w:drawing>
      </w:r>
    </w:p>
    <w:p>
      <w:pPr>
        <w:pStyle w:val="16"/>
        <w:rPr>
          <w:rFonts w:hint="eastAsia"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2.3-4 </w:t>
      </w:r>
      <w:r>
        <w:rPr>
          <w:rFonts w:hint="eastAsia" w:asciiTheme="minorEastAsia" w:hAnsiTheme="minorEastAsia" w:eastAsiaTheme="minorEastAsia"/>
          <w:b/>
          <w:bCs/>
          <w:sz w:val="24"/>
        </w:rPr>
        <w:t>日本医疗器械领域相关专利申请趋势</w:t>
      </w:r>
    </w:p>
    <w:p>
      <w:pPr>
        <w:ind w:firstLine="480"/>
        <w:rPr>
          <w:rFonts w:hint="eastAsia" w:asciiTheme="minorEastAsia" w:hAnsiTheme="minorEastAsia" w:eastAsiaTheme="minorEastAsia"/>
        </w:rPr>
      </w:pPr>
      <w:r>
        <w:rPr>
          <w:rFonts w:asciiTheme="minorEastAsia" w:hAnsiTheme="minorEastAsia" w:eastAsiaTheme="minorEastAsia"/>
        </w:rPr>
        <w:t>共检索到</w:t>
      </w:r>
      <w:r>
        <w:rPr>
          <w:rFonts w:hint="eastAsia" w:asciiTheme="minorEastAsia" w:hAnsiTheme="minorEastAsia" w:eastAsiaTheme="minorEastAsia"/>
        </w:rPr>
        <w:t>日本医疗器械领域</w:t>
      </w:r>
      <w:r>
        <w:rPr>
          <w:rFonts w:asciiTheme="minorEastAsia" w:hAnsiTheme="minorEastAsia" w:eastAsiaTheme="minorEastAsia"/>
        </w:rPr>
        <w:t>相关专利文献</w:t>
      </w:r>
      <w:r>
        <w:rPr>
          <w:rFonts w:hint="eastAsia" w:asciiTheme="minorEastAsia" w:hAnsiTheme="minorEastAsia" w:eastAsiaTheme="minorEastAsia"/>
        </w:rPr>
        <w:t>5695篇</w:t>
      </w:r>
      <w:r>
        <w:rPr>
          <w:rFonts w:asciiTheme="minorEastAsia" w:hAnsiTheme="minorEastAsia" w:eastAsiaTheme="minorEastAsia"/>
        </w:rPr>
        <w:t>，</w:t>
      </w:r>
      <w:r>
        <w:rPr>
          <w:rFonts w:hint="eastAsia" w:asciiTheme="minorEastAsia" w:hAnsiTheme="minorEastAsia" w:eastAsiaTheme="minorEastAsia"/>
        </w:rPr>
        <w:t>与美国相似的是日本在医疗器械领域的专利申请也较早，技术也已经非常成熟，近五年，日本在该领域的专利申请数量出现了明显的减少，年专利申请数量维持在20</w:t>
      </w:r>
      <w:r>
        <w:rPr>
          <w:rFonts w:asciiTheme="minorEastAsia" w:hAnsiTheme="minorEastAsia" w:eastAsiaTheme="minorEastAsia"/>
        </w:rPr>
        <w:t>0</w:t>
      </w:r>
      <w:r>
        <w:rPr>
          <w:rFonts w:hint="eastAsia" w:asciiTheme="minorEastAsia" w:hAnsiTheme="minorEastAsia" w:eastAsiaTheme="minorEastAsia"/>
        </w:rPr>
        <w:t>件左右</w:t>
      </w:r>
      <w:r>
        <w:rPr>
          <w:rFonts w:asciiTheme="minorEastAsia" w:hAnsiTheme="minorEastAsia" w:eastAsiaTheme="minorEastAsia"/>
        </w:rPr>
        <w:t>。</w:t>
      </w:r>
    </w:p>
    <w:p>
      <w:pPr>
        <w:ind w:firstLine="482"/>
        <w:rPr>
          <w:rFonts w:hint="eastAsia"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专利类型</w:t>
      </w:r>
    </w:p>
    <w:p>
      <w:pPr>
        <w:ind w:firstLine="0" w:firstLineChars="0"/>
        <w:jc w:val="center"/>
        <w:rPr>
          <w:rFonts w:hint="eastAsia" w:asciiTheme="minorEastAsia" w:hAnsiTheme="minorEastAsia" w:eastAsiaTheme="minorEastAsia"/>
        </w:rPr>
      </w:pPr>
      <w:r>
        <w:rPr>
          <w:rFonts w:hint="eastAsia" w:asciiTheme="minorEastAsia" w:hAnsiTheme="minorEastAsia" w:eastAsiaTheme="minorEastAsia"/>
        </w:rPr>
        <w:drawing>
          <wp:inline distT="0" distB="0" distL="114300" distR="114300">
            <wp:extent cx="3709035" cy="2472055"/>
            <wp:effectExtent l="0" t="0" r="5715" b="4445"/>
            <wp:docPr id="15" name="图片 15" descr="申请趋势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申请趋势 (53)"/>
                    <pic:cNvPicPr>
                      <a:picLocks noChangeAspect="1"/>
                    </pic:cNvPicPr>
                  </pic:nvPicPr>
                  <pic:blipFill>
                    <a:blip r:embed="rId21"/>
                    <a:srcRect l="20348" t="11335" r="21229" b="19450"/>
                    <a:stretch>
                      <a:fillRect/>
                    </a:stretch>
                  </pic:blipFill>
                  <pic:spPr>
                    <a:xfrm>
                      <a:off x="0" y="0"/>
                      <a:ext cx="3709035" cy="2472055"/>
                    </a:xfrm>
                    <a:prstGeom prst="rect">
                      <a:avLst/>
                    </a:prstGeom>
                  </pic:spPr>
                </pic:pic>
              </a:graphicData>
            </a:graphic>
          </wp:inline>
        </w:drawing>
      </w:r>
    </w:p>
    <w:p>
      <w:pPr>
        <w:pStyle w:val="16"/>
        <w:rPr>
          <w:rFonts w:hint="eastAsia"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2.3-5 </w:t>
      </w:r>
      <w:r>
        <w:rPr>
          <w:rFonts w:hint="eastAsia" w:asciiTheme="minorEastAsia" w:hAnsiTheme="minorEastAsia" w:eastAsiaTheme="minorEastAsia"/>
          <w:b/>
          <w:bCs/>
          <w:sz w:val="24"/>
        </w:rPr>
        <w:t>日本医疗器械领域</w:t>
      </w:r>
      <w:r>
        <w:rPr>
          <w:rFonts w:asciiTheme="minorEastAsia" w:hAnsiTheme="minorEastAsia" w:eastAsiaTheme="minorEastAsia"/>
          <w:b/>
          <w:bCs/>
          <w:sz w:val="24"/>
        </w:rPr>
        <w:t>相关专利申请类型</w:t>
      </w:r>
    </w:p>
    <w:p>
      <w:pPr>
        <w:ind w:firstLine="480"/>
        <w:rPr>
          <w:rFonts w:hint="eastAsia" w:asciiTheme="minorEastAsia" w:hAnsiTheme="minorEastAsia" w:eastAsiaTheme="minorEastAsia"/>
        </w:rPr>
      </w:pPr>
      <w:r>
        <w:rPr>
          <w:rFonts w:asciiTheme="minorEastAsia" w:hAnsiTheme="minorEastAsia" w:eastAsiaTheme="minorEastAsia"/>
        </w:rPr>
        <w:t>由图2.3-5可以看出，目前</w:t>
      </w:r>
      <w:r>
        <w:rPr>
          <w:rFonts w:hint="eastAsia" w:asciiTheme="minorEastAsia" w:hAnsiTheme="minorEastAsia" w:eastAsiaTheme="minorEastAsia"/>
        </w:rPr>
        <w:t>日本在医疗器械领域的专利申请类型主要以发明专利为主</w:t>
      </w:r>
      <w:r>
        <w:rPr>
          <w:rFonts w:asciiTheme="minorEastAsia" w:hAnsiTheme="minorEastAsia" w:eastAsiaTheme="minorEastAsia"/>
        </w:rPr>
        <w:t>，</w:t>
      </w:r>
      <w:r>
        <w:rPr>
          <w:rFonts w:hint="eastAsia" w:asciiTheme="minorEastAsia" w:hAnsiTheme="minorEastAsia" w:eastAsiaTheme="minorEastAsia"/>
        </w:rPr>
        <w:t>发明专利申请</w:t>
      </w:r>
      <w:r>
        <w:rPr>
          <w:rFonts w:asciiTheme="minorEastAsia" w:hAnsiTheme="minorEastAsia" w:eastAsiaTheme="minorEastAsia"/>
        </w:rPr>
        <w:t>占比</w:t>
      </w:r>
      <w:r>
        <w:rPr>
          <w:rFonts w:hint="eastAsia" w:asciiTheme="minorEastAsia" w:hAnsiTheme="minorEastAsia" w:eastAsiaTheme="minorEastAsia"/>
        </w:rPr>
        <w:t>高达61.2%，其中授权发明专利占比达到29.96%，其次为外观设计专利，占比为5.29%，实用新型专利占比3.55%。日本在医疗器械领域发明专利占据了绝大多数，可见日本在医疗器械领域专利申请的技术先进性也非常高。</w:t>
      </w:r>
    </w:p>
    <w:p>
      <w:pPr>
        <w:ind w:firstLine="482"/>
        <w:rPr>
          <w:rFonts w:hint="eastAsia"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专利法律状态</w:t>
      </w:r>
    </w:p>
    <w:p>
      <w:pPr>
        <w:ind w:firstLine="0" w:firstLineChars="0"/>
        <w:jc w:val="center"/>
        <w:rPr>
          <w:rFonts w:hint="eastAsia" w:asciiTheme="minorEastAsia" w:hAnsiTheme="minorEastAsia" w:eastAsiaTheme="minorEastAsia"/>
        </w:rPr>
      </w:pPr>
      <w:r>
        <w:rPr>
          <w:rFonts w:hint="eastAsia" w:asciiTheme="minorEastAsia" w:hAnsiTheme="minorEastAsia" w:eastAsiaTheme="minorEastAsia"/>
        </w:rPr>
        <w:drawing>
          <wp:inline distT="0" distB="0" distL="114300" distR="114300">
            <wp:extent cx="4008755" cy="3057525"/>
            <wp:effectExtent l="0" t="0" r="10795" b="9525"/>
            <wp:docPr id="16" name="图片 16" descr="申请趋势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申请趋势 (54)"/>
                    <pic:cNvPicPr>
                      <a:picLocks noChangeAspect="1"/>
                    </pic:cNvPicPr>
                  </pic:nvPicPr>
                  <pic:blipFill>
                    <a:blip r:embed="rId22"/>
                    <a:srcRect l="23004" t="14019" r="24852" b="15286"/>
                    <a:stretch>
                      <a:fillRect/>
                    </a:stretch>
                  </pic:blipFill>
                  <pic:spPr>
                    <a:xfrm>
                      <a:off x="0" y="0"/>
                      <a:ext cx="4008755" cy="3057525"/>
                    </a:xfrm>
                    <a:prstGeom prst="rect">
                      <a:avLst/>
                    </a:prstGeom>
                  </pic:spPr>
                </pic:pic>
              </a:graphicData>
            </a:graphic>
          </wp:inline>
        </w:drawing>
      </w:r>
    </w:p>
    <w:p>
      <w:pPr>
        <w:pStyle w:val="16"/>
        <w:rPr>
          <w:rFonts w:hint="eastAsia"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2.3-6 </w:t>
      </w:r>
      <w:r>
        <w:rPr>
          <w:rFonts w:hint="eastAsia" w:asciiTheme="minorEastAsia" w:hAnsiTheme="minorEastAsia" w:eastAsiaTheme="minorEastAsia"/>
          <w:b/>
          <w:bCs/>
          <w:sz w:val="24"/>
        </w:rPr>
        <w:t>日本医疗器械领域相关专利法律状态</w:t>
      </w:r>
    </w:p>
    <w:p>
      <w:pPr>
        <w:ind w:firstLine="480"/>
        <w:rPr>
          <w:rFonts w:hint="eastAsia" w:asciiTheme="minorEastAsia" w:hAnsiTheme="minorEastAsia" w:eastAsiaTheme="minorEastAsia"/>
        </w:rPr>
      </w:pPr>
      <w:r>
        <w:rPr>
          <w:rFonts w:hint="eastAsia" w:asciiTheme="minorEastAsia" w:hAnsiTheme="minorEastAsia" w:eastAsiaTheme="minorEastAsia"/>
        </w:rPr>
        <w:t>从图</w:t>
      </w:r>
      <w:r>
        <w:rPr>
          <w:rFonts w:asciiTheme="minorEastAsia" w:hAnsiTheme="minorEastAsia" w:eastAsiaTheme="minorEastAsia"/>
        </w:rPr>
        <w:t>2.3-6</w:t>
      </w:r>
      <w:r>
        <w:rPr>
          <w:rFonts w:hint="eastAsia" w:asciiTheme="minorEastAsia" w:hAnsiTheme="minorEastAsia" w:eastAsiaTheme="minorEastAsia"/>
        </w:rPr>
        <w:t>可以看出，日本医疗器械领域的专利申请中，有34.98</w:t>
      </w:r>
      <w:r>
        <w:rPr>
          <w:rFonts w:asciiTheme="minorEastAsia" w:hAnsiTheme="minorEastAsia" w:eastAsiaTheme="minorEastAsia"/>
        </w:rPr>
        <w:t>%</w:t>
      </w:r>
      <w:r>
        <w:rPr>
          <w:rFonts w:hint="eastAsia" w:asciiTheme="minorEastAsia" w:hAnsiTheme="minorEastAsia" w:eastAsiaTheme="minorEastAsia"/>
        </w:rPr>
        <w:t>的专利处于授权状态，有</w:t>
      </w:r>
      <w:r>
        <w:rPr>
          <w:rFonts w:asciiTheme="minorEastAsia" w:hAnsiTheme="minorEastAsia" w:eastAsiaTheme="minorEastAsia"/>
        </w:rPr>
        <w:t>2</w:t>
      </w:r>
      <w:r>
        <w:rPr>
          <w:rFonts w:hint="eastAsia" w:asciiTheme="minorEastAsia" w:hAnsiTheme="minorEastAsia" w:eastAsiaTheme="minorEastAsia"/>
        </w:rPr>
        <w:t>0.43</w:t>
      </w:r>
      <w:r>
        <w:rPr>
          <w:rFonts w:asciiTheme="minorEastAsia" w:hAnsiTheme="minorEastAsia" w:eastAsiaTheme="minorEastAsia"/>
        </w:rPr>
        <w:t>%</w:t>
      </w:r>
      <w:r>
        <w:rPr>
          <w:rFonts w:hint="eastAsia" w:asciiTheme="minorEastAsia" w:hAnsiTheme="minorEastAsia" w:eastAsiaTheme="minorEastAsia"/>
        </w:rPr>
        <w:t>的专利未缴年费，有</w:t>
      </w:r>
      <w:r>
        <w:rPr>
          <w:rFonts w:asciiTheme="minorEastAsia" w:hAnsiTheme="minorEastAsia" w:eastAsiaTheme="minorEastAsia"/>
        </w:rPr>
        <w:t>1</w:t>
      </w:r>
      <w:r>
        <w:rPr>
          <w:rFonts w:hint="eastAsia" w:asciiTheme="minorEastAsia" w:hAnsiTheme="minorEastAsia" w:eastAsiaTheme="minorEastAsia"/>
        </w:rPr>
        <w:t>0.63</w:t>
      </w:r>
      <w:r>
        <w:rPr>
          <w:rFonts w:asciiTheme="minorEastAsia" w:hAnsiTheme="minorEastAsia" w:eastAsiaTheme="minorEastAsia"/>
        </w:rPr>
        <w:t>%</w:t>
      </w:r>
      <w:r>
        <w:rPr>
          <w:rFonts w:hint="eastAsia" w:asciiTheme="minorEastAsia" w:hAnsiTheme="minorEastAsia" w:eastAsiaTheme="minorEastAsia"/>
        </w:rPr>
        <w:t>的专利被驳回。可见，日本医疗器械产业虽然发展较早，但和美国不同的是，日本在医疗器械领域的有效专利数量占比要低于美国。</w:t>
      </w:r>
    </w:p>
    <w:p>
      <w:pPr>
        <w:ind w:firstLine="562"/>
        <w:outlineLvl w:val="2"/>
        <w:rPr>
          <w:rFonts w:hint="eastAsia" w:ascii="黑体" w:hAnsi="黑体" w:eastAsia="黑体" w:cs="Helvetica"/>
          <w:b/>
          <w:color w:val="000000" w:themeColor="text1"/>
          <w:kern w:val="0"/>
          <w:sz w:val="28"/>
          <w:szCs w:val="28"/>
          <w14:textFill>
            <w14:solidFill>
              <w14:schemeClr w14:val="tx1"/>
            </w14:solidFill>
          </w14:textFill>
        </w:rPr>
      </w:pPr>
      <w:bookmarkStart w:id="16" w:name="_Toc26189"/>
      <w:r>
        <w:rPr>
          <w:rFonts w:ascii="黑体" w:hAnsi="黑体" w:eastAsia="黑体" w:cs="Helvetica"/>
          <w:b/>
          <w:color w:val="000000" w:themeColor="text1"/>
          <w:kern w:val="0"/>
          <w:sz w:val="28"/>
          <w:szCs w:val="28"/>
          <w14:textFill>
            <w14:solidFill>
              <w14:schemeClr w14:val="tx1"/>
            </w14:solidFill>
          </w14:textFill>
        </w:rPr>
        <w:t>2.3</w:t>
      </w:r>
      <w:r>
        <w:rPr>
          <w:rFonts w:hint="eastAsia" w:ascii="黑体" w:hAnsi="黑体" w:eastAsia="黑体" w:cs="Helvetica"/>
          <w:b/>
          <w:color w:val="000000" w:themeColor="text1"/>
          <w:kern w:val="0"/>
          <w:sz w:val="28"/>
          <w:szCs w:val="28"/>
          <w14:textFill>
            <w14:solidFill>
              <w14:schemeClr w14:val="tx1"/>
            </w14:solidFill>
          </w14:textFill>
        </w:rPr>
        <w:t>.</w:t>
      </w:r>
      <w:r>
        <w:rPr>
          <w:rFonts w:ascii="黑体" w:hAnsi="黑体" w:eastAsia="黑体" w:cs="Helvetica"/>
          <w:b/>
          <w:color w:val="000000" w:themeColor="text1"/>
          <w:kern w:val="0"/>
          <w:sz w:val="28"/>
          <w:szCs w:val="28"/>
          <w14:textFill>
            <w14:solidFill>
              <w14:schemeClr w14:val="tx1"/>
            </w14:solidFill>
          </w14:textFill>
        </w:rPr>
        <w:t xml:space="preserve">3 </w:t>
      </w:r>
      <w:r>
        <w:rPr>
          <w:rFonts w:hint="eastAsia" w:ascii="黑体" w:hAnsi="黑体" w:eastAsia="黑体" w:cs="Helvetica"/>
          <w:b/>
          <w:color w:val="000000" w:themeColor="text1"/>
          <w:kern w:val="0"/>
          <w:sz w:val="28"/>
          <w:szCs w:val="28"/>
          <w14:textFill>
            <w14:solidFill>
              <w14:schemeClr w14:val="tx1"/>
            </w14:solidFill>
          </w14:textFill>
        </w:rPr>
        <w:t>英国</w:t>
      </w:r>
      <w:bookmarkEnd w:id="16"/>
    </w:p>
    <w:p>
      <w:pPr>
        <w:ind w:firstLine="482"/>
        <w:rPr>
          <w:rFonts w:hint="eastAsia" w:asciiTheme="minorEastAsia" w:hAnsiTheme="minorEastAsia" w:eastAsiaTheme="minorEastAsia"/>
          <w:b/>
          <w:bCs/>
        </w:rPr>
      </w:pPr>
      <w:r>
        <w:rPr>
          <w:rFonts w:asciiTheme="minorEastAsia" w:hAnsiTheme="minorEastAsia" w:eastAsiaTheme="minorEastAsia"/>
          <w:b/>
          <w:bCs/>
        </w:rPr>
        <w:t>1.</w:t>
      </w:r>
      <w:r>
        <w:rPr>
          <w:rFonts w:hint="eastAsia" w:asciiTheme="minorEastAsia" w:hAnsiTheme="minorEastAsia" w:eastAsiaTheme="minorEastAsia"/>
          <w:b/>
          <w:bCs/>
        </w:rPr>
        <w:t>专利申请趋势</w:t>
      </w:r>
    </w:p>
    <w:p>
      <w:pPr>
        <w:ind w:firstLine="0" w:firstLineChars="0"/>
        <w:jc w:val="center"/>
        <w:rPr>
          <w:rFonts w:hint="eastAsia" w:asciiTheme="minorEastAsia" w:hAnsiTheme="minorEastAsia" w:eastAsiaTheme="minorEastAsia"/>
        </w:rPr>
      </w:pPr>
      <w:r>
        <w:rPr>
          <w:rFonts w:hint="eastAsia" w:asciiTheme="minorEastAsia" w:hAnsiTheme="minorEastAsia" w:eastAsiaTheme="minorEastAsia"/>
        </w:rPr>
        <w:drawing>
          <wp:inline distT="0" distB="0" distL="114300" distR="114300">
            <wp:extent cx="5258435" cy="2957830"/>
            <wp:effectExtent l="0" t="0" r="18415" b="13970"/>
            <wp:docPr id="17" name="图片 17" descr="申请趋势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申请趋势 (55)"/>
                    <pic:cNvPicPr>
                      <a:picLocks noChangeAspect="1"/>
                    </pic:cNvPicPr>
                  </pic:nvPicPr>
                  <pic:blipFill>
                    <a:blip r:embed="rId23"/>
                    <a:stretch>
                      <a:fillRect/>
                    </a:stretch>
                  </pic:blipFill>
                  <pic:spPr>
                    <a:xfrm>
                      <a:off x="0" y="0"/>
                      <a:ext cx="5258435" cy="2957830"/>
                    </a:xfrm>
                    <a:prstGeom prst="rect">
                      <a:avLst/>
                    </a:prstGeom>
                  </pic:spPr>
                </pic:pic>
              </a:graphicData>
            </a:graphic>
          </wp:inline>
        </w:drawing>
      </w:r>
    </w:p>
    <w:p>
      <w:pPr>
        <w:pStyle w:val="16"/>
        <w:ind w:firstLine="482"/>
        <w:rPr>
          <w:rFonts w:hint="eastAsia"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2.3-7 </w:t>
      </w:r>
      <w:r>
        <w:rPr>
          <w:rFonts w:hint="eastAsia" w:asciiTheme="minorEastAsia" w:hAnsiTheme="minorEastAsia" w:eastAsiaTheme="minorEastAsia"/>
          <w:b/>
          <w:bCs/>
          <w:sz w:val="24"/>
        </w:rPr>
        <w:t>英国医疗器械领域相关专利申请趋势</w:t>
      </w:r>
    </w:p>
    <w:p>
      <w:pPr>
        <w:ind w:firstLine="480"/>
        <w:rPr>
          <w:rFonts w:hint="eastAsia" w:asciiTheme="minorEastAsia" w:hAnsiTheme="minorEastAsia" w:eastAsiaTheme="minorEastAsia"/>
        </w:rPr>
      </w:pPr>
      <w:r>
        <w:rPr>
          <w:rFonts w:asciiTheme="minorEastAsia" w:hAnsiTheme="minorEastAsia" w:eastAsiaTheme="minorEastAsia"/>
        </w:rPr>
        <w:t>共检索到</w:t>
      </w:r>
      <w:r>
        <w:rPr>
          <w:rFonts w:hint="eastAsia" w:asciiTheme="minorEastAsia" w:hAnsiTheme="minorEastAsia" w:eastAsiaTheme="minorEastAsia"/>
        </w:rPr>
        <w:t>英国医疗器械领域</w:t>
      </w:r>
      <w:r>
        <w:rPr>
          <w:rFonts w:asciiTheme="minorEastAsia" w:hAnsiTheme="minorEastAsia" w:eastAsiaTheme="minorEastAsia"/>
        </w:rPr>
        <w:t>相关专利文献</w:t>
      </w:r>
      <w:r>
        <w:rPr>
          <w:rFonts w:hint="eastAsia" w:asciiTheme="minorEastAsia" w:hAnsiTheme="minorEastAsia" w:eastAsiaTheme="minorEastAsia"/>
        </w:rPr>
        <w:t>3682篇</w:t>
      </w:r>
      <w:r>
        <w:rPr>
          <w:rFonts w:asciiTheme="minorEastAsia" w:hAnsiTheme="minorEastAsia" w:eastAsiaTheme="minorEastAsia"/>
        </w:rPr>
        <w:t>，</w:t>
      </w:r>
      <w:r>
        <w:rPr>
          <w:rFonts w:hint="eastAsia" w:asciiTheme="minorEastAsia" w:hAnsiTheme="minorEastAsia" w:eastAsiaTheme="minorEastAsia"/>
        </w:rPr>
        <w:t>英国在医疗器械领域的专利申请也较早，早年间专利申请呈现上升趋势，近些年，英国在该领域的年专利申请数量水平较低</w:t>
      </w:r>
      <w:r>
        <w:rPr>
          <w:rFonts w:asciiTheme="minorEastAsia" w:hAnsiTheme="minorEastAsia" w:eastAsiaTheme="minorEastAsia"/>
        </w:rPr>
        <w:t>。</w:t>
      </w:r>
    </w:p>
    <w:p>
      <w:pPr>
        <w:ind w:firstLine="482"/>
        <w:rPr>
          <w:rFonts w:hint="eastAsia"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专利类型</w:t>
      </w:r>
    </w:p>
    <w:p>
      <w:pPr>
        <w:ind w:firstLine="0" w:firstLineChars="0"/>
        <w:jc w:val="center"/>
        <w:rPr>
          <w:rFonts w:hint="eastAsia" w:asciiTheme="minorEastAsia" w:hAnsiTheme="minorEastAsia" w:eastAsiaTheme="minorEastAsia"/>
          <w:b/>
          <w:bCs/>
        </w:rPr>
      </w:pPr>
      <w:r>
        <w:rPr>
          <w:rFonts w:hint="eastAsia" w:asciiTheme="minorEastAsia" w:hAnsiTheme="minorEastAsia" w:eastAsiaTheme="minorEastAsia"/>
          <w:b/>
          <w:bCs/>
        </w:rPr>
        <w:drawing>
          <wp:inline distT="0" distB="0" distL="114300" distR="114300">
            <wp:extent cx="2893060" cy="3232785"/>
            <wp:effectExtent l="0" t="0" r="2540" b="5715"/>
            <wp:docPr id="18" name="图片 18" descr="申请趋势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申请趋势 (56)"/>
                    <pic:cNvPicPr>
                      <a:picLocks noChangeAspect="1"/>
                    </pic:cNvPicPr>
                  </pic:nvPicPr>
                  <pic:blipFill>
                    <a:blip r:embed="rId24"/>
                    <a:srcRect l="31977" t="11292" r="30564" b="14298"/>
                    <a:stretch>
                      <a:fillRect/>
                    </a:stretch>
                  </pic:blipFill>
                  <pic:spPr>
                    <a:xfrm>
                      <a:off x="0" y="0"/>
                      <a:ext cx="2893060" cy="3232785"/>
                    </a:xfrm>
                    <a:prstGeom prst="rect">
                      <a:avLst/>
                    </a:prstGeom>
                  </pic:spPr>
                </pic:pic>
              </a:graphicData>
            </a:graphic>
          </wp:inline>
        </w:drawing>
      </w:r>
    </w:p>
    <w:p>
      <w:pPr>
        <w:pStyle w:val="16"/>
        <w:ind w:firstLine="482"/>
        <w:rPr>
          <w:rFonts w:hint="eastAsia"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2.3-8 </w:t>
      </w:r>
      <w:r>
        <w:rPr>
          <w:rFonts w:hint="eastAsia" w:asciiTheme="minorEastAsia" w:hAnsiTheme="minorEastAsia" w:eastAsiaTheme="minorEastAsia"/>
          <w:b/>
          <w:bCs/>
          <w:sz w:val="24"/>
        </w:rPr>
        <w:t>英国医疗器械领域</w:t>
      </w:r>
      <w:r>
        <w:rPr>
          <w:rFonts w:asciiTheme="minorEastAsia" w:hAnsiTheme="minorEastAsia" w:eastAsiaTheme="minorEastAsia"/>
          <w:b/>
          <w:bCs/>
          <w:sz w:val="24"/>
        </w:rPr>
        <w:t>相关专利申请类型</w:t>
      </w:r>
    </w:p>
    <w:p>
      <w:pPr>
        <w:ind w:firstLine="480"/>
        <w:rPr>
          <w:rFonts w:hint="eastAsia" w:asciiTheme="minorEastAsia" w:hAnsiTheme="minorEastAsia" w:eastAsiaTheme="minorEastAsia"/>
        </w:rPr>
      </w:pPr>
      <w:r>
        <w:rPr>
          <w:rFonts w:asciiTheme="minorEastAsia" w:hAnsiTheme="minorEastAsia" w:eastAsiaTheme="minorEastAsia"/>
        </w:rPr>
        <w:t>由图2.3-8可以看出，目前</w:t>
      </w:r>
      <w:r>
        <w:rPr>
          <w:rFonts w:hint="eastAsia" w:asciiTheme="minorEastAsia" w:hAnsiTheme="minorEastAsia" w:eastAsiaTheme="minorEastAsia"/>
        </w:rPr>
        <w:t>英国在医疗器械领域的专利申请类型主要以外观设计专利为主</w:t>
      </w:r>
      <w:r>
        <w:rPr>
          <w:rFonts w:asciiTheme="minorEastAsia" w:hAnsiTheme="minorEastAsia" w:eastAsiaTheme="minorEastAsia"/>
        </w:rPr>
        <w:t>，占比</w:t>
      </w:r>
      <w:r>
        <w:rPr>
          <w:rFonts w:hint="eastAsia" w:asciiTheme="minorEastAsia" w:hAnsiTheme="minorEastAsia" w:eastAsiaTheme="minorEastAsia"/>
        </w:rPr>
        <w:t>高达94.95%，其中发明专利申请占比达到3.37%，其次为发明授权，占比为</w:t>
      </w:r>
      <w:r>
        <w:rPr>
          <w:rFonts w:asciiTheme="minorEastAsia" w:hAnsiTheme="minorEastAsia" w:eastAsiaTheme="minorEastAsia"/>
        </w:rPr>
        <w:t>1.</w:t>
      </w:r>
      <w:r>
        <w:rPr>
          <w:rFonts w:hint="eastAsia" w:asciiTheme="minorEastAsia" w:hAnsiTheme="minorEastAsia" w:eastAsiaTheme="minorEastAsia"/>
        </w:rPr>
        <w:t>68%。</w:t>
      </w:r>
    </w:p>
    <w:p>
      <w:pPr>
        <w:ind w:firstLine="482"/>
        <w:rPr>
          <w:rFonts w:hint="eastAsia"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专利法律状态</w:t>
      </w:r>
    </w:p>
    <w:p>
      <w:pPr>
        <w:ind w:firstLine="0" w:firstLineChars="0"/>
        <w:jc w:val="center"/>
        <w:rPr>
          <w:rFonts w:hint="eastAsia" w:asciiTheme="minorEastAsia" w:hAnsiTheme="minorEastAsia" w:eastAsiaTheme="minorEastAsia"/>
        </w:rPr>
      </w:pPr>
      <w:r>
        <w:rPr>
          <w:rFonts w:hint="eastAsia" w:asciiTheme="minorEastAsia" w:hAnsiTheme="minorEastAsia" w:eastAsiaTheme="minorEastAsia"/>
        </w:rPr>
        <w:drawing>
          <wp:inline distT="0" distB="0" distL="114300" distR="114300">
            <wp:extent cx="4059555" cy="2976245"/>
            <wp:effectExtent l="0" t="0" r="17145" b="14605"/>
            <wp:docPr id="19" name="图片 19" descr="申请趋势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申请趋势 (57)"/>
                    <pic:cNvPicPr>
                      <a:picLocks noChangeAspect="1"/>
                    </pic:cNvPicPr>
                  </pic:nvPicPr>
                  <pic:blipFill>
                    <a:blip r:embed="rId25"/>
                    <a:srcRect l="22087" t="12945" r="24441" b="17368"/>
                    <a:stretch>
                      <a:fillRect/>
                    </a:stretch>
                  </pic:blipFill>
                  <pic:spPr>
                    <a:xfrm>
                      <a:off x="0" y="0"/>
                      <a:ext cx="4059555" cy="2976245"/>
                    </a:xfrm>
                    <a:prstGeom prst="rect">
                      <a:avLst/>
                    </a:prstGeom>
                  </pic:spPr>
                </pic:pic>
              </a:graphicData>
            </a:graphic>
          </wp:inline>
        </w:drawing>
      </w:r>
    </w:p>
    <w:p>
      <w:pPr>
        <w:pStyle w:val="16"/>
        <w:rPr>
          <w:rFonts w:hint="eastAsia"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2.3-9 </w:t>
      </w:r>
      <w:r>
        <w:rPr>
          <w:rFonts w:hint="eastAsia" w:asciiTheme="minorEastAsia" w:hAnsiTheme="minorEastAsia" w:eastAsiaTheme="minorEastAsia"/>
          <w:b/>
          <w:bCs/>
          <w:sz w:val="24"/>
        </w:rPr>
        <w:t>英国医疗器械领域相关专利法律状态</w:t>
      </w:r>
    </w:p>
    <w:p>
      <w:pPr>
        <w:pStyle w:val="2"/>
        <w:ind w:firstLine="480"/>
      </w:pPr>
      <w:r>
        <w:rPr>
          <w:rFonts w:hint="eastAsia" w:asciiTheme="minorEastAsia" w:hAnsiTheme="minorEastAsia" w:eastAsiaTheme="minorEastAsia"/>
        </w:rPr>
        <w:t>从图</w:t>
      </w:r>
      <w:r>
        <w:rPr>
          <w:rFonts w:asciiTheme="minorEastAsia" w:hAnsiTheme="minorEastAsia" w:eastAsiaTheme="minorEastAsia"/>
        </w:rPr>
        <w:t>2.3-9</w:t>
      </w:r>
      <w:r>
        <w:rPr>
          <w:rFonts w:hint="eastAsia" w:asciiTheme="minorEastAsia" w:hAnsiTheme="minorEastAsia" w:eastAsiaTheme="minorEastAsia"/>
        </w:rPr>
        <w:t>可以看出，英国医疗器械领域的专利申请中，有63.74</w:t>
      </w:r>
      <w:r>
        <w:rPr>
          <w:rFonts w:asciiTheme="minorEastAsia" w:hAnsiTheme="minorEastAsia" w:eastAsiaTheme="minorEastAsia"/>
        </w:rPr>
        <w:t>%</w:t>
      </w:r>
      <w:r>
        <w:rPr>
          <w:rFonts w:hint="eastAsia" w:asciiTheme="minorEastAsia" w:hAnsiTheme="minorEastAsia" w:eastAsiaTheme="minorEastAsia"/>
        </w:rPr>
        <w:t>的专利处于授权的状态，有32.97%的专利处于期限届满状态，这说明英国在医疗器械领域的专利申请较早，有相当一部分专利已经过了保护期。有</w:t>
      </w:r>
      <w:r>
        <w:rPr>
          <w:rFonts w:asciiTheme="minorEastAsia" w:hAnsiTheme="minorEastAsia" w:eastAsiaTheme="minorEastAsia"/>
        </w:rPr>
        <w:t>2</w:t>
      </w:r>
      <w:r>
        <w:rPr>
          <w:rFonts w:hint="eastAsia" w:asciiTheme="minorEastAsia" w:hAnsiTheme="minorEastAsia" w:eastAsiaTheme="minorEastAsia"/>
        </w:rPr>
        <w:t>.04</w:t>
      </w:r>
      <w:r>
        <w:rPr>
          <w:rFonts w:asciiTheme="minorEastAsia" w:hAnsiTheme="minorEastAsia" w:eastAsiaTheme="minorEastAsia"/>
        </w:rPr>
        <w:t>%</w:t>
      </w:r>
      <w:r>
        <w:rPr>
          <w:rFonts w:hint="eastAsia" w:asciiTheme="minorEastAsia" w:hAnsiTheme="minorEastAsia" w:eastAsiaTheme="minorEastAsia"/>
        </w:rPr>
        <w:t>的专利处于未缴年费状态，有0.92</w:t>
      </w:r>
      <w:r>
        <w:rPr>
          <w:rFonts w:asciiTheme="minorEastAsia" w:hAnsiTheme="minorEastAsia" w:eastAsiaTheme="minorEastAsia"/>
        </w:rPr>
        <w:t>%</w:t>
      </w:r>
      <w:r>
        <w:rPr>
          <w:rFonts w:hint="eastAsia" w:asciiTheme="minorEastAsia" w:hAnsiTheme="minorEastAsia" w:eastAsiaTheme="minorEastAsia"/>
        </w:rPr>
        <w:t>的专利被撤回。</w:t>
      </w:r>
    </w:p>
    <w:p>
      <w:pPr>
        <w:ind w:firstLine="562"/>
        <w:outlineLvl w:val="1"/>
        <w:rPr>
          <w:rFonts w:hint="eastAsia" w:ascii="黑体" w:hAnsi="黑体" w:eastAsia="黑体"/>
          <w:b/>
          <w:bCs/>
          <w:sz w:val="28"/>
          <w:szCs w:val="28"/>
        </w:rPr>
      </w:pPr>
      <w:bookmarkStart w:id="17" w:name="_Toc2520"/>
      <w:r>
        <w:rPr>
          <w:rFonts w:ascii="黑体" w:hAnsi="黑体" w:eastAsia="黑体"/>
          <w:b/>
          <w:bCs/>
          <w:sz w:val="28"/>
          <w:szCs w:val="28"/>
        </w:rPr>
        <w:t>2</w:t>
      </w:r>
      <w:r>
        <w:rPr>
          <w:rFonts w:hint="eastAsia" w:ascii="黑体" w:hAnsi="黑体" w:eastAsia="黑体"/>
          <w:b/>
          <w:bCs/>
          <w:sz w:val="28"/>
          <w:szCs w:val="28"/>
        </w:rPr>
        <w:t>.</w:t>
      </w:r>
      <w:r>
        <w:rPr>
          <w:rFonts w:ascii="黑体" w:hAnsi="黑体" w:eastAsia="黑体"/>
          <w:b/>
          <w:bCs/>
          <w:sz w:val="28"/>
          <w:szCs w:val="28"/>
        </w:rPr>
        <w:t>4</w:t>
      </w:r>
      <w:r>
        <w:rPr>
          <w:rFonts w:hint="eastAsia" w:ascii="黑体" w:hAnsi="黑体" w:eastAsia="黑体"/>
          <w:b/>
          <w:bCs/>
          <w:sz w:val="28"/>
          <w:szCs w:val="28"/>
        </w:rPr>
        <w:t xml:space="preserve"> 重点企业知识产权竞争态势</w:t>
      </w:r>
      <w:bookmarkEnd w:id="17"/>
    </w:p>
    <w:p>
      <w:pPr>
        <w:ind w:firstLine="0" w:firstLineChars="0"/>
      </w:pPr>
      <w:r>
        <w:rPr>
          <w:rFonts w:hint="eastAsia"/>
        </w:rPr>
        <w:drawing>
          <wp:inline distT="0" distB="0" distL="114300" distR="114300">
            <wp:extent cx="5258435" cy="2957830"/>
            <wp:effectExtent l="0" t="0" r="18415" b="13970"/>
            <wp:docPr id="20" name="图片 20" descr="申请人排名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申请人排名 (22)"/>
                    <pic:cNvPicPr>
                      <a:picLocks noChangeAspect="1"/>
                    </pic:cNvPicPr>
                  </pic:nvPicPr>
                  <pic:blipFill>
                    <a:blip r:embed="rId26"/>
                    <a:stretch>
                      <a:fillRect/>
                    </a:stretch>
                  </pic:blipFill>
                  <pic:spPr>
                    <a:xfrm>
                      <a:off x="0" y="0"/>
                      <a:ext cx="5258435" cy="2957830"/>
                    </a:xfrm>
                    <a:prstGeom prst="rect">
                      <a:avLst/>
                    </a:prstGeom>
                  </pic:spPr>
                </pic:pic>
              </a:graphicData>
            </a:graphic>
          </wp:inline>
        </w:drawing>
      </w:r>
    </w:p>
    <w:p>
      <w:pPr>
        <w:pStyle w:val="16"/>
        <w:ind w:firstLine="482"/>
        <w:rPr>
          <w:rFonts w:hint="eastAsia"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2.4-1 </w:t>
      </w:r>
      <w:r>
        <w:rPr>
          <w:rFonts w:hint="eastAsia" w:asciiTheme="minorEastAsia" w:hAnsiTheme="minorEastAsia" w:eastAsiaTheme="minorEastAsia"/>
          <w:b/>
          <w:bCs/>
          <w:sz w:val="24"/>
        </w:rPr>
        <w:t>全球医疗器械领域主要专利申请人</w:t>
      </w:r>
    </w:p>
    <w:p>
      <w:pPr>
        <w:ind w:firstLine="480"/>
      </w:pPr>
      <w:r>
        <w:rPr>
          <w:rFonts w:hint="eastAsia"/>
        </w:rPr>
        <w:t>排在前十位的专利申请人依次为KARL STORZ SE CO KG（卡尔史托斯）、TERUMO CORP（泰尔茂）、BOSTON SCIENTIFIC SCIMED, INC.（波士顿科学）、AESCULAP AG（贝朗集团）、四川大学华西医院、INTUITIVE SURGICAL OPERATIONS, INC.（直觉外科公司）、FRESENIUS MEDICAL CARE DEUTSCHLAND GMBH（德国费森尤斯集团）、郑州大学第一附属医院、中国人民解放军陆军军医大学第一附属医院、吉林大学。可见，国外企业在医疗器械领域的技术储备较多。</w:t>
      </w:r>
    </w:p>
    <w:p>
      <w:pPr>
        <w:pStyle w:val="2"/>
        <w:ind w:firstLine="480"/>
      </w:pPr>
      <w:r>
        <w:rPr>
          <w:rFonts w:hint="eastAsia"/>
        </w:rPr>
        <w:t>下面对部分医疗器械企业做简单介绍。</w:t>
      </w:r>
    </w:p>
    <w:p>
      <w:pPr>
        <w:ind w:firstLine="482"/>
        <w:rPr>
          <w:b/>
          <w:bCs/>
        </w:rPr>
      </w:pPr>
      <w:r>
        <w:rPr>
          <w:rFonts w:hint="eastAsia"/>
          <w:b/>
          <w:bCs/>
        </w:rPr>
        <w:t>一、KARL STORZ SE CO KG（卡尔史托斯）</w:t>
      </w:r>
    </w:p>
    <w:p>
      <w:pPr>
        <w:ind w:firstLine="480"/>
      </w:pPr>
      <w:r>
        <w:rPr>
          <w:rFonts w:hint="eastAsia"/>
        </w:rPr>
        <w:t>卡尔史托斯公司是内窥镜的发明者和先驱者，1945年成立于德国图特林根，至今有75年历史。KARL STORZ的内窥镜产品覆盖人类医学、动物医学，以及工业内镜三大应用领域，拥有15,000多种产品。作为全球性企业，卡尔史托斯公司在世界各地均广泛开展业务，目前，已在五大洲40余个国家设立有50多家分支机构，为全球客户提供及时高效的优质服务。</w:t>
      </w:r>
    </w:p>
    <w:p>
      <w:pPr>
        <w:ind w:firstLine="480"/>
      </w:pPr>
      <w:r>
        <w:rPr>
          <w:rFonts w:hint="eastAsia"/>
        </w:rPr>
        <w:t>2006年2月，卡尔史托斯公司在上海浦东新区设立子公司——卡尔史托斯内窥镜(上海)有限公司(以下简称“卡尔史托斯上海”)。面对中国医疗市场的飞速发展和营商环境的持续改善，卡尔史托斯公司对中国市场充满信心，斥资2.65亿元建设全新的中国区总部，成为其在亚太区的最大投资项目。</w:t>
      </w:r>
    </w:p>
    <w:p>
      <w:pPr>
        <w:ind w:firstLine="482"/>
        <w:rPr>
          <w:b/>
          <w:bCs/>
        </w:rPr>
      </w:pPr>
      <w:r>
        <w:rPr>
          <w:rFonts w:hint="eastAsia"/>
          <w:b/>
          <w:bCs/>
        </w:rPr>
        <w:t>卡尔史托斯公司目前在医疗器械领域专利申请2591件，主要布局国家为英国、德国、美国、奥地利等；其中，外观设计专利占比为77.88%，发明专利申请占比为10.11%，授权发明专利占比为7.6%；目前有35.08</w:t>
      </w:r>
      <w:r>
        <w:rPr>
          <w:b/>
          <w:bCs/>
        </w:rPr>
        <w:t>%</w:t>
      </w:r>
      <w:r>
        <w:rPr>
          <w:rFonts w:hint="eastAsia"/>
          <w:b/>
          <w:bCs/>
        </w:rPr>
        <w:t>的专利都已经失效（包括驳回、未缴年费、撤回、期限届满、放弃等），有效专利占比61.25%，审中专利占比为3.67%。</w:t>
      </w:r>
    </w:p>
    <w:p>
      <w:pPr>
        <w:ind w:firstLine="482"/>
        <w:rPr>
          <w:b/>
          <w:bCs/>
        </w:rPr>
      </w:pPr>
      <w:r>
        <w:rPr>
          <w:rFonts w:hint="eastAsia"/>
          <w:b/>
          <w:bCs/>
        </w:rPr>
        <w:t>二、AESCULAP AG（贝朗集团）</w:t>
      </w:r>
    </w:p>
    <w:p>
      <w:pPr>
        <w:ind w:firstLine="480"/>
      </w:pPr>
      <w:r>
        <w:rPr>
          <w:rFonts w:hint="eastAsia"/>
        </w:rPr>
        <w:t>贝朗医疗拥有180多年历史，是世界领先的专业医疗设备、医药产品以及手术周边产品供应商，在全球64多个国家建立了分支机构，拥有超过66,000名员工。贝朗丰富的历史造就了我们独特的企业文化，与客户和员工紧密相关，并融入对社会和人文的认知和责任。贝朗公司在建立和传递医疗专业知识方面有着悠久的历史和传统，秉承致力于医疗现代化、持续创新及以客户为导向的理念。</w:t>
      </w:r>
    </w:p>
    <w:p>
      <w:pPr>
        <w:ind w:firstLine="480"/>
      </w:pPr>
      <w:r>
        <w:rPr>
          <w:rFonts w:hint="eastAsia"/>
        </w:rPr>
        <w:t>“专业共享”是贝朗品牌信守的承诺：通过对公司内、外专业知识技能的传播，服务和满足医疗行业与广大患者的需求，并将持续通过共享来拓展这些专业知识和技能。专业共享是指导我们行动的原则，是我们在公司内或与客户的交流中建立专业合作关系，鼓励双向知识分享的基础。</w:t>
      </w:r>
    </w:p>
    <w:p>
      <w:pPr>
        <w:pStyle w:val="2"/>
        <w:ind w:firstLine="480"/>
      </w:pPr>
      <w:r>
        <w:rPr>
          <w:rFonts w:hint="eastAsia"/>
        </w:rPr>
        <w:t>贝朗医疗（上海）国际贸易有限公司成立于1999年12月，是贝朗医疗大中国区总部。随着公司扩展，在中国主要城市如北京，成都，广州，香港，沈阳，武汉等地设有分支机构，共有员工2000多人。</w:t>
      </w:r>
    </w:p>
    <w:p>
      <w:pPr>
        <w:pStyle w:val="2"/>
        <w:ind w:firstLine="480"/>
      </w:pPr>
      <w:r>
        <w:rPr>
          <w:rFonts w:hint="eastAsia"/>
        </w:rPr>
        <w:t>通过外高桥保税区的物流中心，我们得以进口集团公司的产品并实现在中国地区的配送。于2000年10月设立的技术服务中心则为中国地区的客户提供了更好的售后服务。</w:t>
      </w:r>
    </w:p>
    <w:p>
      <w:pPr>
        <w:pStyle w:val="2"/>
        <w:ind w:firstLine="480"/>
      </w:pPr>
      <w:r>
        <w:rPr>
          <w:rFonts w:hint="eastAsia"/>
        </w:rPr>
        <w:t>2004年6月，贝朗医疗（苏州）有限公司在苏州工业园区注册成立，厂区占地面积65,500平方米，注册资金为3,300万美金。经过十多年的发展，贝朗医疗（苏州）先后建立了大输液厂（2005年）、手术器械厂(2005年)、心血管工厂（2013年）以及有源医疗器械工厂（2016年），公司现有员工500多人。</w:t>
      </w:r>
    </w:p>
    <w:p>
      <w:pPr>
        <w:pStyle w:val="2"/>
        <w:ind w:firstLine="480"/>
      </w:pPr>
      <w:r>
        <w:rPr>
          <w:rFonts w:hint="eastAsia"/>
        </w:rPr>
        <w:t>2014年，贝朗在山东省淄博市成立贝朗医疗（山东）有限公司，厂区占地面积86,000平方米，现有员工120余人。贝朗山东工厂主要从事医疗器械生产及医疗器械产品进口贸易业务。</w:t>
      </w:r>
    </w:p>
    <w:p>
      <w:pPr>
        <w:ind w:firstLine="482"/>
        <w:rPr>
          <w:b/>
          <w:bCs/>
        </w:rPr>
      </w:pPr>
      <w:r>
        <w:rPr>
          <w:rFonts w:hint="eastAsia"/>
          <w:b/>
          <w:bCs/>
        </w:rPr>
        <w:t>贝朗集团目前在医疗器械领域专利申请368件，主要布局国家为德国、英国、美国等；外观设计占比为43.48%，其中发明申请专利占比为36.96%，实用新型专利占比为1.9%；目前有22.83%的专利已经失效（包括未缴年费、撤回、期限届满、放弃等），有效专利占比为</w:t>
      </w:r>
      <w:r>
        <w:rPr>
          <w:b/>
          <w:bCs/>
        </w:rPr>
        <w:t>13.02</w:t>
      </w:r>
      <w:r>
        <w:rPr>
          <w:rFonts w:hint="eastAsia"/>
          <w:b/>
          <w:bCs/>
        </w:rPr>
        <w:t>%，审中专利占比为</w:t>
      </w:r>
      <w:r>
        <w:rPr>
          <w:b/>
          <w:bCs/>
        </w:rPr>
        <w:t>3.17</w:t>
      </w:r>
      <w:r>
        <w:rPr>
          <w:rFonts w:hint="eastAsia"/>
          <w:b/>
          <w:bCs/>
        </w:rPr>
        <w:t>%。</w:t>
      </w:r>
    </w:p>
    <w:p>
      <w:pPr>
        <w:ind w:firstLine="482"/>
        <w:rPr>
          <w:b/>
          <w:bCs/>
        </w:rPr>
      </w:pPr>
      <w:r>
        <w:rPr>
          <w:rFonts w:hint="eastAsia"/>
          <w:b/>
          <w:bCs/>
        </w:rPr>
        <w:t>三、INTUITIVE SURGICAL OPERATIONS, INC.（直觉外科公司）</w:t>
      </w:r>
    </w:p>
    <w:p>
      <w:pPr>
        <w:pStyle w:val="2"/>
        <w:ind w:firstLine="480"/>
      </w:pPr>
      <w:r>
        <w:rPr>
          <w:rFonts w:hint="eastAsia"/>
        </w:rPr>
        <w:t>Intuitive Surgical,Inc.是一家美国公司，开发、制造和销售旨在通过微创手术改善患者临床结果的机器人产品，其中最著名的是达芬奇手术系统。该公司是NASDAQ-100和标准普尔500指数的一部分。截至2019年12月31日，Intuitive Surgical的安装基础为5,582da Vinci Surgical Systems，其中美国3,531、欧洲977、亚洲780和294个位于世界其他地方。</w:t>
      </w:r>
    </w:p>
    <w:p>
      <w:pPr>
        <w:pStyle w:val="2"/>
        <w:ind w:firstLine="480"/>
      </w:pPr>
      <w:r>
        <w:rPr>
          <w:rFonts w:hint="eastAsia"/>
        </w:rPr>
        <w:t>Intuitive Surgical, Inc.与其子公司一起在美国和国际上设计、开发、制造和销售达芬奇手术系统以及相关仪器和配件。达芬奇机手术器人由6部分组成：外科医生控制台、患者侧推车、3D高清视觉系统、技能模拟器、达芬奇Xi集成台运动和Firefly荧光成像产品，使外科医生能够执行各种外科手术，包括妇科、泌尿科、一般、心胸和头颈部外科手术。</w:t>
      </w:r>
    </w:p>
    <w:p>
      <w:pPr>
        <w:ind w:firstLine="482"/>
        <w:rPr>
          <w:b/>
          <w:bCs/>
        </w:rPr>
      </w:pPr>
      <w:r>
        <w:rPr>
          <w:rFonts w:hint="eastAsia"/>
          <w:b/>
          <w:bCs/>
        </w:rPr>
        <w:t>直觉外科公司目前在医疗器械领域专利申请595件，主要布局国家为中国、美国、韩国、日本；发明专利授权占比为44.71%，发明申请占比为44.37%，外观设计专利占比为00.67%；目前有66.22%的有效专利，审中专利占比为15.8%。</w:t>
      </w:r>
    </w:p>
    <w:p>
      <w:pPr>
        <w:ind w:firstLine="482"/>
      </w:pPr>
      <w:r>
        <w:rPr>
          <w:rFonts w:hint="eastAsia"/>
          <w:b/>
          <w:bCs/>
        </w:rPr>
        <w:t>四、TERUMO CORP（泰尔茂）</w:t>
      </w:r>
    </w:p>
    <w:p>
      <w:pPr>
        <w:ind w:firstLine="480"/>
      </w:pPr>
      <w:r>
        <w:rPr>
          <w:rFonts w:hint="eastAsia"/>
        </w:rPr>
        <w:t>泰尔茂株式会社（Terumo Corporation）成立于1921年，日本近代医学之父、细菌学家、免疫学家北里柴三郎博士等医学家们创立了该公司，总部位于日本东京。北里柴三郎博士的信仰是：“学者，不能通过清高的研究来自我满足。将研究成果转化为实际应用，并为社会做贡献才是他们的责任。”。泰尔茂株式会社是医疗器械及医药制品的大型企业，经过百年历史的发展和沉淀，其产品被160多个国家和地区广泛使用。产品包括一次性医用器械，输血用具系列，医药品和营养药系列，血管造影与治疗导管，医用电子产品系列，人工心肺产品系列，输液泵，注射泵，输血泵，麻醉泵，靶控泵系列，检验产品系列，家庭医疗保健产品系列等。</w:t>
      </w:r>
    </w:p>
    <w:p>
      <w:pPr>
        <w:ind w:firstLine="482"/>
        <w:rPr>
          <w:b/>
          <w:bCs/>
        </w:rPr>
      </w:pPr>
      <w:r>
        <w:rPr>
          <w:rFonts w:hint="eastAsia"/>
          <w:b/>
          <w:bCs/>
        </w:rPr>
        <w:t>泰尔茂目前在医疗器械领域专利申请</w:t>
      </w:r>
      <w:r>
        <w:rPr>
          <w:b/>
          <w:bCs/>
        </w:rPr>
        <w:t>1</w:t>
      </w:r>
      <w:r>
        <w:rPr>
          <w:rFonts w:hint="eastAsia"/>
          <w:b/>
          <w:bCs/>
        </w:rPr>
        <w:t>735件，主要布局国家为日本、美国、德国、中国；发明专利申请占比为64.27%，发明专利授权占比为33.6%；目前有40.98%的有效专利，失效专利（包括驳回、未缴年费、撤回、期限届满、放弃等）占比为38.04</w:t>
      </w:r>
      <w:r>
        <w:rPr>
          <w:b/>
          <w:bCs/>
        </w:rPr>
        <w:t>%</w:t>
      </w:r>
      <w:r>
        <w:rPr>
          <w:rFonts w:hint="eastAsia"/>
          <w:b/>
          <w:bCs/>
        </w:rPr>
        <w:t>，审中专利占比为10.89</w:t>
      </w:r>
      <w:r>
        <w:rPr>
          <w:b/>
          <w:bCs/>
        </w:rPr>
        <w:t>%</w:t>
      </w:r>
      <w:r>
        <w:rPr>
          <w:rFonts w:hint="eastAsia"/>
          <w:b/>
          <w:bCs/>
        </w:rPr>
        <w:t>。</w:t>
      </w:r>
    </w:p>
    <w:p>
      <w:pPr>
        <w:ind w:firstLine="482"/>
        <w:rPr>
          <w:b/>
          <w:bCs/>
        </w:rPr>
      </w:pPr>
      <w:r>
        <w:rPr>
          <w:rFonts w:hint="eastAsia"/>
          <w:b/>
          <w:bCs/>
        </w:rPr>
        <w:t>五、FRESENIUS MEDICAL CARE DEUTSCHLAND GMBH（德国费森尤斯集团）</w:t>
      </w:r>
    </w:p>
    <w:p>
      <w:pPr>
        <w:ind w:firstLine="480"/>
      </w:pPr>
      <w:r>
        <w:rPr>
          <w:rFonts w:hint="eastAsia"/>
        </w:rPr>
        <w:t>费森尤斯集团成立于1912年，总部位于德国的巴登洪堡。费森尤斯是一家提供透析、医院和患者家庭医疗护理相关产品和服务的医疗保健公司。费森尤斯集团经过近一个世纪的不懈努力，目前已经发展成为一个大型跨国企业，业务涉及药品、营养、医疗器械、医院管理等多项与医疗卫生事业相关的产业，在全球拥有近6万员工，在世界各地设有分支机构、分公司和办事处。 费森尤斯卡比公司专注于输液和营养领域，具备独特而丰富的产品线。公司的愿景是致力于成为全球输液、治疗药物和营养领域的专家。在2003年公司取得了十四亿六千欧元的销售额，一万一千名员工遍及全球30多个国家。费森尤斯卡比公司生产输液和输血技术产品, 是欧洲临床监护输液泵和输血技术的先导。所有产品已经获得了ISO9001、EN46001、IEC601－1或EN60601－1的认证。</w:t>
      </w:r>
    </w:p>
    <w:p>
      <w:pPr>
        <w:ind w:firstLine="480"/>
      </w:pPr>
      <w:r>
        <w:rPr>
          <w:rFonts w:hint="eastAsia"/>
        </w:rPr>
        <w:t>费森尤斯卡比公司是欧洲医疗市场在临床输液领域的领导者，尤其在注射泵市场，公司拥有大约47%的市场份额。 如此大的市场份额主要归功于公司具有代表性的临床监护产品和能够为临床提供完整交互式输液数据管理系统――协奏曲工作站。</w:t>
      </w:r>
    </w:p>
    <w:p>
      <w:pPr>
        <w:ind w:firstLine="480"/>
      </w:pPr>
      <w:r>
        <w:rPr>
          <w:rFonts w:hint="eastAsia"/>
        </w:rPr>
        <w:t>1994年费森尤斯与北京制药企业合资，建立了北京费森尤斯公司，1999年因外方的股权合并，更名为北京费森尤斯卡比医药有限公司。通过专业化的服务和技术领先的产品，北京费森尤斯卡比公司发展迅速，在麻醉和ICU治疗领域创立了优异的品牌形象，为该领域的产品线拓展和业务开展，打下了良好的基础。</w:t>
      </w:r>
    </w:p>
    <w:p>
      <w:pPr>
        <w:ind w:firstLine="480"/>
      </w:pPr>
      <w:r>
        <w:rPr>
          <w:rFonts w:hint="eastAsia"/>
        </w:rPr>
        <w:t>为了更好的发挥费森尤斯公司的技术优势，为中国的医疗卫生事业提供更多更优质、更先进的产品和服务，2004年3月费森尤斯卡比亚太有限公司正式在北京成立办事处，旨在推动输液和输血领域的技术发展，提供用于危重疾病、手术期间的输血、输液管理的系列设备和器械，这些设备和器械都拥有最先进的德国技术和驰名欧洲的品牌优势。</w:t>
      </w:r>
    </w:p>
    <w:p>
      <w:pPr>
        <w:ind w:firstLine="480"/>
      </w:pPr>
      <w:r>
        <w:rPr>
          <w:rFonts w:hint="eastAsia"/>
        </w:rPr>
        <w:t>2022年12月1日，广东科伦药业有限公司与世界500强、全球最大的透析产品供应商费森尤斯医疗合作共建腹膜透析液生产项目在广梅园举行签约仪式。广东科伦药业与费森尤斯医疗合作腹膜透析液生产项目预计总投资2.4亿元，建设年产量1500万袋腹膜透析液生产车间，主要生产低钙腹膜透析液、氨基酸(15)腹膜透析液等产品。</w:t>
      </w:r>
    </w:p>
    <w:p>
      <w:pPr>
        <w:ind w:firstLine="482"/>
        <w:rPr>
          <w:b/>
          <w:bCs/>
        </w:rPr>
      </w:pPr>
      <w:r>
        <w:rPr>
          <w:rFonts w:hint="eastAsia"/>
          <w:b/>
          <w:bCs/>
        </w:rPr>
        <w:t>费森尤斯集团目前在医疗器械领域专利申请393件，主要布局国家为德国、美国、日本、奥地利、中国；发明专利申请占比为60.81%，发明专利授权占比为39.19%；目前有50.38%的有效专利，失效专利（包括驳回、未缴年费、撤回、期限届满、放弃等）占比为27.48</w:t>
      </w:r>
      <w:r>
        <w:rPr>
          <w:b/>
          <w:bCs/>
        </w:rPr>
        <w:t>%</w:t>
      </w:r>
      <w:r>
        <w:rPr>
          <w:rFonts w:hint="eastAsia"/>
          <w:b/>
          <w:bCs/>
        </w:rPr>
        <w:t>，审中专利占比12.72</w:t>
      </w:r>
      <w:r>
        <w:rPr>
          <w:b/>
          <w:bCs/>
        </w:rPr>
        <w:t>%</w:t>
      </w:r>
      <w:r>
        <w:rPr>
          <w:rFonts w:hint="eastAsia"/>
          <w:b/>
          <w:bCs/>
        </w:rPr>
        <w:t>。</w:t>
      </w:r>
    </w:p>
    <w:p>
      <w:pPr>
        <w:ind w:firstLine="562"/>
        <w:outlineLvl w:val="1"/>
        <w:rPr>
          <w:rFonts w:hint="eastAsia" w:ascii="黑体" w:hAnsi="黑体" w:eastAsia="黑体"/>
          <w:b/>
          <w:bCs/>
          <w:sz w:val="28"/>
          <w:szCs w:val="28"/>
        </w:rPr>
      </w:pPr>
      <w:bookmarkStart w:id="18" w:name="_Toc29870"/>
      <w:r>
        <w:rPr>
          <w:rFonts w:ascii="黑体" w:hAnsi="黑体" w:eastAsia="黑体"/>
          <w:b/>
          <w:bCs/>
          <w:sz w:val="28"/>
          <w:szCs w:val="28"/>
        </w:rPr>
        <w:t>2</w:t>
      </w:r>
      <w:r>
        <w:rPr>
          <w:rFonts w:hint="eastAsia" w:ascii="黑体" w:hAnsi="黑体" w:eastAsia="黑体"/>
          <w:b/>
          <w:bCs/>
          <w:sz w:val="28"/>
          <w:szCs w:val="28"/>
        </w:rPr>
        <w:t>.</w:t>
      </w:r>
      <w:r>
        <w:rPr>
          <w:rFonts w:ascii="黑体" w:hAnsi="黑体" w:eastAsia="黑体"/>
          <w:b/>
          <w:bCs/>
          <w:sz w:val="28"/>
          <w:szCs w:val="28"/>
        </w:rPr>
        <w:t>5</w:t>
      </w:r>
      <w:r>
        <w:rPr>
          <w:rFonts w:hint="eastAsia" w:ascii="黑体" w:hAnsi="黑体" w:eastAsia="黑体"/>
          <w:b/>
          <w:bCs/>
          <w:sz w:val="28"/>
          <w:szCs w:val="28"/>
        </w:rPr>
        <w:t xml:space="preserve"> 风险区域识别</w:t>
      </w:r>
      <w:bookmarkEnd w:id="18"/>
    </w:p>
    <w:p>
      <w:pPr>
        <w:ind w:firstLine="482"/>
        <w:rPr>
          <w:rFonts w:hint="eastAsia" w:asciiTheme="minorEastAsia" w:hAnsiTheme="minorEastAsia" w:eastAsiaTheme="minorEastAsia"/>
          <w:b/>
          <w:bCs/>
        </w:rPr>
      </w:pPr>
      <w:r>
        <w:rPr>
          <w:rFonts w:asciiTheme="minorEastAsia" w:hAnsiTheme="minorEastAsia" w:eastAsiaTheme="minorEastAsia"/>
          <w:b/>
          <w:bCs/>
        </w:rPr>
        <w:t>1.</w:t>
      </w:r>
      <w:r>
        <w:rPr>
          <w:rFonts w:hint="eastAsia" w:asciiTheme="minorEastAsia" w:hAnsiTheme="minorEastAsia" w:eastAsiaTheme="minorEastAsia"/>
          <w:b/>
          <w:bCs/>
        </w:rPr>
        <w:t>产业专利侵权纠纷区域分布</w:t>
      </w:r>
    </w:p>
    <w:p>
      <w:pPr>
        <w:pStyle w:val="16"/>
        <w:spacing w:line="360" w:lineRule="auto"/>
        <w:rPr>
          <w:rFonts w:hint="eastAsia" w:asciiTheme="minorEastAsia" w:hAnsiTheme="minorEastAsia" w:eastAsiaTheme="minorEastAsia"/>
          <w:b/>
          <w:bCs/>
          <w:sz w:val="24"/>
        </w:rPr>
      </w:pPr>
      <w:bookmarkStart w:id="19" w:name="_Toc119937698"/>
      <w:bookmarkStart w:id="20" w:name="_Toc119592708"/>
      <w:bookmarkStart w:id="21" w:name="_Toc119592171"/>
      <w:r>
        <w:rPr>
          <w:rFonts w:hint="eastAsia" w:asciiTheme="minorEastAsia" w:hAnsiTheme="minorEastAsia" w:eastAsiaTheme="minorEastAsia"/>
          <w:b/>
          <w:bCs/>
          <w:sz w:val="24"/>
        </w:rPr>
        <w:drawing>
          <wp:inline distT="0" distB="0" distL="114300" distR="114300">
            <wp:extent cx="5258435" cy="2957830"/>
            <wp:effectExtent l="0" t="0" r="18415" b="13970"/>
            <wp:docPr id="1" name="图片 1" descr="全球地域排名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全球地域排名 (19)"/>
                    <pic:cNvPicPr>
                      <a:picLocks noChangeAspect="1"/>
                    </pic:cNvPicPr>
                  </pic:nvPicPr>
                  <pic:blipFill>
                    <a:blip r:embed="rId27"/>
                    <a:stretch>
                      <a:fillRect/>
                    </a:stretch>
                  </pic:blipFill>
                  <pic:spPr>
                    <a:xfrm>
                      <a:off x="0" y="0"/>
                      <a:ext cx="5258435" cy="2957830"/>
                    </a:xfrm>
                    <a:prstGeom prst="rect">
                      <a:avLst/>
                    </a:prstGeom>
                  </pic:spPr>
                </pic:pic>
              </a:graphicData>
            </a:graphic>
          </wp:inline>
        </w:drawing>
      </w:r>
    </w:p>
    <w:p>
      <w:pPr>
        <w:pStyle w:val="16"/>
        <w:ind w:firstLine="482"/>
        <w:rPr>
          <w:rFonts w:hint="eastAsia"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2.5-1 </w:t>
      </w:r>
      <w:r>
        <w:rPr>
          <w:rFonts w:hint="eastAsia" w:asciiTheme="minorEastAsia" w:hAnsiTheme="minorEastAsia" w:eastAsiaTheme="minorEastAsia"/>
          <w:b/>
          <w:bCs/>
          <w:sz w:val="24"/>
        </w:rPr>
        <w:t>全球医疗器械产业专利侵权纠纷区域分布</w:t>
      </w:r>
      <w:bookmarkEnd w:id="19"/>
      <w:bookmarkEnd w:id="20"/>
      <w:bookmarkEnd w:id="21"/>
    </w:p>
    <w:p>
      <w:pPr>
        <w:ind w:firstLine="480"/>
      </w:pPr>
      <w:r>
        <w:rPr>
          <w:rFonts w:hint="eastAsia"/>
        </w:rPr>
        <w:t>近年来，全球医疗器械产业专利侵权纠纷区域主要集中在美国（80件）、中国（</w:t>
      </w:r>
      <w:r>
        <w:t>1</w:t>
      </w:r>
      <w:r>
        <w:rPr>
          <w:rFonts w:hint="eastAsia"/>
        </w:rPr>
        <w:t>7件）、欧洲专利局（7件）、日本（2件）等，其他侵权事件相对较少。美国、中国、欧洲地区医疗器械产业较为发达，有较多的大型医疗器械企业，医疗器械产量位居世界前列。因此，美国、中国、欧洲地区医疗器械产业内公司竞争较为激烈，也是专利侵权纠纷的高发地。优势公司在知识产权相关法律法规指导下，利用自身技术优势和专利壁垒，排除后入局者，维持行业地位，维护自身利益；新入局者以先进技术抢占专利高地，逐渐对抗优势竞争者。目前聊城市企业在专利质量及布局上尚有一定发展空间，距离形成成熟的专利运营市场尚有一段距离，企业需要进一步熟悉海外专利运营的相关规则。</w:t>
      </w:r>
    </w:p>
    <w:p>
      <w:pPr>
        <w:ind w:firstLine="482"/>
        <w:rPr>
          <w:rFonts w:hint="eastAsia"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产业专利无效纠纷区域分布</w:t>
      </w:r>
    </w:p>
    <w:p>
      <w:pPr>
        <w:pStyle w:val="16"/>
        <w:rPr>
          <w:rFonts w:hint="eastAsia"/>
        </w:rPr>
      </w:pPr>
      <w:bookmarkStart w:id="22" w:name="_Toc119592709"/>
      <w:bookmarkStart w:id="23" w:name="_Toc119937699"/>
      <w:bookmarkStart w:id="24" w:name="_Toc119592172"/>
      <w:r>
        <w:rPr>
          <w:rFonts w:hint="eastAsia"/>
        </w:rPr>
        <w:drawing>
          <wp:inline distT="0" distB="0" distL="114300" distR="114300">
            <wp:extent cx="5258435" cy="2957830"/>
            <wp:effectExtent l="0" t="0" r="18415" b="13970"/>
            <wp:docPr id="3" name="图片 3" descr="全球地域排名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全球地域排名 (21)"/>
                    <pic:cNvPicPr>
                      <a:picLocks noChangeAspect="1"/>
                    </pic:cNvPicPr>
                  </pic:nvPicPr>
                  <pic:blipFill>
                    <a:blip r:embed="rId28"/>
                    <a:stretch>
                      <a:fillRect/>
                    </a:stretch>
                  </pic:blipFill>
                  <pic:spPr>
                    <a:xfrm>
                      <a:off x="0" y="0"/>
                      <a:ext cx="5258435" cy="2957830"/>
                    </a:xfrm>
                    <a:prstGeom prst="rect">
                      <a:avLst/>
                    </a:prstGeom>
                  </pic:spPr>
                </pic:pic>
              </a:graphicData>
            </a:graphic>
          </wp:inline>
        </w:drawing>
      </w:r>
    </w:p>
    <w:p>
      <w:pPr>
        <w:pStyle w:val="16"/>
        <w:ind w:firstLine="482"/>
        <w:rPr>
          <w:rFonts w:hint="eastAsia"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2.5-2 </w:t>
      </w:r>
      <w:r>
        <w:rPr>
          <w:rFonts w:hint="eastAsia" w:asciiTheme="minorEastAsia" w:hAnsiTheme="minorEastAsia" w:eastAsiaTheme="minorEastAsia"/>
          <w:b/>
          <w:bCs/>
          <w:sz w:val="24"/>
        </w:rPr>
        <w:t>全球医疗器械产业专利无效纠纷区域分布</w:t>
      </w:r>
      <w:bookmarkEnd w:id="22"/>
      <w:bookmarkEnd w:id="23"/>
      <w:bookmarkEnd w:id="24"/>
    </w:p>
    <w:p>
      <w:pPr>
        <w:ind w:firstLine="480"/>
      </w:pPr>
      <w:r>
        <w:rPr>
          <w:rFonts w:hint="eastAsia"/>
        </w:rPr>
        <w:t>近年来，全球医疗器械产业专利无效纠纷主要发生地集中在欧洲专利局（62件）、美国（15件）、日本（14件）、德国（9件）。无效抗辩对于企业来说，是一种攻守兼备的运营手段。专利无效的实施成本相较于侵权诉讼来说相对较低，流程相对简单，因此企业运用较为广泛。聊城市相关企业也需要持续关注，避免专利被无效，顺利完成海外布局。</w:t>
      </w:r>
    </w:p>
    <w:p>
      <w:pPr>
        <w:ind w:firstLine="562"/>
        <w:outlineLvl w:val="1"/>
        <w:rPr>
          <w:rFonts w:hint="eastAsia" w:ascii="黑体" w:hAnsi="黑体" w:eastAsia="黑体"/>
          <w:b/>
          <w:bCs/>
          <w:sz w:val="28"/>
          <w:szCs w:val="28"/>
        </w:rPr>
      </w:pPr>
      <w:bookmarkStart w:id="25" w:name="_Toc14393"/>
      <w:r>
        <w:rPr>
          <w:rFonts w:ascii="黑体" w:hAnsi="黑体" w:eastAsia="黑体"/>
          <w:b/>
          <w:bCs/>
          <w:sz w:val="28"/>
          <w:szCs w:val="28"/>
        </w:rPr>
        <w:t>2</w:t>
      </w:r>
      <w:r>
        <w:rPr>
          <w:rFonts w:hint="eastAsia" w:ascii="黑体" w:hAnsi="黑体" w:eastAsia="黑体"/>
          <w:b/>
          <w:bCs/>
          <w:sz w:val="28"/>
          <w:szCs w:val="28"/>
        </w:rPr>
        <w:t>.</w:t>
      </w:r>
      <w:r>
        <w:rPr>
          <w:rFonts w:ascii="黑体" w:hAnsi="黑体" w:eastAsia="黑体"/>
          <w:b/>
          <w:bCs/>
          <w:sz w:val="28"/>
          <w:szCs w:val="28"/>
        </w:rPr>
        <w:t>6</w:t>
      </w:r>
      <w:r>
        <w:rPr>
          <w:rFonts w:hint="eastAsia" w:ascii="黑体" w:hAnsi="黑体" w:eastAsia="黑体"/>
          <w:b/>
          <w:bCs/>
          <w:sz w:val="28"/>
          <w:szCs w:val="28"/>
        </w:rPr>
        <w:t xml:space="preserve"> 风险企业识别</w:t>
      </w:r>
      <w:bookmarkEnd w:id="25"/>
    </w:p>
    <w:p>
      <w:pPr>
        <w:pStyle w:val="16"/>
        <w:spacing w:line="360" w:lineRule="auto"/>
        <w:rPr>
          <w:rFonts w:hint="eastAsia" w:asciiTheme="minorEastAsia" w:hAnsiTheme="minorEastAsia" w:eastAsiaTheme="minorEastAsia"/>
          <w:b/>
          <w:bCs/>
          <w:sz w:val="24"/>
        </w:rPr>
      </w:pPr>
      <w:r>
        <w:rPr>
          <w:rFonts w:hint="eastAsia" w:asciiTheme="minorEastAsia" w:hAnsiTheme="minorEastAsia" w:eastAsiaTheme="minorEastAsia"/>
          <w:b/>
          <w:bCs/>
          <w:sz w:val="24"/>
        </w:rPr>
        <w:drawing>
          <wp:inline distT="0" distB="0" distL="114300" distR="114300">
            <wp:extent cx="5258435" cy="2943860"/>
            <wp:effectExtent l="0" t="0" r="18415" b="8890"/>
            <wp:docPr id="4" name="图片 4" descr="申请趋势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申请趋势 (58)"/>
                    <pic:cNvPicPr>
                      <a:picLocks noChangeAspect="1"/>
                    </pic:cNvPicPr>
                  </pic:nvPicPr>
                  <pic:blipFill>
                    <a:blip r:embed="rId29"/>
                    <a:stretch>
                      <a:fillRect/>
                    </a:stretch>
                  </pic:blipFill>
                  <pic:spPr>
                    <a:xfrm>
                      <a:off x="0" y="0"/>
                      <a:ext cx="5258435" cy="2943860"/>
                    </a:xfrm>
                    <a:prstGeom prst="rect">
                      <a:avLst/>
                    </a:prstGeom>
                  </pic:spPr>
                </pic:pic>
              </a:graphicData>
            </a:graphic>
          </wp:inline>
        </w:drawing>
      </w:r>
    </w:p>
    <w:p>
      <w:pPr>
        <w:pStyle w:val="16"/>
        <w:ind w:firstLine="482"/>
        <w:rPr>
          <w:rFonts w:hint="eastAsia"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2.6-1 </w:t>
      </w:r>
      <w:r>
        <w:rPr>
          <w:rFonts w:hint="eastAsia" w:asciiTheme="minorEastAsia" w:hAnsiTheme="minorEastAsia" w:eastAsiaTheme="minorEastAsia"/>
          <w:b/>
          <w:bCs/>
          <w:sz w:val="24"/>
        </w:rPr>
        <w:t>全球医疗器械产业专利侵权纠纷原告</w:t>
      </w:r>
    </w:p>
    <w:p>
      <w:pPr>
        <w:ind w:firstLine="480"/>
        <w:rPr>
          <w:rFonts w:hint="eastAsia" w:asciiTheme="minorEastAsia" w:hAnsiTheme="minorEastAsia" w:eastAsiaTheme="minorEastAsia"/>
        </w:rPr>
      </w:pPr>
      <w:r>
        <w:rPr>
          <w:rFonts w:hint="eastAsia" w:asciiTheme="minorEastAsia" w:hAnsiTheme="minorEastAsia" w:eastAsiaTheme="minorEastAsia"/>
        </w:rPr>
        <w:t>通过以上分析可以看出，全球医疗器械产业专利侵权纠纷原告主要为endobotics、abbott laboratories、dexcom, inc.、soclean、evm systems、alaris medical systems inc、icu medical inc、icu medical, inc.、cordis、dartmouth college等企业。</w:t>
      </w:r>
    </w:p>
    <w:p>
      <w:pPr>
        <w:ind w:firstLine="562"/>
        <w:outlineLvl w:val="1"/>
        <w:rPr>
          <w:rFonts w:hint="eastAsia" w:ascii="黑体" w:hAnsi="黑体" w:eastAsia="黑体"/>
          <w:b/>
          <w:bCs/>
          <w:sz w:val="28"/>
          <w:szCs w:val="28"/>
        </w:rPr>
      </w:pPr>
      <w:bookmarkStart w:id="26" w:name="_Toc5153"/>
      <w:bookmarkStart w:id="27" w:name="_Toc237"/>
      <w:r>
        <w:rPr>
          <w:rFonts w:ascii="黑体" w:hAnsi="黑体" w:eastAsia="黑体"/>
          <w:b/>
          <w:bCs/>
          <w:sz w:val="28"/>
          <w:szCs w:val="28"/>
        </w:rPr>
        <w:t>2</w:t>
      </w:r>
      <w:r>
        <w:rPr>
          <w:rFonts w:hint="eastAsia" w:ascii="黑体" w:hAnsi="黑体" w:eastAsia="黑体"/>
          <w:b/>
          <w:bCs/>
          <w:sz w:val="28"/>
          <w:szCs w:val="28"/>
        </w:rPr>
        <w:t>.</w:t>
      </w:r>
      <w:r>
        <w:rPr>
          <w:rFonts w:ascii="黑体" w:hAnsi="黑体" w:eastAsia="黑体"/>
          <w:b/>
          <w:bCs/>
          <w:sz w:val="28"/>
          <w:szCs w:val="28"/>
        </w:rPr>
        <w:t>7</w:t>
      </w:r>
      <w:r>
        <w:rPr>
          <w:rFonts w:hint="eastAsia" w:ascii="黑体" w:hAnsi="黑体" w:eastAsia="黑体"/>
          <w:b/>
          <w:bCs/>
          <w:sz w:val="28"/>
          <w:szCs w:val="28"/>
        </w:rPr>
        <w:t xml:space="preserve"> 风险技术方向识别</w:t>
      </w:r>
      <w:bookmarkEnd w:id="26"/>
      <w:bookmarkEnd w:id="27"/>
    </w:p>
    <w:p>
      <w:pPr>
        <w:pStyle w:val="16"/>
        <w:spacing w:line="360" w:lineRule="auto"/>
        <w:rPr>
          <w:rFonts w:hint="eastAsia"/>
        </w:rPr>
      </w:pPr>
      <w:r>
        <w:rPr>
          <w:rFonts w:hint="eastAsia"/>
        </w:rPr>
        <w:drawing>
          <wp:inline distT="0" distB="0" distL="114300" distR="114300">
            <wp:extent cx="3792855" cy="3737610"/>
            <wp:effectExtent l="0" t="0" r="0" b="0"/>
            <wp:docPr id="5" name="图片 5" descr="饼图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饼图 (28)"/>
                    <pic:cNvPicPr>
                      <a:picLocks noChangeAspect="1"/>
                    </pic:cNvPicPr>
                  </pic:nvPicPr>
                  <pic:blipFill>
                    <a:blip r:embed="rId30"/>
                    <a:srcRect l="25831" t="13401" r="25518" b="12845"/>
                    <a:stretch>
                      <a:fillRect/>
                    </a:stretch>
                  </pic:blipFill>
                  <pic:spPr>
                    <a:xfrm>
                      <a:off x="0" y="0"/>
                      <a:ext cx="3792855" cy="3737610"/>
                    </a:xfrm>
                    <a:prstGeom prst="rect">
                      <a:avLst/>
                    </a:prstGeom>
                  </pic:spPr>
                </pic:pic>
              </a:graphicData>
            </a:graphic>
          </wp:inline>
        </w:drawing>
      </w:r>
    </w:p>
    <w:p>
      <w:pPr>
        <w:pStyle w:val="16"/>
        <w:ind w:firstLine="482"/>
        <w:rPr>
          <w:rFonts w:hint="eastAsia"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2.7-1 </w:t>
      </w:r>
      <w:r>
        <w:rPr>
          <w:rFonts w:hint="eastAsia" w:asciiTheme="minorEastAsia" w:hAnsiTheme="minorEastAsia" w:eastAsiaTheme="minorEastAsia"/>
          <w:b/>
          <w:bCs/>
          <w:sz w:val="24"/>
        </w:rPr>
        <w:t>全球医疗器械产业专利侵权纠纷技术分布</w:t>
      </w:r>
    </w:p>
    <w:p>
      <w:pPr>
        <w:ind w:firstLine="480"/>
      </w:pPr>
      <w:r>
        <w:rPr>
          <w:rFonts w:hint="eastAsia"/>
        </w:rPr>
        <w:t>由图</w:t>
      </w:r>
      <w:r>
        <w:t>2.7-1</w:t>
      </w:r>
      <w:r>
        <w:rPr>
          <w:rFonts w:hint="eastAsia"/>
        </w:rPr>
        <w:t>可以看出，全球医疗器械产业易发生专利侵权纠纷的技术方向主要包括乳胶管、记忆管、适配器、消毒医疗器械、喉镜柄、流产吸引管、感测系统、插入器、灸疗等。</w:t>
      </w:r>
    </w:p>
    <w:p>
      <w:pPr>
        <w:widowControl/>
        <w:spacing w:line="240" w:lineRule="auto"/>
        <w:ind w:firstLine="0" w:firstLineChars="0"/>
        <w:jc w:val="left"/>
        <w:rPr>
          <w:rFonts w:hint="eastAsia" w:asciiTheme="majorEastAsia" w:hAnsiTheme="majorEastAsia" w:eastAsiaTheme="majorEastAsia"/>
        </w:rPr>
      </w:pPr>
      <w:r>
        <w:rPr>
          <w:rFonts w:asciiTheme="majorEastAsia" w:hAnsiTheme="majorEastAsia" w:eastAsiaTheme="majorEastAsia"/>
        </w:rPr>
        <w:br w:type="page"/>
      </w:r>
    </w:p>
    <w:p>
      <w:pPr>
        <w:pStyle w:val="3"/>
        <w:spacing w:before="312" w:after="312"/>
        <w:rPr>
          <w:rFonts w:hint="eastAsia"/>
        </w:rPr>
      </w:pPr>
      <w:bookmarkStart w:id="28" w:name="_Toc1999"/>
      <w:bookmarkStart w:id="29" w:name="_Toc13502"/>
      <w:r>
        <w:rPr>
          <w:rFonts w:hint="eastAsia"/>
        </w:rPr>
        <w:t>第三章 产业知识产权司法实践</w:t>
      </w:r>
      <w:bookmarkEnd w:id="28"/>
      <w:bookmarkEnd w:id="29"/>
    </w:p>
    <w:p>
      <w:pPr>
        <w:ind w:firstLine="562"/>
        <w:outlineLvl w:val="1"/>
        <w:rPr>
          <w:rFonts w:hint="eastAsia" w:ascii="黑体" w:hAnsi="黑体" w:eastAsia="黑体"/>
          <w:b/>
          <w:bCs/>
          <w:sz w:val="28"/>
          <w:szCs w:val="28"/>
        </w:rPr>
      </w:pPr>
      <w:bookmarkStart w:id="30" w:name="_Toc2872"/>
      <w:bookmarkStart w:id="31" w:name="_Toc32281"/>
      <w:r>
        <w:rPr>
          <w:rFonts w:ascii="黑体" w:hAnsi="黑体" w:eastAsia="黑体"/>
          <w:b/>
          <w:bCs/>
          <w:sz w:val="28"/>
          <w:szCs w:val="28"/>
        </w:rPr>
        <w:t>3</w:t>
      </w:r>
      <w:r>
        <w:rPr>
          <w:rFonts w:hint="eastAsia" w:ascii="黑体" w:hAnsi="黑体" w:eastAsia="黑体"/>
          <w:b/>
          <w:bCs/>
          <w:sz w:val="28"/>
          <w:szCs w:val="28"/>
        </w:rPr>
        <w:t>.1 商标</w:t>
      </w:r>
      <w:bookmarkEnd w:id="30"/>
      <w:bookmarkEnd w:id="31"/>
    </w:p>
    <w:p>
      <w:pPr>
        <w:ind w:firstLine="480"/>
      </w:pPr>
      <w:r>
        <w:rPr>
          <w:rFonts w:hint="eastAsia"/>
        </w:rPr>
        <w:t>商标侵权（Trademark Infringement）即商标侵权行为，是指行为人未经商标权人许可，在相同或类似商品上使用与其注册商标相同或近似的商标，或者其他干涉、妨碍商标权人使用其注册商标，损害商标权人合法权益的其他行为。</w:t>
      </w:r>
    </w:p>
    <w:p>
      <w:pPr>
        <w:ind w:firstLine="480"/>
      </w:pPr>
      <w:r>
        <w:rPr>
          <w:rFonts w:hint="eastAsia"/>
        </w:rPr>
        <w:t>随着经济的进一步发展，市场竞争进一步加剧，加之地方保护、对侵权获利的疯狂追逐等因素，商标侵权行为不时发生。但商标权被人为划定成“禁”（禁用权）与“行”（专用权）的不一致。在“行”的方面，权利的效力仅及于核准注册的商标和核定使用的商品或服务（商标法第五十一条），但在“禁”的方面，商标权人有权禁止他人未经许可在类似的商品或服务上使用近似的商标（商标法第五十二条第一项）。这样就造成了商标权侵权行为认定的任务十分复杂和艰巨。</w:t>
      </w:r>
    </w:p>
    <w:p>
      <w:pPr>
        <w:ind w:firstLine="480"/>
      </w:pPr>
      <w:r>
        <w:rPr>
          <w:rFonts w:hint="eastAsia"/>
        </w:rPr>
        <w:t>商标侵权行为的种类</w:t>
      </w:r>
    </w:p>
    <w:p>
      <w:pPr>
        <w:ind w:firstLine="480"/>
      </w:pPr>
      <w:r>
        <w:rPr>
          <w:rFonts w:hint="eastAsia"/>
        </w:rPr>
        <w:t>根据《中华人民共和国商标法》第五十七条，规定了七种侵犯注册商标专用权的行为：</w:t>
      </w:r>
    </w:p>
    <w:p>
      <w:pPr>
        <w:ind w:firstLine="480"/>
      </w:pPr>
      <w:r>
        <w:rPr>
          <w:rFonts w:hint="eastAsia"/>
        </w:rPr>
        <w:t>1．未经商标注册人的许可，在同一种商品上使用与其注册商标相同的商标的；</w:t>
      </w:r>
    </w:p>
    <w:p>
      <w:pPr>
        <w:ind w:firstLine="480"/>
      </w:pPr>
      <w:r>
        <w:rPr>
          <w:rFonts w:hint="eastAsia"/>
        </w:rPr>
        <w:t>2．未经商标注册人的许可，在同一种商品上使用与其注册商标近似的商标，或者在类似商品上使用与其注册商标相同或近似的商标，容易导致混淆的；</w:t>
      </w:r>
    </w:p>
    <w:p>
      <w:pPr>
        <w:ind w:firstLine="480"/>
      </w:pPr>
      <w:r>
        <w:rPr>
          <w:rFonts w:hint="eastAsia"/>
        </w:rPr>
        <w:t>3．销售侵犯注册商标专用权的商品的；</w:t>
      </w:r>
    </w:p>
    <w:p>
      <w:pPr>
        <w:ind w:firstLine="480"/>
      </w:pPr>
      <w:r>
        <w:rPr>
          <w:rFonts w:hint="eastAsia"/>
        </w:rPr>
        <w:t>4．伪造、擅自制造他人注册商标标识或者销售伪造、擅自制造的注册商标标识的；</w:t>
      </w:r>
    </w:p>
    <w:p>
      <w:pPr>
        <w:ind w:firstLine="480"/>
      </w:pPr>
      <w:r>
        <w:rPr>
          <w:rFonts w:hint="eastAsia"/>
        </w:rPr>
        <w:t>5．未经商标注册人同意，更换其注册商标并将该更换商标的商品又投入市场的；</w:t>
      </w:r>
    </w:p>
    <w:p>
      <w:pPr>
        <w:ind w:firstLine="480"/>
      </w:pPr>
      <w:r>
        <w:rPr>
          <w:rFonts w:hint="eastAsia"/>
        </w:rPr>
        <w:t>6．故意为侵犯他人商标专用权行为提供便利条件，帮助他人实施侵犯商标专用权行为的；</w:t>
      </w:r>
    </w:p>
    <w:p>
      <w:pPr>
        <w:ind w:firstLine="480"/>
      </w:pPr>
      <w:r>
        <w:rPr>
          <w:rFonts w:hint="eastAsia"/>
        </w:rPr>
        <w:t>7．给他人的注册商标专用权造成其他损害的；</w:t>
      </w:r>
    </w:p>
    <w:p>
      <w:pPr>
        <w:ind w:firstLine="480"/>
      </w:pPr>
      <w:r>
        <w:rPr>
          <w:rFonts w:hint="eastAsia"/>
        </w:rPr>
        <w:t>对侵犯注册商标权行为认定的过程</w:t>
      </w:r>
    </w:p>
    <w:p>
      <w:pPr>
        <w:ind w:firstLine="480"/>
      </w:pPr>
      <w:r>
        <w:rPr>
          <w:rFonts w:hint="eastAsia"/>
        </w:rPr>
        <w:t>对侵犯注册商标权行为认定的过程，有以下三个基本步骤：</w:t>
      </w:r>
    </w:p>
    <w:p>
      <w:pPr>
        <w:ind w:firstLine="480"/>
      </w:pPr>
      <w:r>
        <w:rPr>
          <w:rFonts w:hint="eastAsia"/>
        </w:rPr>
        <w:t>1．确定注册商标专用权的权利范围。注册商标专用权的权利范围是认定商标侵权的基本依据。判断商标侵权行为能否认定或称是否构成所考虑的一切因素都是围绕注册商标专用权的权利范围来进行的。根据中国商标法第五十一条的规定：“注册商标的专用权，以核准注册的商标和核定使用的商品为限。”显然，从这条规定看，注册商标专用权的权利范围只限于核准注册的商标和该注册商标所核定使用的商品。该范围由两个方面因素来确定，一是核准注册的商标；二是该注册商标所核定使用的商品。二者的结合，构成注册商标专用权的权利范围，也就为认定商标权侵权行为确定了与被控侵权对象进行比较的标准，以便得出是否构成侵权的结论。</w:t>
      </w:r>
    </w:p>
    <w:p>
      <w:pPr>
        <w:ind w:firstLine="480"/>
      </w:pPr>
      <w:r>
        <w:rPr>
          <w:rFonts w:hint="eastAsia"/>
        </w:rPr>
        <w:t>2．确定被控侵权的具体对象。被控侵权对象的确定由两个方面的因素所决定，一是被控侵权的商标，二是被控侵权的商标所使用的商品。确定被控侵权具体对象的意义，在于确定和固化被控侵权行为的载体，为下一步与商标权的保护范围的比对打下坚实基础。它与确定注册商标专用权的权利范围同样重要，它是认定商标侵权行为的另一比较对象。</w:t>
      </w:r>
    </w:p>
    <w:p>
      <w:pPr>
        <w:ind w:firstLine="480"/>
      </w:pPr>
      <w:r>
        <w:rPr>
          <w:rFonts w:hint="eastAsia"/>
        </w:rPr>
        <w:t>3．将被控侵权对象与注册商标和该注册商标所核定使用的商品进行比较，认定被控侵权的商标与注册商标是否相同或者近似，以及被控侵权商标所使用的商品与该注册商标所核定使用的商品是否属于同一种类或者相类似。通过认定侵权行为的三个基本步骤，特别是经过将被控侵权对象与注册商标和该注册商标所核定使用的商品进行比较后，就能认定是否构成商标侵权。</w:t>
      </w:r>
    </w:p>
    <w:p>
      <w:pPr>
        <w:ind w:firstLine="482"/>
        <w:rPr>
          <w:b/>
          <w:bCs/>
        </w:rPr>
      </w:pPr>
      <w:r>
        <w:rPr>
          <w:rFonts w:hint="eastAsia"/>
          <w:b/>
          <w:bCs/>
        </w:rPr>
        <w:t>案例：</w:t>
      </w:r>
      <w:r>
        <w:rPr>
          <w:b/>
          <w:bCs/>
        </w:rPr>
        <w:t>知名管道品牌“亚通”商标侵权纠纷案</w:t>
      </w:r>
    </w:p>
    <w:p>
      <w:pPr>
        <w:ind w:firstLine="514"/>
        <w:rPr>
          <w:rFonts w:hint="eastAsia" w:asciiTheme="minorEastAsia" w:hAnsiTheme="minorEastAsia" w:eastAsiaTheme="minorEastAsia"/>
        </w:rPr>
      </w:pPr>
      <w:r>
        <w:rPr>
          <w:rFonts w:hint="eastAsia" w:asciiTheme="minorEastAsia" w:hAnsiTheme="minorEastAsia" w:eastAsiaTheme="minorEastAsia"/>
          <w:b/>
          <w:bCs/>
          <w:spacing w:val="8"/>
          <w:shd w:val="clear" w:color="auto" w:fill="FFFFFF"/>
        </w:rPr>
        <w:t>案情简介：</w:t>
      </w:r>
      <w:r>
        <w:rPr>
          <w:rFonts w:asciiTheme="minorEastAsia" w:hAnsiTheme="minorEastAsia" w:eastAsiaTheme="minorEastAsia"/>
          <w:spacing w:val="8"/>
          <w:shd w:val="clear" w:color="auto" w:fill="FFFFFF"/>
        </w:rPr>
        <w:t>原告福建亚通新材料科技股份有限公司（以下简称福建亚通公司）是一家生产、销售非金属管道、非塑料的水管阀等建筑材料的企业，原告依法享有的“亚通”及“亚通ATON”等系列注册商标，具有较高的知名度。被告浙江亚通管业有限公司（以下简称浙江亚通公司）作为原告的同业竞争者，分别在第17类和第19类商品上注册了与原告注册商标相近似的“恒亚通HENGATONG”和“恒亚通HOYAT”商标，原告随即提出异议，经过商评委复审以及行政诉讼，最终确定被告已获得注册的“恒亚通HENGATONG”和“恒亚通HOYAT”商标不予核准注册。后原告发现被告浙江亚通公司仍旧在其生产、销售的非金属管道等产品上印制有“恒亚通HOYAT”商标，遂通过公证购买了被告浙江亚通公司销售给被告张大琪的涉案被诉侵权产品，并诉至法院，要求两被告停止侵权行为并承担赔偿损失等法律责任</w:t>
      </w:r>
      <w:r>
        <w:rPr>
          <w:rFonts w:asciiTheme="minorEastAsia" w:hAnsiTheme="minorEastAsia" w:eastAsiaTheme="minorEastAsia"/>
        </w:rPr>
        <w:t>。</w:t>
      </w:r>
    </w:p>
    <w:p>
      <w:pPr>
        <w:pStyle w:val="2"/>
        <w:ind w:firstLine="514"/>
        <w:rPr>
          <w:rFonts w:hint="eastAsia" w:asciiTheme="minorEastAsia" w:hAnsiTheme="minorEastAsia" w:eastAsiaTheme="minorEastAsia"/>
          <w:spacing w:val="8"/>
          <w:shd w:val="clear" w:color="auto" w:fill="FFFFFF"/>
        </w:rPr>
      </w:pPr>
      <w:r>
        <w:rPr>
          <w:rFonts w:hint="eastAsia" w:asciiTheme="minorEastAsia" w:hAnsiTheme="minorEastAsia" w:eastAsiaTheme="minorEastAsia" w:cstheme="minorBidi"/>
          <w:b/>
          <w:bCs/>
          <w:spacing w:val="8"/>
          <w:shd w:val="clear" w:color="auto" w:fill="FFFFFF"/>
        </w:rPr>
        <w:t>法院认为：</w:t>
      </w:r>
      <w:r>
        <w:rPr>
          <w:rFonts w:asciiTheme="minorEastAsia" w:hAnsiTheme="minorEastAsia" w:eastAsiaTheme="minorEastAsia"/>
          <w:spacing w:val="8"/>
          <w:shd w:val="clear" w:color="auto" w:fill="FFFFFF"/>
        </w:rPr>
        <w:t>原告系涉案“亚通”及“亚通ATON”系列注册商标专用权人，其合法权益应受我国商标法的保护。被告浙江亚通公司在其注册的与原告近似的商标不予核准注册后，依旧在类似商品上使用与原告注册商标相近似的“恒亚通HOYAT”商标，</w:t>
      </w:r>
      <w:r>
        <w:rPr>
          <w:rStyle w:val="22"/>
          <w:rFonts w:asciiTheme="minorEastAsia" w:hAnsiTheme="minorEastAsia" w:eastAsiaTheme="minorEastAsia"/>
          <w:spacing w:val="8"/>
          <w:shd w:val="clear" w:color="auto" w:fill="FFFFFF"/>
        </w:rPr>
        <w:t>其行为属于未经权利人许可，擅自生产、销售容易引起相关消费者混淆的商品，侵害了原告对涉案商标享有的专用权,应依法承担停止侵权、赔偿损失的民事法律责任。</w:t>
      </w:r>
      <w:r>
        <w:rPr>
          <w:rFonts w:asciiTheme="minorEastAsia" w:hAnsiTheme="minorEastAsia" w:eastAsiaTheme="minorEastAsia"/>
          <w:spacing w:val="8"/>
          <w:shd w:val="clear" w:color="auto" w:fill="FFFFFF"/>
        </w:rPr>
        <w:t>被告张大琪不知其所销售的系侵害商标权的产品，且已向法院提供被控侵权产品的合法来源和提供者，其依法不承担赔偿损失的民事法律责任，但应立即停止销售侵权产品。据此，判决两被告停止侵权行为；被告浙江亚通公司赔偿原告经济损失和合理费用共计70万元；驳回原告的其他诉讼请求。宣判后，双方均未在法定期限内提起上诉，判决发生法律效力。</w:t>
      </w:r>
    </w:p>
    <w:p>
      <w:pPr>
        <w:ind w:firstLine="482"/>
        <w:rPr>
          <w:rFonts w:hint="eastAsia" w:asciiTheme="minorEastAsia" w:hAnsiTheme="minorEastAsia" w:eastAsiaTheme="minorEastAsia"/>
        </w:rPr>
      </w:pPr>
      <w:r>
        <w:rPr>
          <w:rFonts w:hint="eastAsia" w:asciiTheme="minorEastAsia" w:hAnsiTheme="minorEastAsia" w:eastAsiaTheme="minorEastAsia"/>
          <w:b/>
          <w:bCs/>
        </w:rPr>
        <w:t>案件点评：</w:t>
      </w:r>
      <w:r>
        <w:rPr>
          <w:rFonts w:asciiTheme="minorEastAsia" w:hAnsiTheme="minorEastAsia" w:eastAsiaTheme="minorEastAsia"/>
        </w:rPr>
        <w:t>商标作为一种重要的商业标记，日益成为市场主体参与市场竞争的重要工具，而知名商标因其重要性和价值性，更容易成为侵权人仿冒的对象，在相同或类似商品上使用近似商标成为商标侵权的重要形式，如何准确进行商标近似判断成为司法实践的一个重要问题。</w:t>
      </w:r>
      <w:r>
        <w:rPr>
          <w:rStyle w:val="22"/>
          <w:rFonts w:asciiTheme="minorEastAsia" w:hAnsiTheme="minorEastAsia" w:eastAsiaTheme="minorEastAsia"/>
        </w:rPr>
        <w:t>根据相关司法解释的规定，认定商标是否近似应以相关公众的一般注意力为标准，既要对商标的整体进行比对，又要对商标的主要部分进行比对，同时需要考虑请求保护注册商标的显著性和知名度。</w:t>
      </w:r>
      <w:r>
        <w:rPr>
          <w:rFonts w:asciiTheme="minorEastAsia" w:hAnsiTheme="minorEastAsia" w:eastAsiaTheme="minorEastAsia"/>
        </w:rPr>
        <w:t>就本案而言，原告作为一家老牌的管道生产企业，其享有的“亚通”系列商标获得过著名商标、名牌产品等称号，并曾被认定为驰名商标，在市场上具有较高的知名度，其“亚通”系列管道产品亦占有较高的市场份额。被告作为同行业竞争者理应对原告的商标知名度和市场占有率有较为深刻的认识，被告使用“恒亚通HOYAT”商标，“恒”字用来修饰“亚通”，其显著性较弱，在一般公众看来，容易产生“恒亚通HOYAT”与“亚通”的关联性联想，误认为被告浙江亚通公司生产、销售的产品来源于原告。况且，被告浙江亚通公司注册的“恒亚通HOYAT”商标经过商评委复审和行政诉讼后不予核准注册，这进一步加强了该商标与原告商标构成近似的判断。故被告浙江亚通公司生产、销售涉案产品的行为构成了对原告商标权的侵害，应承担停止侵权和赔偿损失的责任。本案对仿冒他人知名商标的行为具有警示和教育作用。</w:t>
      </w:r>
    </w:p>
    <w:p>
      <w:pPr>
        <w:ind w:firstLine="562"/>
        <w:outlineLvl w:val="1"/>
        <w:rPr>
          <w:rFonts w:hint="eastAsia" w:ascii="黑体" w:hAnsi="黑体" w:eastAsia="黑体"/>
          <w:b/>
          <w:bCs/>
          <w:sz w:val="28"/>
          <w:szCs w:val="28"/>
        </w:rPr>
      </w:pPr>
      <w:bookmarkStart w:id="32" w:name="_Toc5502"/>
      <w:bookmarkStart w:id="33" w:name="_Toc2017"/>
      <w:r>
        <w:rPr>
          <w:rFonts w:ascii="黑体" w:hAnsi="黑体" w:eastAsia="黑体"/>
          <w:b/>
          <w:bCs/>
          <w:sz w:val="28"/>
          <w:szCs w:val="28"/>
        </w:rPr>
        <w:t>3</w:t>
      </w:r>
      <w:r>
        <w:rPr>
          <w:rFonts w:hint="eastAsia" w:ascii="黑体" w:hAnsi="黑体" w:eastAsia="黑体"/>
          <w:b/>
          <w:bCs/>
          <w:sz w:val="28"/>
          <w:szCs w:val="28"/>
        </w:rPr>
        <w:t>.2 不正当竞争</w:t>
      </w:r>
      <w:bookmarkEnd w:id="32"/>
      <w:bookmarkEnd w:id="33"/>
    </w:p>
    <w:p>
      <w:pPr>
        <w:ind w:firstLine="480"/>
      </w:pPr>
      <w:r>
        <w:rPr>
          <w:rFonts w:hint="eastAsia"/>
        </w:rPr>
        <w:t>我国在竞争法立法过程中，就条件比较成熟的反不正当竞争先行立法，但在制定《反不正当竞争法》时，考虑到有些垄断行为已相当普遍，危害了公平竞争秩序，该法也对相关垄断行为作了规定。2017年《反不正当竞争法》修订，才将原先规定的5种垄断行为予以废止。根据不正当竞争行为的方式和手段，《反不正当竞争法》第二章将其归纳为7种类型。</w:t>
      </w:r>
    </w:p>
    <w:p>
      <w:pPr>
        <w:ind w:firstLine="480"/>
      </w:pPr>
      <w:r>
        <w:rPr>
          <w:rFonts w:hint="eastAsia"/>
        </w:rPr>
        <w:t>（一）混淆行为</w:t>
      </w:r>
    </w:p>
    <w:p>
      <w:pPr>
        <w:ind w:firstLine="480"/>
      </w:pPr>
      <w:r>
        <w:rPr>
          <w:rFonts w:hint="eastAsia"/>
        </w:rPr>
        <w:t>混淆行为是假借和冒充其他经营者或其商品的名称、商标、质量和产地标志等，以使人混淆、产生误解的行为。它包括以下行为：第一，擅自使用与他人有一定影响的商品名称、包装、装潢等相同或者近似的标识；第二，擅自使用他人有一定影响的企业名称（包括简称、字号等）、社会组织名称（包括简称等）、姓名（包括笔名、艺名、译名等）；第三，擅自使用他人有一定影响的域名主体部分、网站名称、网页等；第四，其他足以引人误认为是他人商品或者与他人存在特定联系的混淆行为。</w:t>
      </w:r>
    </w:p>
    <w:p>
      <w:pPr>
        <w:ind w:firstLine="480"/>
      </w:pPr>
      <w:r>
        <w:rPr>
          <w:rFonts w:hint="eastAsia"/>
        </w:rPr>
        <w:t>（二）商业贿赂行为</w:t>
      </w:r>
    </w:p>
    <w:p>
      <w:pPr>
        <w:ind w:firstLine="480"/>
      </w:pPr>
      <w:r>
        <w:rPr>
          <w:rFonts w:hint="eastAsia"/>
        </w:rPr>
        <w:t>商业贿赂行为是指经营者采用财物或者其他手段进行贿赂以谋取交易机会或者竞争优势。贿赂的对象可以是交易相对方的工作人员，也可以是受交易相对方委托办理相关事务的单位或者个人；贿赂的方法通常是直接或间接给予利益，也可能是利用职权或者影响力影响交易的单位或者个人。《反不正当竞争法》规定，经营者在交易活动中，可以以明示方式给对方折扣，也可以给中间人佣金，但必须如实入账；接受折扣、佣金的经营者也必须如实入账。凡在账外暗中给予对方单位或者个人回扣的，以行贿论处；对方单位或者个人在账外暗中收受回扣的，以受贿论处。</w:t>
      </w:r>
    </w:p>
    <w:p>
      <w:pPr>
        <w:ind w:firstLine="480"/>
      </w:pPr>
      <w:r>
        <w:rPr>
          <w:rFonts w:hint="eastAsia"/>
        </w:rPr>
        <w:t>经营者的工作人员进行贿赂的，应当认定为经营者的行为；但是，经营者有证据证明该工作人员的行为与为经营者谋取交易机会或者竞争优势无关的除外。</w:t>
      </w:r>
    </w:p>
    <w:p>
      <w:pPr>
        <w:ind w:firstLine="480"/>
      </w:pPr>
      <w:r>
        <w:rPr>
          <w:rFonts w:hint="eastAsia"/>
        </w:rPr>
        <w:t>（三）虚假宣传行为</w:t>
      </w:r>
    </w:p>
    <w:p>
      <w:pPr>
        <w:ind w:firstLine="480"/>
      </w:pPr>
      <w:r>
        <w:rPr>
          <w:rFonts w:hint="eastAsia"/>
        </w:rPr>
        <w:t>虚假宣传行为是指经营者利用广告或者其他方法，对商品的性能、功能、质量、销售状况、用户评价、曾获荣誉等作虚假或引人误解的宣传，欺骗、误导消费者的行为。鉴于在网络交易中出现了“刷单”“加粉”等灰色产业链，修订后的《反不正当竞争法》增加规定，经营者不得通过组织虚假交易等方式，帮助其他经营者进行虚假或者引人误解的商业宣传。</w:t>
      </w:r>
    </w:p>
    <w:p>
      <w:pPr>
        <w:ind w:firstLine="480"/>
      </w:pPr>
      <w:r>
        <w:rPr>
          <w:rFonts w:hint="eastAsia"/>
        </w:rPr>
        <w:t>（四）侵犯商业秘密行为</w:t>
      </w:r>
    </w:p>
    <w:p>
      <w:pPr>
        <w:ind w:firstLine="480"/>
      </w:pPr>
      <w:r>
        <w:rPr>
          <w:rFonts w:hint="eastAsia"/>
        </w:rPr>
        <w:t>侵犯商业秘密行为，是指经营者通过不正当手段，违法获取、披露、使用或者允许他人使用权利人的商业秘密的行为。所谓商业秘密，是指不为公众所知悉，具有商业价值，并经权利人采取相应保密措施的技术信息和经营信息。侵犯商业秘密所采取的不正当手段包括：第一，以盗窃、贿赂、欺诈、胁迫或者其他不正当手段获取权利人的商业秘密；第二，披露、使用或者允许他人使用以前项手段获取的权利人的商业秘密；第三，违反约定或者违反权利人有关保守商业秘密的要求，披露、使用或者允许他人使用其所掌握的商业秘密。此外，第三人明知或者应知商业秘密权利人的员工、前员工或者其他单位、个人实施上述违法行为，仍获取、披露、使用或者允许他人使用该商业秘密的，视为侵犯商业秘密。</w:t>
      </w:r>
    </w:p>
    <w:p>
      <w:pPr>
        <w:ind w:firstLine="480"/>
      </w:pPr>
      <w:r>
        <w:rPr>
          <w:rFonts w:hint="eastAsia"/>
        </w:rPr>
        <w:t>（五）不当奖售行为</w:t>
      </w:r>
    </w:p>
    <w:p>
      <w:pPr>
        <w:ind w:firstLine="480"/>
      </w:pPr>
      <w:r>
        <w:rPr>
          <w:rFonts w:hint="eastAsia"/>
        </w:rPr>
        <w:t>不当奖售行为，是指经营者不法进行的不正当的有奖销售行为。有奖销售是经营者的一种促销手段，正当的有奖销售，法律是允许的；而不正当的有奖销售，不仅会损害同业竞争者的利益，而且会损害消费者的利益和公序良俗。因此，《反不正当竞争法》第10条规定，经营者从事有奖销售不得存在下列情形：（1）所设奖的种类、兑奖条件、奖金金额或者奖品等有奖销售信息不明确，影响兑奖；（2）采用谎称有奖或者故意让内定人员中奖的欺骗方式进行有奖销售；（3）抽奖式的有奖销售，最高奖的金额超过5万元。</w:t>
      </w:r>
    </w:p>
    <w:p>
      <w:pPr>
        <w:ind w:firstLine="480"/>
      </w:pPr>
      <w:r>
        <w:rPr>
          <w:rFonts w:hint="eastAsia"/>
        </w:rPr>
        <w:t>（六）诋毁商誉行为</w:t>
      </w:r>
    </w:p>
    <w:p>
      <w:pPr>
        <w:ind w:firstLine="480"/>
      </w:pPr>
      <w:r>
        <w:rPr>
          <w:rFonts w:hint="eastAsia"/>
        </w:rPr>
        <w:t>诋毁商誉行为是指经营者捏造、散布虚假信息或者误导性信息，损害竞争对手的商业信誉和商品声誉的行为。诋毁他人商誉可能形成对他人企业、商品或“老板”的负面评价，削弱竞争对手对顾客的吸引力，从而争夺和扩大自己的市场。该行为违背公认的商业道德和市场竞争规则，是不正当的、违法的。</w:t>
      </w:r>
    </w:p>
    <w:p>
      <w:pPr>
        <w:ind w:firstLine="480"/>
      </w:pPr>
      <w:r>
        <w:rPr>
          <w:rFonts w:hint="eastAsia"/>
        </w:rPr>
        <w:t>（七）网络不正当竞争行为</w:t>
      </w:r>
    </w:p>
    <w:p>
      <w:pPr>
        <w:ind w:firstLine="480"/>
      </w:pPr>
      <w:r>
        <w:rPr>
          <w:rFonts w:hint="eastAsia"/>
        </w:rPr>
        <w:t>网络不正当竞争行为，是指经营者利用技术手段，通过影响用户选择或者其他方式妨碍、破坏其他经营者合法提供的网络产品或者服务正常运行的行为。互联网经济日益发达，网络上违反诚实信用的商业竞争行为也越来越多，层出不穷。2017年《反不正当竞争法》修订时遂以列举加兜底方式对其作了规定，明确将网络不正当竞争行为纳入反不正当竞争法的调整范围。</w:t>
      </w:r>
    </w:p>
    <w:p>
      <w:pPr>
        <w:ind w:firstLine="480"/>
      </w:pPr>
      <w:r>
        <w:rPr>
          <w:rFonts w:hint="eastAsia"/>
        </w:rPr>
        <w:t>《反不正当竞争法》第12条第2款规定了三种具体不正当竞争行为：（1）未经其他经营者同意，在其合法提供的网络产品或者服务中，插入链接、强制进行目标跳转；（2）误导、欺骗、强迫用户修改、关闭、卸载其他经营者合法提供的网络产品或者服务；（3）恶意对其他经营者合法提供的网络产品或者服务实施不兼容。这些行为比较常见，经营者和消费者都能感同身受。而网络技术和商业手段日新月异，对网络不正当竞争行为不可能穷尽列举，因此该款第4项规定,经营者也不得从事其他妨碍、破坏其他经营者合法提供的网络产品或者服务正常运行的行为。</w:t>
      </w:r>
    </w:p>
    <w:p>
      <w:pPr>
        <w:pStyle w:val="18"/>
        <w:shd w:val="clear" w:color="auto" w:fill="FFFFFF"/>
        <w:ind w:firstLine="482"/>
        <w:rPr>
          <w:rFonts w:hint="eastAsia" w:cs="Arial" w:asciiTheme="minorEastAsia" w:hAnsiTheme="minorEastAsia" w:eastAsiaTheme="minorEastAsia"/>
          <w:b/>
          <w:bCs/>
          <w:color w:val="000000"/>
          <w:kern w:val="0"/>
        </w:rPr>
      </w:pPr>
      <w:r>
        <w:rPr>
          <w:rFonts w:hint="eastAsia" w:asciiTheme="minorEastAsia" w:hAnsiTheme="minorEastAsia" w:eastAsiaTheme="minorEastAsia"/>
          <w:b/>
          <w:bCs/>
        </w:rPr>
        <w:t>案例：</w:t>
      </w:r>
      <w:r>
        <w:rPr>
          <w:rFonts w:cs="Arial" w:asciiTheme="minorEastAsia" w:hAnsiTheme="minorEastAsia" w:eastAsiaTheme="minorEastAsia"/>
          <w:b/>
          <w:bCs/>
          <w:color w:val="000000"/>
          <w:kern w:val="0"/>
        </w:rPr>
        <w:t>江阴市某钢管有限公司实施混淆行为案</w:t>
      </w:r>
    </w:p>
    <w:p>
      <w:pPr>
        <w:widowControl/>
        <w:shd w:val="clear" w:color="auto" w:fill="FFFFFF"/>
        <w:ind w:firstLine="482"/>
        <w:rPr>
          <w:rFonts w:hint="eastAsia" w:cs="Arial" w:asciiTheme="minorEastAsia" w:hAnsiTheme="minorEastAsia" w:eastAsiaTheme="minorEastAsia"/>
          <w:color w:val="000000"/>
          <w:kern w:val="0"/>
        </w:rPr>
      </w:pPr>
      <w:r>
        <w:rPr>
          <w:rFonts w:cs="Arial" w:asciiTheme="minorEastAsia" w:hAnsiTheme="minorEastAsia" w:eastAsiaTheme="minorEastAsia"/>
          <w:b/>
          <w:bCs/>
          <w:color w:val="000000"/>
          <w:kern w:val="0"/>
        </w:rPr>
        <w:t>基本案情</w:t>
      </w:r>
      <w:r>
        <w:rPr>
          <w:rFonts w:hint="eastAsia" w:cs="Arial" w:asciiTheme="minorEastAsia" w:hAnsiTheme="minorEastAsia" w:eastAsiaTheme="minorEastAsia"/>
          <w:b/>
          <w:bCs/>
          <w:color w:val="000000"/>
          <w:kern w:val="0"/>
        </w:rPr>
        <w:t>：</w:t>
      </w:r>
      <w:r>
        <w:rPr>
          <w:rFonts w:cs="Arial" w:asciiTheme="minorEastAsia" w:hAnsiTheme="minorEastAsia" w:eastAsiaTheme="minorEastAsia"/>
          <w:color w:val="000000"/>
          <w:kern w:val="0"/>
        </w:rPr>
        <w:t>江阴市某钢管有限公司主要从事钢管及其他金属制品的销售。为及时供应客户少量急需的“JD”品牌钢管，当事人通过购置喷码机喷标的方式，在其事先备好的相应规格型号的无标无缝钢管上擅自喷标“JD”+CCS(船级社认证标志)+型号规格+炉批号+产品标准代号，使其产品标识与江苏某新材料有限公司产品所特有的企业识别代码“JD”及产品相应标识符号（JD+型号规格+具体产品编号+产品标准号+CCS）一致，让客户误认为该批钢管系由江苏某新材料有限公司所生产。经查，江苏某新材料有限公司生产的“JD”钢管在行业内有一定的知名度和认可度，其产品相关代码有一定识别度。经过计算，该批钢管共46支，总重2.04吨，货值金额10000元。</w:t>
      </w:r>
    </w:p>
    <w:p>
      <w:pPr>
        <w:widowControl/>
        <w:shd w:val="clear" w:color="auto" w:fill="FFFFFF"/>
        <w:ind w:firstLine="482"/>
        <w:rPr>
          <w:rFonts w:hint="eastAsia" w:cs="Arial" w:asciiTheme="minorEastAsia" w:hAnsiTheme="minorEastAsia" w:eastAsiaTheme="minorEastAsia"/>
          <w:color w:val="000000"/>
          <w:kern w:val="0"/>
        </w:rPr>
      </w:pPr>
      <w:r>
        <w:rPr>
          <w:rFonts w:cs="Arial" w:asciiTheme="minorEastAsia" w:hAnsiTheme="minorEastAsia" w:eastAsiaTheme="minorEastAsia"/>
          <w:b/>
          <w:bCs/>
          <w:color w:val="000000"/>
          <w:kern w:val="0"/>
        </w:rPr>
        <w:t>法律依据及处罚</w:t>
      </w:r>
      <w:r>
        <w:rPr>
          <w:rFonts w:hint="eastAsia" w:cs="Arial" w:asciiTheme="minorEastAsia" w:hAnsiTheme="minorEastAsia" w:eastAsiaTheme="minorEastAsia"/>
          <w:b/>
          <w:bCs/>
          <w:color w:val="000000"/>
          <w:kern w:val="0"/>
        </w:rPr>
        <w:t>：</w:t>
      </w:r>
      <w:r>
        <w:rPr>
          <w:rFonts w:cs="Arial" w:asciiTheme="minorEastAsia" w:hAnsiTheme="minorEastAsia" w:eastAsiaTheme="minorEastAsia"/>
          <w:color w:val="000000"/>
          <w:kern w:val="0"/>
        </w:rPr>
        <w:t>当事人实施擅自使用他人有一定影响的商品标识的混淆行为违反了《中华人民共和国反不正当竞争法》第六条之规定，根据《中华人民共和国反不正当竞争法》第十八条第一款之规定，江阴市市场监督管理局决定作出没收违法商品、罚款130000元的行政处罚。</w:t>
      </w:r>
    </w:p>
    <w:p>
      <w:pPr>
        <w:ind w:firstLine="562"/>
        <w:outlineLvl w:val="1"/>
        <w:rPr>
          <w:rFonts w:hint="eastAsia" w:ascii="黑体" w:hAnsi="黑体" w:eastAsia="黑体"/>
          <w:b/>
          <w:bCs/>
          <w:sz w:val="28"/>
          <w:szCs w:val="28"/>
        </w:rPr>
      </w:pPr>
      <w:bookmarkStart w:id="34" w:name="_Toc17077"/>
      <w:bookmarkStart w:id="35" w:name="_Toc25368"/>
      <w:r>
        <w:rPr>
          <w:rFonts w:ascii="黑体" w:hAnsi="黑体" w:eastAsia="黑体"/>
          <w:b/>
          <w:bCs/>
          <w:sz w:val="28"/>
          <w:szCs w:val="28"/>
        </w:rPr>
        <w:t>3</w:t>
      </w:r>
      <w:r>
        <w:rPr>
          <w:rFonts w:hint="eastAsia" w:ascii="黑体" w:hAnsi="黑体" w:eastAsia="黑体"/>
          <w:b/>
          <w:bCs/>
          <w:sz w:val="28"/>
          <w:szCs w:val="28"/>
        </w:rPr>
        <w:t>.3 软著</w:t>
      </w:r>
      <w:bookmarkEnd w:id="34"/>
      <w:bookmarkEnd w:id="35"/>
    </w:p>
    <w:p>
      <w:pPr>
        <w:ind w:firstLine="480"/>
      </w:pPr>
      <w:r>
        <w:rPr>
          <w:rFonts w:hint="eastAsia"/>
        </w:rPr>
        <w:t>软件著作权界定侵权的相关规定如下：</w:t>
      </w:r>
    </w:p>
    <w:p>
      <w:pPr>
        <w:ind w:firstLine="480"/>
      </w:pPr>
      <w:r>
        <w:rPr>
          <w:rFonts w:hint="eastAsia"/>
        </w:rPr>
        <w:t>1．剽窃。剽窃是指将他人依法享有著作权的软件窃为己有并发表或者登记的行为。剽窃的主要表现是采取抄袭或部分抄袭等方式，在他人软件上署自己的名称(或姓名)并发表或者登记。</w:t>
      </w:r>
    </w:p>
    <w:p>
      <w:pPr>
        <w:ind w:firstLine="480"/>
      </w:pPr>
      <w:r>
        <w:rPr>
          <w:rFonts w:hint="eastAsia"/>
        </w:rPr>
        <w:t>2．非法复制。非法复制是指未经软件著作权人许可，擅自将他人软件制作一份或者多份的行为的行为。非法复制的主要表现形式是盗版，这种侵权行为直接掠夺了正版厂商的市场份额和商业利润，是目前最为普遍的软件侵权行为，危害性十分明显，也最为公众熟知。</w:t>
      </w:r>
    </w:p>
    <w:p>
      <w:pPr>
        <w:ind w:firstLine="480"/>
      </w:pPr>
      <w:r>
        <w:rPr>
          <w:rFonts w:hint="eastAsia"/>
        </w:rPr>
        <w:t>3．擅自使用。擅自使用是指未经软件著作权人许可，又无法律根据，对他人软件实施演示、修改、翻译、注释、应用的不合法的使用行为。</w:t>
      </w:r>
    </w:p>
    <w:p>
      <w:pPr>
        <w:ind w:firstLine="480"/>
      </w:pPr>
      <w:r>
        <w:rPr>
          <w:rFonts w:hint="eastAsia"/>
        </w:rPr>
        <w:t>4．擅自许可他人使用。擅自许可他人使用是指未经软件著作权人许可，又无法律根据，未经授权许可第三人使用他人软件的行为。</w:t>
      </w:r>
    </w:p>
    <w:p>
      <w:pPr>
        <w:ind w:firstLine="480"/>
      </w:pPr>
      <w:r>
        <w:rPr>
          <w:rFonts w:hint="eastAsia"/>
        </w:rPr>
        <w:t>《中华人民共和国著作权法》第四十八条</w:t>
      </w:r>
    </w:p>
    <w:p>
      <w:pPr>
        <w:ind w:firstLine="480"/>
      </w:pPr>
      <w:r>
        <w:rPr>
          <w:rFonts w:hint="eastAsia"/>
        </w:rPr>
        <w:t>有下列侵权行为的，应当根据情况，承担停止侵害、消除影响、赔礼道歉、赔偿损失等民事责任;同时损害公共利益的，可以由著作权行政管理部门责令停止侵权行为，没收违法所得，没收、销毁侵权复制品，并可处以罚款;情节严重的，著作权行政管理部门还可以没收主要用于制作侵权复制品的材料、工具、设备等;构成犯罪的，依法追究刑事责任：</w:t>
      </w:r>
    </w:p>
    <w:p>
      <w:pPr>
        <w:ind w:firstLine="480"/>
      </w:pPr>
      <w:r>
        <w:rPr>
          <w:rFonts w:hint="eastAsia"/>
        </w:rPr>
        <w:t>(一)未经著作权人许可，复制、发行、表演、放映、广播、汇编、通过信息网络向公众传播其作品的，本法另有规定的除外;</w:t>
      </w:r>
    </w:p>
    <w:p>
      <w:pPr>
        <w:ind w:firstLine="480"/>
      </w:pPr>
      <w:r>
        <w:rPr>
          <w:rFonts w:hint="eastAsia"/>
        </w:rPr>
        <w:t>(二)出版他人享有专有出版权的图书的;</w:t>
      </w:r>
    </w:p>
    <w:p>
      <w:pPr>
        <w:ind w:firstLine="480"/>
      </w:pPr>
      <w:r>
        <w:rPr>
          <w:rFonts w:hint="eastAsia"/>
        </w:rPr>
        <w:t>(三)未经表演者许可，复制、发行录有其表演的录音录像制品，或者通过信息网络向公众传播其表演的，本法另有规定的除外;</w:t>
      </w:r>
    </w:p>
    <w:p>
      <w:pPr>
        <w:ind w:firstLine="480"/>
      </w:pPr>
      <w:r>
        <w:rPr>
          <w:rFonts w:hint="eastAsia"/>
        </w:rPr>
        <w:t>(四)未经录音录像制作者许可，复制、发行、通过信息网络向公众传播其制作的录音录像制品的，本法另有规定的除外;</w:t>
      </w:r>
    </w:p>
    <w:p>
      <w:pPr>
        <w:ind w:firstLine="480"/>
      </w:pPr>
      <w:r>
        <w:rPr>
          <w:rFonts w:hint="eastAsia"/>
        </w:rPr>
        <w:t>(五)未经许可，播放或者复制广播、电视的，本法另有规定的除外;</w:t>
      </w:r>
    </w:p>
    <w:p>
      <w:pPr>
        <w:ind w:firstLine="480"/>
      </w:pPr>
      <w:r>
        <w:rPr>
          <w:rFonts w:hint="eastAsia"/>
        </w:rPr>
        <w:t>(六)未经著作权人或者与著作权有关的权利人许可，故意避开或者破坏权利人为其作品、录音录像制品等采取的保护著作权或者与著作权有关的权利的技术措施的，法律、行政法规另有规定的除外;</w:t>
      </w:r>
    </w:p>
    <w:p>
      <w:pPr>
        <w:ind w:firstLine="480"/>
      </w:pPr>
      <w:r>
        <w:rPr>
          <w:rFonts w:hint="eastAsia"/>
        </w:rPr>
        <w:t>(七)未经著作权人或者与著作权有关的权利人许可，故意删除或者改变作品、录音录像制品等的权利管理电子信息的，法律、行政法规另有规定的除外;</w:t>
      </w:r>
    </w:p>
    <w:p>
      <w:pPr>
        <w:ind w:firstLine="480"/>
      </w:pPr>
      <w:r>
        <w:rPr>
          <w:rFonts w:hint="eastAsia"/>
        </w:rPr>
        <w:t>(八)制作、出售假冒他人署名的作品的。</w:t>
      </w:r>
    </w:p>
    <w:p>
      <w:pPr>
        <w:ind w:firstLine="482"/>
        <w:rPr>
          <w:b/>
          <w:bCs/>
        </w:rPr>
      </w:pPr>
      <w:r>
        <w:rPr>
          <w:rFonts w:hint="eastAsia"/>
          <w:b/>
          <w:bCs/>
        </w:rPr>
        <w:t>案例：</w:t>
      </w:r>
      <w:r>
        <w:rPr>
          <w:b/>
          <w:bCs/>
        </w:rPr>
        <w:t>达索公司计算机软件著作权案</w:t>
      </w:r>
    </w:p>
    <w:p>
      <w:pPr>
        <w:ind w:firstLine="480"/>
      </w:pPr>
      <w:r>
        <w:t>达索公司是全球领先的3D设计软件开发及销售商，系SOLIDWORKS系列计算机软件作品的著作权人。应达索公司申请，法院于2020年8月19日到海天公司进行诉前证据保全。在证据保全过程中，海天公司阻挠技术专家查看电脑，并且拆除电脑主机。经释明后，海天公司仍无正当理由拒绝配合取证工作。经法院现场清点，海天公司办公室共有77台电脑，其中有33台电脑的主机被拆除。法院从现场未被拆除的44台电脑中随机抽查了4台，发现有1台电脑安装了涉案软件。达索公司以海天公司侵害涉案软件著作权为由诉至法院。</w:t>
      </w:r>
    </w:p>
    <w:p>
      <w:pPr>
        <w:ind w:firstLine="480"/>
      </w:pPr>
      <w:r>
        <w:t>海天公司未经许可，复制了达索公司享有著作权的计算机软件，构成侵权。海天公司擅自将33台电脑的主机拆除，致使法院无法保全证据，故应当认定这33台电脑中均安装了涉案软件。对未被拆除的44台电脑，可以按照1/4的比例确定安装侵权软件的电脑数量为11台。法院按照安装侵权软件电脑的数量44台，判决海天公司赔偿186万元。</w:t>
      </w:r>
    </w:p>
    <w:p>
      <w:pPr>
        <w:ind w:firstLine="562"/>
        <w:outlineLvl w:val="1"/>
        <w:rPr>
          <w:rFonts w:hint="eastAsia" w:ascii="黑体" w:hAnsi="黑体" w:eastAsia="黑体"/>
          <w:b/>
          <w:bCs/>
          <w:sz w:val="28"/>
          <w:szCs w:val="28"/>
        </w:rPr>
      </w:pPr>
      <w:bookmarkStart w:id="36" w:name="_Toc11427"/>
      <w:bookmarkStart w:id="37" w:name="_Toc30522"/>
      <w:r>
        <w:rPr>
          <w:rFonts w:ascii="黑体" w:hAnsi="黑体" w:eastAsia="黑体"/>
          <w:b/>
          <w:bCs/>
          <w:sz w:val="28"/>
          <w:szCs w:val="28"/>
        </w:rPr>
        <w:t>3</w:t>
      </w:r>
      <w:r>
        <w:rPr>
          <w:rFonts w:hint="eastAsia" w:ascii="黑体" w:hAnsi="黑体" w:eastAsia="黑体"/>
          <w:b/>
          <w:bCs/>
          <w:sz w:val="28"/>
          <w:szCs w:val="28"/>
        </w:rPr>
        <w:t>.4 专利</w:t>
      </w:r>
      <w:bookmarkEnd w:id="36"/>
      <w:bookmarkEnd w:id="37"/>
    </w:p>
    <w:p>
      <w:pPr>
        <w:ind w:firstLine="480"/>
      </w:pPr>
      <w:r>
        <w:rPr>
          <w:rFonts w:hint="eastAsia"/>
        </w:rPr>
        <w:t>根据行为人有无直接实施侵犯他人专利权的行为及被控侵权产品或方法落入保护范围的形式，学理上可将专利侵权作出以下分类：</w:t>
      </w:r>
    </w:p>
    <w:p>
      <w:pPr>
        <w:ind w:firstLine="480"/>
      </w:pPr>
      <w:r>
        <w:rPr>
          <w:rFonts w:hint="eastAsia"/>
        </w:rPr>
        <w:t>1.直接侵权与间接侵权</w:t>
      </w:r>
    </w:p>
    <w:p>
      <w:pPr>
        <w:ind w:firstLine="480"/>
      </w:pPr>
      <w:r>
        <w:rPr>
          <w:rFonts w:hint="eastAsia"/>
        </w:rPr>
        <w:t>直接侵权。直接侵权是指行为人直接实施了专利法所禁止的侵犯他人专利权的行为，如制造、使用或销售受保护专利产品。</w:t>
      </w:r>
    </w:p>
    <w:p>
      <w:pPr>
        <w:ind w:firstLine="480"/>
      </w:pPr>
      <w:r>
        <w:rPr>
          <w:rFonts w:hint="eastAsia"/>
        </w:rPr>
        <w:t>间接侵权。间接侵权是指行为人虽然没有直接实施了侵害他人专利权的行为，但是却教唆诱使了直接侵权行为的实施，或帮助了他人实施直接侵权行为。</w:t>
      </w:r>
    </w:p>
    <w:p>
      <w:pPr>
        <w:ind w:firstLine="480"/>
      </w:pPr>
      <w:r>
        <w:rPr>
          <w:rFonts w:hint="eastAsia"/>
        </w:rPr>
        <w:t>2.相同侵权与等同侵权</w:t>
      </w:r>
    </w:p>
    <w:p>
      <w:pPr>
        <w:ind w:firstLine="480"/>
      </w:pPr>
      <w:r>
        <w:rPr>
          <w:rFonts w:hint="eastAsia"/>
        </w:rPr>
        <w:t>相同侵权。相同侵权又被称为字面侵权，顾名思义，是指被控侵权产品或方法的技术方案直接落入受保护专利权利要求的字面描述的范围的侵权行为。</w:t>
      </w:r>
    </w:p>
    <w:p>
      <w:pPr>
        <w:ind w:firstLine="480"/>
      </w:pPr>
      <w:r>
        <w:rPr>
          <w:rFonts w:hint="eastAsia"/>
        </w:rPr>
        <w:t>等同侵权。等同侵权是指被控侵权产品或方法的技术方案虽然没有直接落入权利要求的字面描述的范围，但却与权利要求的技术方案并无本质上的区别，据此被认定为实际上落入保护范围的侵权行为。</w:t>
      </w:r>
    </w:p>
    <w:p>
      <w:pPr>
        <w:ind w:firstLine="482"/>
        <w:rPr>
          <w:rFonts w:hint="eastAsia" w:cs="Arial" w:asciiTheme="minorEastAsia" w:hAnsiTheme="minorEastAsia" w:eastAsiaTheme="minorEastAsia"/>
          <w:b/>
          <w:bCs/>
          <w:color w:val="222222"/>
          <w:shd w:val="clear" w:color="auto" w:fill="FFFFFF"/>
        </w:rPr>
      </w:pPr>
      <w:r>
        <w:rPr>
          <w:rFonts w:hint="eastAsia" w:asciiTheme="minorEastAsia" w:hAnsiTheme="minorEastAsia" w:eastAsiaTheme="minorEastAsia"/>
          <w:b/>
          <w:bCs/>
        </w:rPr>
        <w:t>案例：</w:t>
      </w:r>
      <w:r>
        <w:rPr>
          <w:rFonts w:cs="Arial" w:asciiTheme="minorEastAsia" w:hAnsiTheme="minorEastAsia" w:eastAsiaTheme="minorEastAsia"/>
          <w:b/>
          <w:bCs/>
          <w:color w:val="222222"/>
          <w:shd w:val="clear" w:color="auto" w:fill="FFFFFF"/>
        </w:rPr>
        <w:t>“蜜胺”发明专利及技术秘密侵权两案</w:t>
      </w:r>
    </w:p>
    <w:p>
      <w:pPr>
        <w:ind w:firstLine="480"/>
      </w:pPr>
      <w:r>
        <w:rPr>
          <w:rFonts w:hint="eastAsia"/>
        </w:rPr>
        <w:t>基本案情：</w:t>
      </w:r>
      <w:r>
        <w:t>金象公司、烨晶公司系专利号为201110108644.9、名称为“节能节资型气相淬冷法蜜胺生产系统及其工艺”的发明专利权利人，金象公司亦为采用加压气相淬冷法生产蜜胺的方法及使用该方法的生产系统相关技术秘密权利人。金象公司、烨晶公司针对华鲁恒升公司等四被告侵害涉案专利权的行为向广州知识产权法院提起诉讼。金象公司亦针对上述四被告侵害技术秘密的行为向四川省成都市中级人民法院提起诉讼。两法院一审分别认定，四被告共同实施了专利侵权行为、技术秘密侵权行为，均判决停止侵害，并分别部分支持了有关损害赔偿请求。双方当事人对两案均不服，均提起上诉。最高人民法院二审认为，各被诉侵权人具有侵权的意思联络，主观上彼此明知，先后实施相应侵权行为构成完整的侵权行为链，客观上分工协作，属共同故意实施侵权行为，应当对全部侵权损害承担连带责任。遂改判支持权利人的全部诉讼请求，判令侵权人以包括但不限于拆除的方式销毁侵权生产系统及有关技术秘密载体，共同连带赔偿权利人经济损失合计2.18亿元（其中，发明专利侵权案赔偿1.2亿元，技术秘密侵权案赔偿9800万元）</w:t>
      </w:r>
    </w:p>
    <w:p>
      <w:pPr>
        <w:ind w:firstLine="480"/>
      </w:pPr>
      <w:r>
        <w:rPr>
          <w:rFonts w:hint="eastAsia"/>
        </w:rPr>
        <w:t>典型意义：</w:t>
      </w:r>
      <w:r>
        <w:t>这是目前人民法院针对同一工程项目判赔额最高的知识产权侵权案件。权利人金象公司为中外合资企业，烨晶公司为高新技术民营企业，侵权人之一华鲁恒升公司系国有上市企业。两案裁判不仅彰显人民法院切实加强知识产权司法保护的坚定态度，也充分体现对内资和外资企业、国有和民营企业等各类企业的一体对待、平等保护。本案有关共同故意侵权及全部连带责任的认定、赔偿额计算的考量因素、停止侵害责任中销毁侵权载体的处理方式等，对于类似案件的处理具有参考意义。</w:t>
      </w:r>
    </w:p>
    <w:p>
      <w:pPr>
        <w:pStyle w:val="2"/>
        <w:ind w:firstLine="480"/>
      </w:pPr>
      <w:r>
        <w:br w:type="page"/>
      </w:r>
    </w:p>
    <w:p>
      <w:pPr>
        <w:pStyle w:val="3"/>
        <w:spacing w:before="312" w:after="312"/>
        <w:rPr>
          <w:rFonts w:hint="eastAsia"/>
        </w:rPr>
      </w:pPr>
      <w:bookmarkStart w:id="38" w:name="_Toc15733"/>
      <w:bookmarkStart w:id="39" w:name="_Toc30405"/>
      <w:r>
        <w:rPr>
          <w:rFonts w:hint="eastAsia"/>
        </w:rPr>
        <w:t>第四章 重点国家或地区知识产权相关法律法规汇总分析</w:t>
      </w:r>
      <w:bookmarkEnd w:id="38"/>
      <w:bookmarkEnd w:id="39"/>
    </w:p>
    <w:p>
      <w:pPr>
        <w:ind w:firstLine="562"/>
        <w:outlineLvl w:val="1"/>
        <w:rPr>
          <w:rFonts w:hint="eastAsia" w:ascii="黑体" w:hAnsi="黑体" w:eastAsia="黑体"/>
          <w:b/>
          <w:bCs/>
          <w:sz w:val="28"/>
          <w:szCs w:val="28"/>
        </w:rPr>
      </w:pPr>
      <w:bookmarkStart w:id="40" w:name="_Toc13968"/>
      <w:bookmarkStart w:id="41" w:name="_Toc15116"/>
      <w:r>
        <w:rPr>
          <w:rFonts w:ascii="黑体" w:hAnsi="黑体" w:eastAsia="黑体"/>
          <w:b/>
          <w:bCs/>
          <w:sz w:val="28"/>
          <w:szCs w:val="28"/>
        </w:rPr>
        <w:t>4</w:t>
      </w:r>
      <w:r>
        <w:rPr>
          <w:rFonts w:hint="eastAsia" w:ascii="黑体" w:hAnsi="黑体" w:eastAsia="黑体"/>
          <w:b/>
          <w:bCs/>
          <w:sz w:val="28"/>
          <w:szCs w:val="28"/>
        </w:rPr>
        <w:t>.1</w:t>
      </w:r>
      <w:r>
        <w:rPr>
          <w:rFonts w:ascii="黑体" w:hAnsi="黑体" w:eastAsia="黑体"/>
          <w:b/>
          <w:bCs/>
          <w:sz w:val="28"/>
          <w:szCs w:val="28"/>
        </w:rPr>
        <w:t xml:space="preserve"> </w:t>
      </w:r>
      <w:r>
        <w:rPr>
          <w:rFonts w:hint="eastAsia" w:ascii="黑体" w:hAnsi="黑体" w:eastAsia="黑体"/>
          <w:b/>
          <w:bCs/>
          <w:sz w:val="28"/>
          <w:szCs w:val="28"/>
        </w:rPr>
        <w:t>美国知识产权</w:t>
      </w:r>
      <w:bookmarkEnd w:id="40"/>
      <w:r>
        <w:rPr>
          <w:rFonts w:hint="eastAsia" w:ascii="黑体" w:hAnsi="黑体" w:eastAsia="黑体"/>
          <w:b/>
          <w:bCs/>
          <w:sz w:val="28"/>
          <w:szCs w:val="28"/>
        </w:rPr>
        <w:t>风险防控分析</w:t>
      </w:r>
      <w:bookmarkEnd w:id="41"/>
    </w:p>
    <w:p>
      <w:pPr>
        <w:ind w:firstLine="562"/>
        <w:outlineLvl w:val="2"/>
        <w:rPr>
          <w:rFonts w:hint="eastAsia" w:ascii="黑体" w:hAnsi="黑体" w:eastAsia="黑体" w:cs="Helvetica"/>
          <w:b/>
          <w:color w:val="000000" w:themeColor="text1"/>
          <w:kern w:val="0"/>
          <w:sz w:val="28"/>
          <w:szCs w:val="28"/>
          <w14:textFill>
            <w14:solidFill>
              <w14:schemeClr w14:val="tx1"/>
            </w14:solidFill>
          </w14:textFill>
        </w:rPr>
      </w:pPr>
      <w:bookmarkStart w:id="42" w:name="_Toc121146302"/>
      <w:bookmarkStart w:id="43" w:name="_Toc5859"/>
      <w:r>
        <w:rPr>
          <w:rFonts w:ascii="黑体" w:hAnsi="黑体" w:eastAsia="黑体" w:cs="Helvetica"/>
          <w:b/>
          <w:color w:val="000000" w:themeColor="text1"/>
          <w:kern w:val="0"/>
          <w:sz w:val="28"/>
          <w:szCs w:val="28"/>
          <w14:textFill>
            <w14:solidFill>
              <w14:schemeClr w14:val="tx1"/>
            </w14:solidFill>
          </w14:textFill>
        </w:rPr>
        <w:t xml:space="preserve">4.1.1 </w:t>
      </w:r>
      <w:r>
        <w:rPr>
          <w:rFonts w:hint="eastAsia" w:ascii="黑体" w:hAnsi="黑体" w:eastAsia="黑体" w:cs="Helvetica"/>
          <w:b/>
          <w:color w:val="000000" w:themeColor="text1"/>
          <w:kern w:val="0"/>
          <w:sz w:val="28"/>
          <w:szCs w:val="28"/>
          <w14:textFill>
            <w14:solidFill>
              <w14:schemeClr w14:val="tx1"/>
            </w14:solidFill>
          </w14:textFill>
        </w:rPr>
        <w:t>美国专利侵权行为的认定</w:t>
      </w:r>
      <w:bookmarkEnd w:id="42"/>
      <w:bookmarkEnd w:id="43"/>
    </w:p>
    <w:p>
      <w:pPr>
        <w:ind w:firstLine="480"/>
      </w:pPr>
      <w:r>
        <w:t>在美国，对专利侵权的制裁来源于美国专利法第271条的规定。构成专利侵权的基本要求是被主张侵权的装置、组合物、方法等包含争议权利要求的全部技术特征。美国专利法除了规定直接侵权之外，也规定了间接侵权。</w:t>
      </w:r>
    </w:p>
    <w:p>
      <w:pPr>
        <w:ind w:firstLine="482"/>
        <w:rPr>
          <w:b/>
          <w:bCs/>
        </w:rPr>
      </w:pPr>
      <w:bookmarkStart w:id="44" w:name="_Toc121146303"/>
      <w:r>
        <w:rPr>
          <w:rFonts w:hint="eastAsia"/>
          <w:b/>
          <w:bCs/>
        </w:rPr>
        <w:t>一、直接侵权</w:t>
      </w:r>
      <w:bookmarkEnd w:id="44"/>
    </w:p>
    <w:p>
      <w:pPr>
        <w:ind w:firstLine="480"/>
      </w:pPr>
      <w:r>
        <w:t>直接侵权是指在专利权的有效期间内，他人未经授权而行使了专利权人排他性的权利。确定侵权，首先要解释权利要求和确定专利权保护范围，然后将权利要求的范围与侵权产品或方法进行比较。在美国前者是一个法律问题，由法官解决；后者是一个事实问题，由陪审团解决。</w:t>
      </w:r>
    </w:p>
    <w:p>
      <w:pPr>
        <w:ind w:firstLine="480"/>
      </w:pPr>
      <w:r>
        <w:t>如果权利要求中的每一个技术特征都清楚而具体地见于侵权产品或方法之中，就属于“字面侵权”或者“不折不扣的侵权”。所谓“字面侵权”是就权利要求书的文字来说的；所谓“不折不扣的侵权”是说侵权产品或方法清楚而具体的落入专利权的保护范围。就字面侵权来说，并非要求专利权利要求中的技术特征与侵权产品或方法所使用的技术方案完全一致，而是说相关权利要求中的每一项技术特征都在侵权产品或方法中得到了体现。举例来说，原告权利要求中的技术特征有三项 a、b、c，而被告侵权产品所使用的技术方案涉及a、b、c、d。此时被告的产品对原告专利来说仍然属于“字面侵权”，即使被告在产品中加入的技术特征d对原专利来说是一项重大改进也不能改变其侵犯了原告专利的事实。相反，如果被告产品或方法使用的技术方案相对于原告专利来说并没有包含其权利要求中的全部技术特征，则这种实施方式不能被判断为专利侵权。</w:t>
      </w:r>
    </w:p>
    <w:p>
      <w:pPr>
        <w:ind w:firstLine="480"/>
      </w:pPr>
      <w:r>
        <w:t>在现实生活中，完全使用专利权利要求中的全部技术特征是非常少见的，更多的情况是侵权人所生产的产品或在生产制造过程中所使用的方法对专利权利要求中的技术特征作出了少许的改进。判断这种情况是否侵权就需要应用前文在讨论专利权利的保护范围时所提到的等同原则，如果按照等同原则的观点，被控侵权产品或方法是实质性地使用了专利权利要求中的全部技术特征，实现了相同的功能并达到了实质等同的技术效果，则仍然属于侵权行为，这种侵权被称为"等同侵权"。</w:t>
      </w:r>
    </w:p>
    <w:p>
      <w:pPr>
        <w:ind w:firstLine="482"/>
        <w:rPr>
          <w:b/>
          <w:bCs/>
        </w:rPr>
      </w:pPr>
      <w:bookmarkStart w:id="45" w:name="_Toc121146304"/>
      <w:r>
        <w:rPr>
          <w:rFonts w:hint="eastAsia"/>
          <w:b/>
          <w:bCs/>
        </w:rPr>
        <w:t>二、间接侵权</w:t>
      </w:r>
      <w:bookmarkEnd w:id="45"/>
    </w:p>
    <w:p>
      <w:pPr>
        <w:ind w:firstLine="480"/>
      </w:pPr>
      <w:r>
        <w:t>在美国专利法上，间接侵权是指第三人的行为诱导或者促成了他人的直接侵权。在这里第三人虽然没有直接侵犯专利权，但他的行为却诱导或促成了他人的直接侵权行为。</w:t>
      </w:r>
    </w:p>
    <w:p>
      <w:pPr>
        <w:ind w:firstLine="482"/>
      </w:pPr>
      <w:r>
        <w:rPr>
          <w:rFonts w:asciiTheme="minorEastAsia" w:hAnsiTheme="minorEastAsia" w:eastAsiaTheme="minorEastAsia"/>
          <w:b/>
          <w:bCs/>
        </w:rPr>
        <w:t>1</w:t>
      </w:r>
      <w:r>
        <w:rPr>
          <w:rFonts w:hint="eastAsia" w:asciiTheme="minorEastAsia" w:hAnsiTheme="minorEastAsia" w:eastAsiaTheme="minorEastAsia"/>
          <w:b/>
          <w:bCs/>
        </w:rPr>
        <w:t>．</w:t>
      </w:r>
      <w:r>
        <w:rPr>
          <w:b/>
          <w:bCs/>
        </w:rPr>
        <w:t>间接侵权的种类和概念</w:t>
      </w:r>
    </w:p>
    <w:p>
      <w:pPr>
        <w:ind w:firstLine="480"/>
      </w:pPr>
      <w:r>
        <w:t>在美国专利法上，间接侵权主要有两种</w:t>
      </w:r>
      <w:r>
        <w:rPr>
          <w:rFonts w:hint="eastAsia" w:ascii="宋体" w:hAnsi="宋体" w:cs="宋体"/>
        </w:rPr>
        <w:t>∶</w:t>
      </w:r>
      <w:r>
        <w:t>引诱侵权和帮助侵权。美国专利法第271条b款规定</w:t>
      </w:r>
      <w:r>
        <w:rPr>
          <w:rFonts w:hint="eastAsia" w:ascii="宋体" w:hAnsi="宋体" w:cs="宋体"/>
        </w:rPr>
        <w:t>∶</w:t>
      </w:r>
      <w:r>
        <w:rPr>
          <w:rFonts w:cs="Times New Roman"/>
        </w:rPr>
        <w:t>“</w:t>
      </w:r>
      <w:r>
        <w:t>积极引诱侵犯专利权的人将作为侵权者承担责任。”引诱侵权是指侵权人故意或有意诱导或协助他人直接侵犯专利权的行为。在这里，首先是引诱侵权者故意实施了某种行为，其次是直接侵权人在引诱侵权者的行为诱导下实施了直接侵权行为。</w:t>
      </w:r>
    </w:p>
    <w:p>
      <w:pPr>
        <w:ind w:firstLine="480"/>
      </w:pPr>
      <w:r>
        <w:t>帮助侵权是指侵权人故意销售、许诺销售或进口他人专利中的重要组成部分，而购买者也确实实施了侵犯他人专利的行为。构成帮助侵权需要满足两个重要条件</w:t>
      </w:r>
      <w:r>
        <w:rPr>
          <w:rFonts w:hint="eastAsia" w:ascii="宋体" w:hAnsi="宋体" w:cs="宋体"/>
        </w:rPr>
        <w:t>∶</w:t>
      </w:r>
      <w:r>
        <w:t>一是侵权人明知他所销售、许诺销售或进口的产品是他人发明专利中的特有组成部分，而且除了用于实施他人的专利之外没有其他明显的用途；二是购买者确实实施了直接侵犯他人专利的行为。</w:t>
      </w:r>
    </w:p>
    <w:p>
      <w:pPr>
        <w:ind w:firstLine="480"/>
      </w:pPr>
      <w:r>
        <w:t>关于专利直接侵权和间接侵权的关系，美国联邦巡回上诉法院在190年的“惠普公司”案中有过详细的叙述</w:t>
      </w:r>
      <w:r>
        <w:rPr>
          <w:rFonts w:hint="eastAsia" w:ascii="宋体" w:hAnsi="宋体" w:cs="宋体"/>
        </w:rPr>
        <w:t>∶</w:t>
      </w:r>
      <w:r>
        <w:t>在1952年美国专利法颁布之前，法律中没有界定侵权构成的条文。但是侵权在司法中被分为两类</w:t>
      </w:r>
      <w:r>
        <w:rPr>
          <w:rFonts w:hint="eastAsia" w:ascii="宋体" w:hAnsi="宋体" w:cs="宋体"/>
        </w:rPr>
        <w:t>∶</w:t>
      </w:r>
      <w:r>
        <w:t>"直接侵权”，即未经侵权而制造、使用或销售发明专利权覆盖的产品；“共同侵权”，即所有的虽然没有技术上的制造、使用或销售，但被告显示了足够的过错性的其他活动，以至于可以认定被告为侵权者并应当承担责任。这种责任是基于共同侵权行为理论。根据这一理论，某人故意促使、帮助和教唆他人实施侵权行为，则应当与主要侵权者负共同的和单独的责任。1952年颁布了美国专利法，不仅在法典上规定了直接侵权，而且把“共同侵权”分成了“引诱侵权”和“帮助侵权”。直接侵权与间接侵权的区别在于，前者存在技术层面上的制造、使用或销售有关专利产品的行为，而后者不存在技术层面上的制造、使用或销售有关专利产品的行为。</w:t>
      </w:r>
    </w:p>
    <w:p>
      <w:pPr>
        <w:ind w:firstLine="482"/>
        <w:rPr>
          <w:b/>
          <w:bCs/>
        </w:rPr>
      </w:pPr>
      <w:r>
        <w:rPr>
          <w:rFonts w:asciiTheme="minorEastAsia" w:hAnsiTheme="minorEastAsia" w:eastAsiaTheme="minorEastAsia"/>
          <w:b/>
          <w:bCs/>
        </w:rPr>
        <w:t>2</w:t>
      </w:r>
      <w:r>
        <w:rPr>
          <w:rFonts w:hint="eastAsia" w:asciiTheme="minorEastAsia" w:hAnsiTheme="minorEastAsia" w:eastAsiaTheme="minorEastAsia"/>
          <w:b/>
          <w:bCs/>
        </w:rPr>
        <w:t>．</w:t>
      </w:r>
      <w:r>
        <w:rPr>
          <w:b/>
          <w:bCs/>
        </w:rPr>
        <w:t>间接侵权的认定</w:t>
      </w:r>
    </w:p>
    <w:p>
      <w:pPr>
        <w:ind w:firstLine="480"/>
      </w:pPr>
      <w:r>
        <w:t>间接侵权与直接侵权在认定方面最大的不同在于，侵权者的主观意图是间接侵权的必要条件。在认定直接侵权方面，无论侵权者主观上是否知道自己的行为侵犯了他人的专利权，也不论他是否有可能知道自己的行为侵犯了他人的专利权，只要有客观的侵权事实存在，就可以判定为侵权。然而在专利侵权的间接侵权认定上，行为人的主观意图却成为侵权成立的要件之一。在引诱侵权中，是行为人故意诱导或者协助他人侵犯专利权，在帮助侵权场合，则是行为人故意销售、许诺销售或进口他人发明专利的重要组成部分，并由此而帮助实现了对专利权的侵犯。美国专利法第271条使用了“积极引诱”、“知道”等字眼。如果没有这种积极的主观意图，则不存在间接侵权。</w:t>
      </w:r>
    </w:p>
    <w:p>
      <w:pPr>
        <w:ind w:firstLine="480"/>
      </w:pPr>
      <w:r>
        <w:t>在认定间接侵权方面，除了需要侵权者具有积极的主观意图之外，直接侵权行为的发生也是一个必要条件。如果不存在直接侵权行为，无论相关当事人的主观意图如何均不得认定间接侵权的存在。在前述“爱若”案中，被告同时向通用公司和福特公司的用户出售了可供更换的纺织物。美国最高法院裁定，通用公司获得了制造和销售可折叠汽车顶部的专利授权，通用汽车的用户更换顶部纺织物的行为属于“修理”而非“制造”，没有发生直接侵权，因此间接侵权行为也没有发生。而福特公司没有获得制造和销售该可折叠汽车顶部的授权，福特公司的用户更换顶部纺织物的行为属于"制造"，直接侵犯了原告的专利权。与此相应，被告向福特汽车所有人出售可更换纺织物的行为也构成间接侵权。可以说，此案非常鲜明地说明了直接侵权和间接侵权的联系，也具体的说明了认定间接侵权的所有要件。</w:t>
      </w:r>
    </w:p>
    <w:p>
      <w:pPr>
        <w:ind w:firstLine="562"/>
        <w:outlineLvl w:val="2"/>
        <w:rPr>
          <w:rFonts w:hint="eastAsia" w:ascii="黑体" w:hAnsi="黑体" w:eastAsia="黑体" w:cs="Helvetica"/>
          <w:b/>
          <w:color w:val="000000" w:themeColor="text1"/>
          <w:kern w:val="0"/>
          <w:sz w:val="28"/>
          <w:szCs w:val="28"/>
          <w14:textFill>
            <w14:solidFill>
              <w14:schemeClr w14:val="tx1"/>
            </w14:solidFill>
          </w14:textFill>
        </w:rPr>
      </w:pPr>
      <w:bookmarkStart w:id="46" w:name="_Toc121146305"/>
      <w:bookmarkStart w:id="47" w:name="_Toc5964"/>
      <w:r>
        <w:rPr>
          <w:rFonts w:ascii="黑体" w:hAnsi="黑体" w:eastAsia="黑体" w:cs="Helvetica"/>
          <w:b/>
          <w:color w:val="000000" w:themeColor="text1"/>
          <w:kern w:val="0"/>
          <w:sz w:val="28"/>
          <w:szCs w:val="28"/>
          <w14:textFill>
            <w14:solidFill>
              <w14:schemeClr w14:val="tx1"/>
            </w14:solidFill>
          </w14:textFill>
        </w:rPr>
        <w:t xml:space="preserve">4.1.2 </w:t>
      </w:r>
      <w:bookmarkEnd w:id="46"/>
      <w:r>
        <w:rPr>
          <w:rFonts w:hint="eastAsia" w:ascii="黑体" w:hAnsi="黑体" w:eastAsia="黑体" w:cs="Helvetica"/>
          <w:b/>
          <w:color w:val="000000" w:themeColor="text1"/>
          <w:kern w:val="0"/>
          <w:sz w:val="28"/>
          <w:szCs w:val="28"/>
          <w14:textFill>
            <w14:solidFill>
              <w14:schemeClr w14:val="tx1"/>
            </w14:solidFill>
          </w14:textFill>
        </w:rPr>
        <w:t>“3</w:t>
      </w:r>
      <w:r>
        <w:rPr>
          <w:rFonts w:ascii="黑体" w:hAnsi="黑体" w:eastAsia="黑体" w:cs="Helvetica"/>
          <w:b/>
          <w:color w:val="000000" w:themeColor="text1"/>
          <w:kern w:val="0"/>
          <w:sz w:val="28"/>
          <w:szCs w:val="28"/>
          <w14:textFill>
            <w14:solidFill>
              <w14:schemeClr w14:val="tx1"/>
            </w14:solidFill>
          </w14:textFill>
        </w:rPr>
        <w:t>37</w:t>
      </w:r>
      <w:r>
        <w:rPr>
          <w:rFonts w:hint="eastAsia" w:ascii="黑体" w:hAnsi="黑体" w:eastAsia="黑体" w:cs="Helvetica"/>
          <w:b/>
          <w:color w:val="000000" w:themeColor="text1"/>
          <w:kern w:val="0"/>
          <w:sz w:val="28"/>
          <w:szCs w:val="28"/>
          <w14:textFill>
            <w14:solidFill>
              <w14:schemeClr w14:val="tx1"/>
            </w14:solidFill>
          </w14:textFill>
        </w:rPr>
        <w:t>调查”及常规应对策略</w:t>
      </w:r>
      <w:bookmarkEnd w:id="47"/>
    </w:p>
    <w:p>
      <w:pPr>
        <w:ind w:firstLine="480"/>
        <w:rPr>
          <w:rFonts w:hint="eastAsia" w:hAnsi="宋体" w:cs="Times New Roman"/>
        </w:rPr>
      </w:pPr>
      <w:r>
        <w:rPr>
          <w:rFonts w:cs="Times New Roman"/>
        </w:rPr>
        <w:t>“337</w:t>
      </w:r>
      <w:r>
        <w:rPr>
          <w:rFonts w:hAnsi="宋体" w:cs="Times New Roman"/>
        </w:rPr>
        <w:t>调查</w:t>
      </w:r>
      <w:r>
        <w:rPr>
          <w:rFonts w:cs="Times New Roman"/>
        </w:rPr>
        <w:t>”</w:t>
      </w:r>
      <w:r>
        <w:rPr>
          <w:rFonts w:hAnsi="宋体" w:cs="Times New Roman"/>
        </w:rPr>
        <w:t>制度：根据美国《</w:t>
      </w:r>
      <w:r>
        <w:rPr>
          <w:rFonts w:cs="Times New Roman"/>
        </w:rPr>
        <w:t>1930</w:t>
      </w:r>
      <w:r>
        <w:rPr>
          <w:rFonts w:hAnsi="宋体" w:cs="Times New Roman"/>
        </w:rPr>
        <w:t>年关税法》第</w:t>
      </w:r>
      <w:r>
        <w:rPr>
          <w:rFonts w:cs="Times New Roman"/>
        </w:rPr>
        <w:t>337</w:t>
      </w:r>
      <w:r>
        <w:rPr>
          <w:rFonts w:hAnsi="宋体" w:cs="Times New Roman"/>
        </w:rPr>
        <w:t>节（现被汇编在《美国法典》第</w:t>
      </w:r>
      <w:r>
        <w:rPr>
          <w:rFonts w:cs="Times New Roman"/>
        </w:rPr>
        <w:t>19</w:t>
      </w:r>
      <w:r>
        <w:rPr>
          <w:rFonts w:hAnsi="宋体" w:cs="Times New Roman"/>
        </w:rPr>
        <w:t>卷第</w:t>
      </w:r>
      <w:r>
        <w:rPr>
          <w:rFonts w:cs="Times New Roman"/>
        </w:rPr>
        <w:t>337</w:t>
      </w:r>
      <w:r>
        <w:rPr>
          <w:rFonts w:hAnsi="宋体" w:cs="Times New Roman"/>
        </w:rPr>
        <w:t>节）的规定，如果任何进口贸易中存在侵犯知识产权或其他不正当竞争的行为，美国国际贸易委员会（</w:t>
      </w:r>
      <w:r>
        <w:rPr>
          <w:rFonts w:cs="Times New Roman"/>
        </w:rPr>
        <w:t>ITC</w:t>
      </w:r>
      <w:r>
        <w:rPr>
          <w:rFonts w:hAnsi="宋体" w:cs="Times New Roman"/>
        </w:rPr>
        <w:t>）都可以进行行政调查。如果</w:t>
      </w:r>
      <w:r>
        <w:rPr>
          <w:rFonts w:cs="Times New Roman"/>
        </w:rPr>
        <w:t>ITC</w:t>
      </w:r>
      <w:r>
        <w:rPr>
          <w:rFonts w:hAnsi="宋体" w:cs="Times New Roman"/>
        </w:rPr>
        <w:t>认定某项进口产品侵犯了美国国内知识产权，或虽未侵犯知识产权但其效果却破坏或实质上损害美国某一产业，或阻碍该产业的建立，或对美国商业或贸易造成限制或垄断，则</w:t>
      </w:r>
      <w:r>
        <w:rPr>
          <w:rFonts w:cs="Times New Roman"/>
        </w:rPr>
        <w:t>ITC</w:t>
      </w:r>
      <w:r>
        <w:rPr>
          <w:rFonts w:hAnsi="宋体" w:cs="Times New Roman"/>
        </w:rPr>
        <w:t>有权采取制裁措施。</w:t>
      </w:r>
    </w:p>
    <w:p>
      <w:pPr>
        <w:ind w:firstLine="482"/>
        <w:rPr>
          <w:rFonts w:cs="Times New Roman"/>
          <w:b/>
          <w:bCs/>
        </w:rPr>
      </w:pPr>
      <w:r>
        <w:rPr>
          <w:rFonts w:hint="eastAsia" w:cs="Times New Roman"/>
          <w:b/>
          <w:bCs/>
        </w:rPr>
        <w:t>一、</w:t>
      </w:r>
      <w:r>
        <w:rPr>
          <w:rFonts w:cs="Times New Roman"/>
          <w:b/>
          <w:bCs/>
        </w:rPr>
        <w:t>“337</w:t>
      </w:r>
      <w:r>
        <w:rPr>
          <w:rFonts w:hAnsi="宋体" w:cs="Times New Roman"/>
          <w:b/>
          <w:bCs/>
        </w:rPr>
        <w:t>调查</w:t>
      </w:r>
      <w:r>
        <w:rPr>
          <w:rFonts w:cs="Times New Roman"/>
          <w:b/>
          <w:bCs/>
        </w:rPr>
        <w:t>”</w:t>
      </w:r>
      <w:r>
        <w:rPr>
          <w:rFonts w:hAnsi="宋体" w:cs="Times New Roman"/>
          <w:b/>
          <w:bCs/>
        </w:rPr>
        <w:t>的主要特点</w:t>
      </w:r>
    </w:p>
    <w:p>
      <w:pPr>
        <w:ind w:firstLine="480"/>
        <w:rPr>
          <w:rFonts w:cs="Times New Roman"/>
        </w:rPr>
      </w:pPr>
      <w:r>
        <w:rPr>
          <w:rFonts w:hint="eastAsia" w:cs="Times New Roman"/>
        </w:rPr>
        <w:t>（</w:t>
      </w:r>
      <w:r>
        <w:rPr>
          <w:rFonts w:cs="Times New Roman"/>
        </w:rPr>
        <w:t>1</w:t>
      </w:r>
      <w:r>
        <w:rPr>
          <w:rFonts w:hAnsi="宋体" w:cs="Times New Roman"/>
        </w:rPr>
        <w:t>）立案容易，发起</w:t>
      </w:r>
      <w:r>
        <w:rPr>
          <w:rFonts w:cs="Times New Roman"/>
        </w:rPr>
        <w:t>“337</w:t>
      </w:r>
      <w:r>
        <w:rPr>
          <w:rFonts w:hAnsi="宋体" w:cs="Times New Roman"/>
        </w:rPr>
        <w:t>调查</w:t>
      </w:r>
      <w:r>
        <w:rPr>
          <w:rFonts w:cs="Times New Roman"/>
        </w:rPr>
        <w:t>”</w:t>
      </w:r>
      <w:r>
        <w:rPr>
          <w:rFonts w:hAnsi="宋体" w:cs="Times New Roman"/>
        </w:rPr>
        <w:t>的申请人只需证明在美国存在与申请人主张的知识产权相关的产业，不需证明有损害；</w:t>
      </w:r>
    </w:p>
    <w:p>
      <w:pPr>
        <w:ind w:firstLine="480"/>
        <w:rPr>
          <w:rFonts w:cs="Times New Roman"/>
        </w:rPr>
      </w:pPr>
      <w:r>
        <w:rPr>
          <w:rFonts w:hint="eastAsia" w:cs="Times New Roman"/>
        </w:rPr>
        <w:t>（2）</w:t>
      </w:r>
      <w:r>
        <w:rPr>
          <w:rFonts w:hAnsi="宋体" w:cs="Times New Roman"/>
        </w:rPr>
        <w:t>处罚严厉，一旦被认定侵权，非但被申请人的相关产品，其他同类的产品也有可能被禁止进入美国；</w:t>
      </w:r>
    </w:p>
    <w:p>
      <w:pPr>
        <w:ind w:firstLine="480"/>
        <w:rPr>
          <w:rFonts w:hint="eastAsia" w:hAnsi="宋体" w:cs="Times New Roman"/>
        </w:rPr>
      </w:pPr>
      <w:r>
        <w:rPr>
          <w:rFonts w:hint="eastAsia" w:cs="Times New Roman"/>
        </w:rPr>
        <w:t>（3）</w:t>
      </w:r>
      <w:r>
        <w:rPr>
          <w:rFonts w:hAnsi="宋体" w:cs="Times New Roman"/>
        </w:rPr>
        <w:t>周期短，大多数情况下，</w:t>
      </w:r>
      <w:r>
        <w:rPr>
          <w:rFonts w:cs="Times New Roman"/>
        </w:rPr>
        <w:t>ITC</w:t>
      </w:r>
      <w:r>
        <w:rPr>
          <w:rFonts w:hAnsi="宋体" w:cs="Times New Roman"/>
        </w:rPr>
        <w:t>的调查期限为</w:t>
      </w:r>
      <w:r>
        <w:rPr>
          <w:rFonts w:cs="Times New Roman"/>
        </w:rPr>
        <w:t>12-16</w:t>
      </w:r>
      <w:r>
        <w:rPr>
          <w:rFonts w:hAnsi="宋体" w:cs="Times New Roman"/>
        </w:rPr>
        <w:t>个月，复杂案件可能会延长至</w:t>
      </w:r>
      <w:r>
        <w:rPr>
          <w:rFonts w:cs="Times New Roman"/>
        </w:rPr>
        <w:t>18</w:t>
      </w:r>
      <w:r>
        <w:rPr>
          <w:rFonts w:hAnsi="宋体" w:cs="Times New Roman"/>
        </w:rPr>
        <w:t>个月（而联邦地区法院的专利诉讼案件审理周期长达两年甚至更长）。</w:t>
      </w:r>
    </w:p>
    <w:p>
      <w:pPr>
        <w:ind w:firstLine="482"/>
        <w:rPr>
          <w:rFonts w:cs="Times New Roman"/>
          <w:b/>
          <w:bCs/>
        </w:rPr>
      </w:pPr>
      <w:r>
        <w:rPr>
          <w:rFonts w:hint="eastAsia" w:cs="Times New Roman"/>
          <w:b/>
          <w:bCs/>
        </w:rPr>
        <w:t>二、</w:t>
      </w:r>
      <w:r>
        <w:rPr>
          <w:rFonts w:cs="Times New Roman"/>
          <w:b/>
          <w:bCs/>
        </w:rPr>
        <w:t>“337</w:t>
      </w:r>
      <w:r>
        <w:rPr>
          <w:rFonts w:hAnsi="宋体" w:cs="Times New Roman"/>
          <w:b/>
          <w:bCs/>
        </w:rPr>
        <w:t>调查</w:t>
      </w:r>
      <w:r>
        <w:rPr>
          <w:rFonts w:cs="Times New Roman"/>
          <w:b/>
          <w:bCs/>
        </w:rPr>
        <w:t>”</w:t>
      </w:r>
      <w:r>
        <w:rPr>
          <w:rFonts w:hAnsi="宋体" w:cs="Times New Roman"/>
          <w:b/>
          <w:bCs/>
        </w:rPr>
        <w:t>可能的处罚结果</w:t>
      </w:r>
    </w:p>
    <w:p>
      <w:pPr>
        <w:ind w:firstLine="480"/>
        <w:rPr>
          <w:rFonts w:cs="Times New Roman"/>
          <w:color w:val="006CDF"/>
          <w:kern w:val="0"/>
        </w:rPr>
      </w:pPr>
      <w:r>
        <w:rPr>
          <w:rFonts w:hint="eastAsia" w:cs="Times New Roman"/>
        </w:rPr>
        <w:t>（1）</w:t>
      </w:r>
      <w:r>
        <w:rPr>
          <w:rFonts w:hAnsi="宋体" w:cs="Times New Roman"/>
        </w:rPr>
        <w:t>普遍排除令</w:t>
      </w:r>
      <w:r>
        <w:rPr>
          <w:rFonts w:cs="Times New Roman"/>
        </w:rPr>
        <w:t>:</w:t>
      </w:r>
      <w:r>
        <w:rPr>
          <w:rFonts w:hAnsi="宋体" w:cs="Times New Roman"/>
        </w:rPr>
        <w:t>不仅针对被申请人的产品，还禁止所有同类侵权产品进入美国市场；</w:t>
      </w:r>
    </w:p>
    <w:p>
      <w:pPr>
        <w:ind w:firstLine="480"/>
        <w:rPr>
          <w:rFonts w:cs="Times New Roman"/>
        </w:rPr>
      </w:pPr>
      <w:r>
        <w:rPr>
          <w:rFonts w:hint="eastAsia" w:cs="Times New Roman"/>
        </w:rPr>
        <w:t>（2）</w:t>
      </w:r>
      <w:r>
        <w:rPr>
          <w:rFonts w:hAnsi="宋体" w:cs="Times New Roman"/>
        </w:rPr>
        <w:t>有限排除令</w:t>
      </w:r>
      <w:r>
        <w:rPr>
          <w:rFonts w:cs="Times New Roman"/>
        </w:rPr>
        <w:t>:</w:t>
      </w:r>
      <w:r>
        <w:rPr>
          <w:rFonts w:hAnsi="宋体" w:cs="Times New Roman"/>
        </w:rPr>
        <w:t>禁止被申请人的侵权产品进入美国，可适用于被申请人现在和今后生产的、存在侵权行为的所有类型的产品，效力可扩大到包含侵权物品的上游零部件产品，以及下游或下级产品；</w:t>
      </w:r>
    </w:p>
    <w:p>
      <w:pPr>
        <w:ind w:firstLine="480"/>
        <w:rPr>
          <w:rFonts w:cs="Times New Roman"/>
          <w:color w:val="006CDF"/>
          <w:kern w:val="0"/>
        </w:rPr>
      </w:pPr>
      <w:r>
        <w:rPr>
          <w:rFonts w:hint="eastAsia" w:cs="Times New Roman"/>
        </w:rPr>
        <w:t>（3）</w:t>
      </w:r>
      <w:r>
        <w:rPr>
          <w:rFonts w:hAnsi="宋体" w:cs="Times New Roman"/>
        </w:rPr>
        <w:t>禁止令</w:t>
      </w:r>
      <w:r>
        <w:rPr>
          <w:rFonts w:cs="Times New Roman"/>
        </w:rPr>
        <w:t>:</w:t>
      </w:r>
      <w:r>
        <w:rPr>
          <w:rFonts w:hAnsi="宋体" w:cs="Times New Roman"/>
        </w:rPr>
        <w:t>禁止令是为了禁止继续销售、库存、宣传、广告等已经进口到美国的侵权产品</w:t>
      </w:r>
      <w:r>
        <w:rPr>
          <w:rFonts w:cs="Times New Roman"/>
        </w:rPr>
        <w:t>;</w:t>
      </w:r>
    </w:p>
    <w:p>
      <w:pPr>
        <w:ind w:firstLine="480"/>
        <w:rPr>
          <w:rFonts w:cs="Times New Roman"/>
          <w:color w:val="006CDF"/>
          <w:kern w:val="0"/>
        </w:rPr>
      </w:pPr>
      <w:r>
        <w:rPr>
          <w:rFonts w:hint="eastAsia" w:cs="Times New Roman"/>
        </w:rPr>
        <w:t>（4）</w:t>
      </w:r>
      <w:r>
        <w:rPr>
          <w:rFonts w:hAnsi="宋体" w:cs="Times New Roman"/>
        </w:rPr>
        <w:t>扣押和没收令</w:t>
      </w:r>
      <w:r>
        <w:rPr>
          <w:rFonts w:cs="Times New Roman"/>
        </w:rPr>
        <w:t>:</w:t>
      </w:r>
      <w:r>
        <w:rPr>
          <w:rFonts w:hAnsi="宋体" w:cs="Times New Roman"/>
        </w:rPr>
        <w:t>如果</w:t>
      </w:r>
      <w:r>
        <w:rPr>
          <w:rFonts w:cs="Times New Roman"/>
        </w:rPr>
        <w:t>ITC</w:t>
      </w:r>
      <w:r>
        <w:rPr>
          <w:rFonts w:hAnsi="宋体" w:cs="Times New Roman"/>
        </w:rPr>
        <w:t>曾就某一产品签发过排除令，而有关企业试图再次将其出口到美国市场，</w:t>
      </w:r>
      <w:r>
        <w:rPr>
          <w:rFonts w:cs="Times New Roman"/>
        </w:rPr>
        <w:t>ITC</w:t>
      </w:r>
      <w:r>
        <w:rPr>
          <w:rFonts w:hAnsi="宋体" w:cs="Times New Roman"/>
        </w:rPr>
        <w:t>可以签发扣押和没收令</w:t>
      </w:r>
      <w:r>
        <w:rPr>
          <w:rFonts w:cs="Times New Roman"/>
        </w:rPr>
        <w:t>;</w:t>
      </w:r>
    </w:p>
    <w:p>
      <w:pPr>
        <w:ind w:firstLine="480"/>
        <w:rPr>
          <w:rFonts w:hint="eastAsia" w:hAnsi="宋体" w:cs="Times New Roman"/>
        </w:rPr>
      </w:pPr>
      <w:r>
        <w:rPr>
          <w:rFonts w:hint="eastAsia" w:cs="Times New Roman"/>
          <w:kern w:val="0"/>
        </w:rPr>
        <w:t>（5）</w:t>
      </w:r>
      <w:r>
        <w:rPr>
          <w:rFonts w:hAnsi="宋体" w:cs="Times New Roman"/>
        </w:rPr>
        <w:t>罚款</w:t>
      </w:r>
      <w:r>
        <w:rPr>
          <w:rFonts w:cs="Times New Roman"/>
        </w:rPr>
        <w:t>:</w:t>
      </w:r>
      <w:r>
        <w:rPr>
          <w:rFonts w:hAnsi="宋体" w:cs="Times New Roman"/>
        </w:rPr>
        <w:t>在签发排除令和禁止令后，有关当事人如果违反</w:t>
      </w:r>
      <w:r>
        <w:rPr>
          <w:rFonts w:cs="Times New Roman"/>
        </w:rPr>
        <w:t>ITC</w:t>
      </w:r>
      <w:r>
        <w:rPr>
          <w:rFonts w:hAnsi="宋体" w:cs="Times New Roman"/>
        </w:rPr>
        <w:t>的命令，将面临</w:t>
      </w:r>
      <w:r>
        <w:rPr>
          <w:rFonts w:cs="Times New Roman"/>
        </w:rPr>
        <w:t>10</w:t>
      </w:r>
      <w:r>
        <w:rPr>
          <w:rFonts w:hAnsi="宋体" w:cs="Times New Roman"/>
        </w:rPr>
        <w:t>万美元</w:t>
      </w:r>
      <w:r>
        <w:rPr>
          <w:rFonts w:cs="Times New Roman"/>
        </w:rPr>
        <w:t>/</w:t>
      </w:r>
      <w:r>
        <w:rPr>
          <w:rFonts w:hAnsi="宋体" w:cs="Times New Roman"/>
        </w:rPr>
        <w:t>日的罚款或相当于其每日违令输入美国产品的美国国内价值</w:t>
      </w:r>
      <w:r>
        <w:rPr>
          <w:rFonts w:cs="Times New Roman"/>
        </w:rPr>
        <w:t>2</w:t>
      </w:r>
      <w:r>
        <w:rPr>
          <w:rFonts w:hAnsi="宋体" w:cs="Times New Roman"/>
        </w:rPr>
        <w:t>倍的民事处罚，两者中取高者。</w:t>
      </w:r>
    </w:p>
    <w:p>
      <w:pPr>
        <w:ind w:firstLine="482"/>
        <w:rPr>
          <w:rFonts w:cs="Times New Roman"/>
          <w:b/>
          <w:bCs/>
        </w:rPr>
      </w:pPr>
      <w:r>
        <w:rPr>
          <w:rFonts w:hint="eastAsia" w:cs="Times New Roman"/>
          <w:b/>
          <w:bCs/>
        </w:rPr>
        <w:t>三、</w:t>
      </w:r>
      <w:r>
        <w:rPr>
          <w:rFonts w:cs="Times New Roman"/>
          <w:b/>
          <w:bCs/>
        </w:rPr>
        <w:t>“337</w:t>
      </w:r>
      <w:r>
        <w:rPr>
          <w:rFonts w:hAnsi="宋体" w:cs="Times New Roman"/>
          <w:b/>
          <w:bCs/>
        </w:rPr>
        <w:t>调查</w:t>
      </w:r>
      <w:r>
        <w:rPr>
          <w:rFonts w:cs="Times New Roman"/>
          <w:b/>
          <w:bCs/>
        </w:rPr>
        <w:t>”</w:t>
      </w:r>
      <w:r>
        <w:rPr>
          <w:rFonts w:hAnsi="宋体" w:cs="Times New Roman"/>
          <w:b/>
          <w:bCs/>
        </w:rPr>
        <w:t>程序</w:t>
      </w:r>
    </w:p>
    <w:p>
      <w:pPr>
        <w:ind w:firstLine="480"/>
        <w:rPr>
          <w:rFonts w:cs="Times New Roman"/>
          <w:b/>
          <w:bCs/>
        </w:rPr>
      </w:pPr>
      <w:r>
        <w:rPr>
          <w:rFonts w:cs="Times New Roman"/>
        </w:rPr>
        <w:t>“337</w:t>
      </w:r>
      <w:r>
        <w:rPr>
          <w:rFonts w:hAnsi="宋体" w:cs="Times New Roman"/>
        </w:rPr>
        <w:t>调查</w:t>
      </w:r>
      <w:r>
        <w:rPr>
          <w:rFonts w:cs="Times New Roman"/>
        </w:rPr>
        <w:t>”</w:t>
      </w:r>
      <w:r>
        <w:rPr>
          <w:rFonts w:hAnsi="宋体" w:cs="Times New Roman"/>
        </w:rPr>
        <w:t>时间程序表如下图</w:t>
      </w:r>
      <w:r>
        <w:rPr>
          <w:rFonts w:cs="Times New Roman"/>
        </w:rPr>
        <w:t>5.1-1</w:t>
      </w:r>
      <w:r>
        <w:rPr>
          <w:rFonts w:hAnsi="宋体" w:cs="Times New Roman"/>
        </w:rPr>
        <w:t>所示。</w:t>
      </w:r>
    </w:p>
    <w:p>
      <w:pPr>
        <w:ind w:firstLine="0" w:firstLineChars="0"/>
        <w:jc w:val="center"/>
        <w:rPr>
          <w:rFonts w:cs="Times New Roman"/>
        </w:rPr>
      </w:pPr>
      <w:r>
        <w:rPr>
          <w:rFonts w:cs="Times New Roman"/>
        </w:rPr>
        <w:drawing>
          <wp:inline distT="0" distB="0" distL="0" distR="0">
            <wp:extent cx="5274310" cy="6176010"/>
            <wp:effectExtent l="0" t="0" r="8890" b="8890"/>
            <wp:docPr id="23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49"/>
                    <pic:cNvPicPr>
                      <a:picLocks noChangeAspect="1" noChangeArrowheads="1"/>
                    </pic:cNvPicPr>
                  </pic:nvPicPr>
                  <pic:blipFill>
                    <a:blip r:embed="rId31"/>
                    <a:srcRect/>
                    <a:stretch>
                      <a:fillRect/>
                    </a:stretch>
                  </pic:blipFill>
                  <pic:spPr>
                    <a:xfrm>
                      <a:off x="0" y="0"/>
                      <a:ext cx="5274310" cy="6176278"/>
                    </a:xfrm>
                    <a:prstGeom prst="rect">
                      <a:avLst/>
                    </a:prstGeom>
                    <a:noFill/>
                    <a:ln w="9525">
                      <a:noFill/>
                      <a:miter lim="800000"/>
                      <a:headEnd/>
                      <a:tailEnd/>
                    </a:ln>
                  </pic:spPr>
                </pic:pic>
              </a:graphicData>
            </a:graphic>
          </wp:inline>
        </w:drawing>
      </w:r>
    </w:p>
    <w:p>
      <w:pPr>
        <w:ind w:firstLine="482"/>
        <w:jc w:val="center"/>
        <w:rPr>
          <w:rFonts w:cs="Times New Roman"/>
          <w:b/>
          <w:bCs/>
        </w:rPr>
      </w:pPr>
      <w:r>
        <w:rPr>
          <w:rFonts w:hAnsi="宋体" w:cs="Times New Roman"/>
          <w:b/>
          <w:bCs/>
        </w:rPr>
        <w:t>图</w:t>
      </w:r>
      <w:r>
        <w:rPr>
          <w:rFonts w:cs="Times New Roman"/>
          <w:b/>
          <w:bCs/>
        </w:rPr>
        <w:t>4.1-1 “337</w:t>
      </w:r>
      <w:r>
        <w:rPr>
          <w:rFonts w:hAnsi="宋体" w:cs="Times New Roman"/>
          <w:b/>
          <w:bCs/>
        </w:rPr>
        <w:t>调查</w:t>
      </w:r>
      <w:r>
        <w:rPr>
          <w:rFonts w:cs="Times New Roman"/>
          <w:b/>
          <w:bCs/>
        </w:rPr>
        <w:t>”</w:t>
      </w:r>
      <w:r>
        <w:rPr>
          <w:rFonts w:hAnsi="宋体" w:cs="Times New Roman"/>
          <w:b/>
          <w:bCs/>
        </w:rPr>
        <w:t>时间程序表</w:t>
      </w:r>
    </w:p>
    <w:p>
      <w:pPr>
        <w:ind w:firstLine="482"/>
        <w:rPr>
          <w:rFonts w:cs="Times New Roman"/>
          <w:b/>
          <w:bCs/>
        </w:rPr>
      </w:pPr>
      <w:r>
        <w:rPr>
          <w:rFonts w:hint="eastAsia" w:cs="Times New Roman"/>
          <w:b/>
          <w:bCs/>
        </w:rPr>
        <w:t>四、</w:t>
      </w:r>
      <w:r>
        <w:rPr>
          <w:rFonts w:cs="Times New Roman"/>
          <w:b/>
          <w:bCs/>
        </w:rPr>
        <w:t>“337</w:t>
      </w:r>
      <w:r>
        <w:rPr>
          <w:rFonts w:hAnsi="宋体" w:cs="Times New Roman"/>
          <w:b/>
          <w:bCs/>
        </w:rPr>
        <w:t>调查</w:t>
      </w:r>
      <w:r>
        <w:rPr>
          <w:rFonts w:cs="Times New Roman"/>
          <w:b/>
          <w:bCs/>
        </w:rPr>
        <w:t>”</w:t>
      </w:r>
      <w:r>
        <w:rPr>
          <w:rFonts w:hAnsi="宋体" w:cs="Times New Roman"/>
          <w:b/>
          <w:bCs/>
        </w:rPr>
        <w:t>的应对策略：</w:t>
      </w:r>
    </w:p>
    <w:p>
      <w:pPr>
        <w:ind w:firstLine="482"/>
        <w:rPr>
          <w:rFonts w:cs="Times New Roman"/>
          <w:b/>
          <w:bCs/>
        </w:rPr>
      </w:pPr>
      <w:r>
        <w:rPr>
          <w:rFonts w:hAnsi="宋体" w:cs="Times New Roman"/>
          <w:b/>
          <w:bCs/>
        </w:rPr>
        <w:t>事前：</w:t>
      </w:r>
    </w:p>
    <w:p>
      <w:pPr>
        <w:ind w:firstLine="480"/>
        <w:rPr>
          <w:rFonts w:cs="Times New Roman"/>
        </w:rPr>
      </w:pPr>
      <w:r>
        <w:rPr>
          <w:rFonts w:hAnsi="宋体" w:cs="Times New Roman"/>
        </w:rPr>
        <w:t>（</w:t>
      </w:r>
      <w:r>
        <w:rPr>
          <w:rFonts w:cs="Times New Roman"/>
        </w:rPr>
        <w:t>1</w:t>
      </w:r>
      <w:r>
        <w:rPr>
          <w:rFonts w:hAnsi="宋体" w:cs="Times New Roman"/>
        </w:rPr>
        <w:t>）针对可能的侵权，及时对产品进行规避设计；</w:t>
      </w:r>
    </w:p>
    <w:p>
      <w:pPr>
        <w:ind w:firstLine="480"/>
        <w:rPr>
          <w:rFonts w:cs="Times New Roman"/>
        </w:rPr>
      </w:pPr>
      <w:r>
        <w:rPr>
          <w:rFonts w:hAnsi="宋体" w:cs="Times New Roman"/>
        </w:rPr>
        <w:t>（</w:t>
      </w:r>
      <w:r>
        <w:rPr>
          <w:rFonts w:cs="Times New Roman"/>
        </w:rPr>
        <w:t>2</w:t>
      </w:r>
      <w:r>
        <w:rPr>
          <w:rFonts w:hAnsi="宋体" w:cs="Times New Roman"/>
        </w:rPr>
        <w:t>）对于无法规避而又必须使用的核心专利技术（如液晶膜），可以积极准备谈判，探索采取支付许可费、购买专利或合资、合作等措施的可行性，尽量避免因</w:t>
      </w:r>
      <w:r>
        <w:rPr>
          <w:rFonts w:cs="Times New Roman"/>
        </w:rPr>
        <w:t>“337</w:t>
      </w:r>
      <w:r>
        <w:rPr>
          <w:rFonts w:hAnsi="宋体" w:cs="Times New Roman"/>
        </w:rPr>
        <w:t>调查</w:t>
      </w:r>
      <w:r>
        <w:rPr>
          <w:rFonts w:cs="Times New Roman"/>
        </w:rPr>
        <w:t>”</w:t>
      </w:r>
      <w:r>
        <w:rPr>
          <w:rFonts w:hAnsi="宋体" w:cs="Times New Roman"/>
        </w:rPr>
        <w:t>而失去美国市场；</w:t>
      </w:r>
    </w:p>
    <w:p>
      <w:pPr>
        <w:ind w:firstLine="480"/>
        <w:rPr>
          <w:rFonts w:cs="Times New Roman"/>
        </w:rPr>
      </w:pPr>
      <w:r>
        <w:rPr>
          <w:rFonts w:hAnsi="宋体" w:cs="Times New Roman"/>
        </w:rPr>
        <w:t>（</w:t>
      </w:r>
      <w:r>
        <w:rPr>
          <w:rFonts w:cs="Times New Roman"/>
        </w:rPr>
        <w:t>3</w:t>
      </w:r>
      <w:r>
        <w:rPr>
          <w:rFonts w:hAnsi="宋体" w:cs="Times New Roman"/>
        </w:rPr>
        <w:t>）尝试主动在美进行合理知识产权布局，拥有一定数量的美国专利权，对申请人也是一种对抗和威慑，同时设计可能的替代方案，减少侵权可能性；</w:t>
      </w:r>
    </w:p>
    <w:p>
      <w:pPr>
        <w:ind w:firstLine="480"/>
        <w:rPr>
          <w:rFonts w:cs="Times New Roman"/>
        </w:rPr>
      </w:pPr>
      <w:r>
        <w:rPr>
          <w:rFonts w:hAnsi="宋体" w:cs="Times New Roman"/>
        </w:rPr>
        <w:t>（</w:t>
      </w:r>
      <w:r>
        <w:rPr>
          <w:rFonts w:cs="Times New Roman"/>
        </w:rPr>
        <w:t>4</w:t>
      </w:r>
      <w:r>
        <w:rPr>
          <w:rFonts w:hAnsi="宋体" w:cs="Times New Roman"/>
        </w:rPr>
        <w:t>）委托律师出具出口产品不构成知识产权侵权的法律意见书，避免在</w:t>
      </w:r>
      <w:r>
        <w:rPr>
          <w:rFonts w:cs="Times New Roman"/>
        </w:rPr>
        <w:t>“337</w:t>
      </w:r>
      <w:r>
        <w:rPr>
          <w:rFonts w:hAnsi="宋体" w:cs="Times New Roman"/>
        </w:rPr>
        <w:t>调查</w:t>
      </w:r>
      <w:r>
        <w:rPr>
          <w:rFonts w:cs="Times New Roman"/>
        </w:rPr>
        <w:t>”</w:t>
      </w:r>
      <w:r>
        <w:rPr>
          <w:rFonts w:hAnsi="宋体" w:cs="Times New Roman"/>
        </w:rPr>
        <w:t>中被判故意侵权，并承担</w:t>
      </w:r>
      <w:r>
        <w:rPr>
          <w:rFonts w:cs="Times New Roman"/>
        </w:rPr>
        <w:t>3</w:t>
      </w:r>
      <w:r>
        <w:rPr>
          <w:rFonts w:hAnsi="宋体" w:cs="Times New Roman"/>
        </w:rPr>
        <w:t>倍赔偿金的处罚。</w:t>
      </w:r>
    </w:p>
    <w:p>
      <w:pPr>
        <w:ind w:firstLine="482"/>
        <w:rPr>
          <w:rFonts w:cs="Times New Roman"/>
        </w:rPr>
      </w:pPr>
      <w:r>
        <w:rPr>
          <w:rFonts w:hAnsi="宋体" w:cs="Times New Roman"/>
          <w:b/>
          <w:bCs/>
        </w:rPr>
        <w:t>事中：</w:t>
      </w:r>
    </w:p>
    <w:p>
      <w:pPr>
        <w:ind w:firstLine="480"/>
        <w:rPr>
          <w:rFonts w:cs="Times New Roman"/>
        </w:rPr>
      </w:pPr>
      <w:r>
        <w:rPr>
          <w:rFonts w:hAnsi="宋体" w:cs="Times New Roman"/>
        </w:rPr>
        <w:t>若发生</w:t>
      </w:r>
      <w:r>
        <w:rPr>
          <w:rFonts w:cs="Times New Roman"/>
        </w:rPr>
        <w:t>337</w:t>
      </w:r>
      <w:r>
        <w:rPr>
          <w:rFonts w:hAnsi="宋体" w:cs="Times New Roman"/>
        </w:rPr>
        <w:t>调查，可以采取如下措施加以应对：</w:t>
      </w:r>
    </w:p>
    <w:p>
      <w:pPr>
        <w:ind w:firstLine="480"/>
        <w:rPr>
          <w:rFonts w:cs="Times New Roman"/>
        </w:rPr>
      </w:pPr>
      <w:r>
        <w:rPr>
          <w:rFonts w:hAnsi="宋体" w:cs="Times New Roman"/>
        </w:rPr>
        <w:t>（</w:t>
      </w:r>
      <w:r>
        <w:rPr>
          <w:rFonts w:cs="Times New Roman"/>
        </w:rPr>
        <w:t>1</w:t>
      </w:r>
      <w:r>
        <w:rPr>
          <w:rFonts w:hAnsi="宋体" w:cs="Times New Roman"/>
        </w:rPr>
        <w:t>）权衡是否应诉：</w:t>
      </w:r>
      <w:r>
        <w:rPr>
          <w:rFonts w:cs="Times New Roman"/>
        </w:rPr>
        <w:t>“337</w:t>
      </w:r>
      <w:r>
        <w:rPr>
          <w:rFonts w:hAnsi="宋体" w:cs="Times New Roman"/>
        </w:rPr>
        <w:t>调查</w:t>
      </w:r>
      <w:r>
        <w:rPr>
          <w:rFonts w:cs="Times New Roman"/>
        </w:rPr>
        <w:t>”</w:t>
      </w:r>
      <w:r>
        <w:rPr>
          <w:rFonts w:hAnsi="宋体" w:cs="Times New Roman"/>
        </w:rPr>
        <w:t>的应诉费用根据情况不同通常为几万至上百万美元不等，企业要从成本收益的角度考虑应诉是否值得；</w:t>
      </w:r>
    </w:p>
    <w:p>
      <w:pPr>
        <w:ind w:firstLine="480"/>
        <w:rPr>
          <w:rFonts w:cs="Times New Roman"/>
        </w:rPr>
      </w:pPr>
      <w:r>
        <w:rPr>
          <w:rFonts w:hAnsi="宋体" w:cs="Times New Roman"/>
        </w:rPr>
        <w:t>（</w:t>
      </w:r>
      <w:r>
        <w:rPr>
          <w:rFonts w:cs="Times New Roman"/>
        </w:rPr>
        <w:t>2</w:t>
      </w:r>
      <w:r>
        <w:rPr>
          <w:rFonts w:hAnsi="宋体" w:cs="Times New Roman"/>
        </w:rPr>
        <w:t>）应诉团队：企业决定应诉</w:t>
      </w:r>
      <w:r>
        <w:rPr>
          <w:rFonts w:cs="Times New Roman"/>
        </w:rPr>
        <w:t>“337</w:t>
      </w:r>
      <w:r>
        <w:rPr>
          <w:rFonts w:hAnsi="宋体" w:cs="Times New Roman"/>
        </w:rPr>
        <w:t>调查</w:t>
      </w:r>
      <w:r>
        <w:rPr>
          <w:rFonts w:cs="Times New Roman"/>
        </w:rPr>
        <w:t>”</w:t>
      </w:r>
      <w:r>
        <w:rPr>
          <w:rFonts w:hAnsi="宋体" w:cs="Times New Roman"/>
        </w:rPr>
        <w:t>后，应立即着手组建应诉团队，包括内部团队与律师团队，企业内部团队：领导人员</w:t>
      </w:r>
      <w:r>
        <w:rPr>
          <w:rFonts w:cs="Times New Roman"/>
        </w:rPr>
        <w:t>+</w:t>
      </w:r>
      <w:r>
        <w:rPr>
          <w:rFonts w:hAnsi="宋体" w:cs="Times New Roman"/>
        </w:rPr>
        <w:t>技术人员</w:t>
      </w:r>
      <w:r>
        <w:rPr>
          <w:rFonts w:cs="Times New Roman"/>
        </w:rPr>
        <w:t>+</w:t>
      </w:r>
      <w:r>
        <w:rPr>
          <w:rFonts w:hAnsi="宋体" w:cs="Times New Roman"/>
        </w:rPr>
        <w:t>市场人员</w:t>
      </w:r>
      <w:r>
        <w:rPr>
          <w:rFonts w:cs="Times New Roman"/>
        </w:rPr>
        <w:t>+</w:t>
      </w:r>
      <w:r>
        <w:rPr>
          <w:rFonts w:hAnsi="宋体" w:cs="Times New Roman"/>
        </w:rPr>
        <w:t>行政人员，律师团队：中美关于知识产权保护的立法规定存在差异，聘请既懂得</w:t>
      </w:r>
      <w:r>
        <w:rPr>
          <w:rFonts w:cs="Times New Roman"/>
        </w:rPr>
        <w:t>“337</w:t>
      </w:r>
      <w:r>
        <w:rPr>
          <w:rFonts w:hAnsi="宋体" w:cs="Times New Roman"/>
        </w:rPr>
        <w:t>调查</w:t>
      </w:r>
      <w:r>
        <w:rPr>
          <w:rFonts w:cs="Times New Roman"/>
        </w:rPr>
        <w:t>”</w:t>
      </w:r>
      <w:r>
        <w:rPr>
          <w:rFonts w:hAnsi="宋体" w:cs="Times New Roman"/>
        </w:rPr>
        <w:t>程序，又熟悉中美知识产权差异的专业律师代理企业参与案件应诉工作，可以帮助确定有效的应诉策略，全面保护企业的合法权益；</w:t>
      </w:r>
    </w:p>
    <w:p>
      <w:pPr>
        <w:ind w:firstLine="480"/>
        <w:rPr>
          <w:rFonts w:cs="Times New Roman"/>
        </w:rPr>
      </w:pPr>
      <w:r>
        <w:rPr>
          <w:rFonts w:hAnsi="宋体" w:cs="Times New Roman"/>
        </w:rPr>
        <w:t>（</w:t>
      </w:r>
      <w:r>
        <w:rPr>
          <w:rFonts w:cs="Times New Roman"/>
        </w:rPr>
        <w:t>3</w:t>
      </w:r>
      <w:r>
        <w:rPr>
          <w:rFonts w:hAnsi="宋体" w:cs="Times New Roman"/>
        </w:rPr>
        <w:t>）证据收集与保全过程：收集相关不侵权证据、现有技术证据等；</w:t>
      </w:r>
    </w:p>
    <w:p>
      <w:pPr>
        <w:ind w:firstLine="480"/>
        <w:rPr>
          <w:rFonts w:cs="Times New Roman"/>
        </w:rPr>
      </w:pPr>
      <w:r>
        <w:rPr>
          <w:rFonts w:hAnsi="宋体" w:cs="Times New Roman"/>
        </w:rPr>
        <w:t>（</w:t>
      </w:r>
      <w:r>
        <w:rPr>
          <w:rFonts w:cs="Times New Roman"/>
        </w:rPr>
        <w:t>4</w:t>
      </w:r>
      <w:r>
        <w:rPr>
          <w:rFonts w:hAnsi="宋体" w:cs="Times New Roman"/>
        </w:rPr>
        <w:t>）抗辩理由：被申请人一般可从涉案产品不侵权、对方专利无效、专利不可实施等三方面抗辩，其中专利不可实施是美国专利法中的特殊制度，被判定为不可实施的专利继续有效但不能实施，权利人无法据此专利行使权利，可以从授权过程中存在不正当行为或专利权的滥用角度证明相应的专利不具备可实施性；</w:t>
      </w:r>
    </w:p>
    <w:p>
      <w:pPr>
        <w:ind w:firstLine="480"/>
        <w:rPr>
          <w:rFonts w:cs="Times New Roman"/>
        </w:rPr>
      </w:pPr>
      <w:r>
        <w:rPr>
          <w:rFonts w:hAnsi="宋体" w:cs="Times New Roman"/>
        </w:rPr>
        <w:t>（</w:t>
      </w:r>
      <w:r>
        <w:rPr>
          <w:rFonts w:cs="Times New Roman"/>
        </w:rPr>
        <w:t>5</w:t>
      </w:r>
      <w:r>
        <w:rPr>
          <w:rFonts w:hAnsi="宋体" w:cs="Times New Roman"/>
        </w:rPr>
        <w:t>）联合应诉：多家涉案企业选择联合应诉，可以整合资源、共享信息、分担应诉工作，一定程度上分摊应诉费用，降低单个企业的应诉负担；</w:t>
      </w:r>
    </w:p>
    <w:p>
      <w:pPr>
        <w:ind w:firstLine="480"/>
        <w:rPr>
          <w:rFonts w:cs="Times New Roman"/>
        </w:rPr>
      </w:pPr>
      <w:r>
        <w:rPr>
          <w:rFonts w:hAnsi="宋体" w:cs="Times New Roman"/>
        </w:rPr>
        <w:t>（</w:t>
      </w:r>
      <w:r>
        <w:rPr>
          <w:rFonts w:cs="Times New Roman"/>
        </w:rPr>
        <w:t>6</w:t>
      </w:r>
      <w:r>
        <w:rPr>
          <w:rFonts w:hAnsi="宋体" w:cs="Times New Roman"/>
        </w:rPr>
        <w:t>）和解：双方当事人可以通过签订和解协议解决争议，终止</w:t>
      </w:r>
      <w:r>
        <w:rPr>
          <w:rFonts w:cs="Times New Roman"/>
        </w:rPr>
        <w:t>“337</w:t>
      </w:r>
      <w:r>
        <w:rPr>
          <w:rFonts w:hAnsi="宋体" w:cs="Times New Roman"/>
        </w:rPr>
        <w:t>调查</w:t>
      </w:r>
      <w:r>
        <w:rPr>
          <w:rFonts w:cs="Times New Roman"/>
        </w:rPr>
        <w:t>”</w:t>
      </w:r>
      <w:r>
        <w:rPr>
          <w:rFonts w:hAnsi="宋体" w:cs="Times New Roman"/>
        </w:rPr>
        <w:t>。和解协议一般可包括：被申请人停止进口或销售侵权产品；申请人放弃对被申请人的指控；允许被申请人在一定时间内处理库存的侵权产品；申请人授权被申请人使用专利或者进口涉案产品等。</w:t>
      </w:r>
    </w:p>
    <w:p>
      <w:pPr>
        <w:ind w:firstLine="480"/>
        <w:rPr>
          <w:rFonts w:cs="Times New Roman"/>
        </w:rPr>
      </w:pPr>
      <w:r>
        <w:rPr>
          <w:rFonts w:hAnsi="宋体" w:cs="Times New Roman"/>
        </w:rPr>
        <w:t>（</w:t>
      </w:r>
      <w:r>
        <w:rPr>
          <w:rFonts w:cs="Times New Roman"/>
        </w:rPr>
        <w:t>7</w:t>
      </w:r>
      <w:r>
        <w:rPr>
          <w:rFonts w:hAnsi="宋体" w:cs="Times New Roman"/>
        </w:rPr>
        <w:t>）规避设计，如果被申请人侵权可能性比较大，可以通过研究设计不同于涉案产品的新产品来规避申请人的专利权。在行政法官作出初裁和委员会作出终裁前，将规避设计后的产品提交其审阅，一旦获得</w:t>
      </w:r>
      <w:r>
        <w:rPr>
          <w:rFonts w:cs="Times New Roman"/>
        </w:rPr>
        <w:t>ITC</w:t>
      </w:r>
      <w:r>
        <w:rPr>
          <w:rFonts w:hAnsi="宋体" w:cs="Times New Roman"/>
        </w:rPr>
        <w:t>的认可，将不受</w:t>
      </w:r>
      <w:r>
        <w:rPr>
          <w:rFonts w:cs="Times New Roman"/>
        </w:rPr>
        <w:t>ITC</w:t>
      </w:r>
      <w:r>
        <w:rPr>
          <w:rFonts w:hAnsi="宋体" w:cs="Times New Roman"/>
        </w:rPr>
        <w:t>最终签发的排除令等救济措施的影响。</w:t>
      </w:r>
    </w:p>
    <w:p>
      <w:pPr>
        <w:ind w:firstLine="482"/>
        <w:rPr>
          <w:rFonts w:hint="eastAsia" w:hAnsi="宋体" w:cs="Times New Roman"/>
          <w:b/>
          <w:bCs/>
        </w:rPr>
      </w:pPr>
      <w:r>
        <w:rPr>
          <w:rFonts w:hAnsi="宋体" w:cs="Times New Roman"/>
          <w:b/>
          <w:bCs/>
        </w:rPr>
        <w:t>事后</w:t>
      </w:r>
    </w:p>
    <w:p>
      <w:pPr>
        <w:ind w:firstLine="480"/>
        <w:rPr>
          <w:rFonts w:cs="Times New Roman"/>
        </w:rPr>
      </w:pPr>
      <w:r>
        <w:rPr>
          <w:rFonts w:hAnsi="宋体" w:cs="Times New Roman"/>
        </w:rPr>
        <w:t>如果经过分析，被申请人可能败诉，或是经过抗辩被认定侵权而败诉，应迅速采取相应措施以减少损失，可以采取如下措施：</w:t>
      </w:r>
    </w:p>
    <w:p>
      <w:pPr>
        <w:ind w:firstLine="480"/>
        <w:rPr>
          <w:rFonts w:cs="Times New Roman"/>
        </w:rPr>
      </w:pPr>
      <w:r>
        <w:rPr>
          <w:rFonts w:hAnsi="宋体" w:cs="Times New Roman"/>
        </w:rPr>
        <w:t>（</w:t>
      </w:r>
      <w:r>
        <w:rPr>
          <w:rFonts w:cs="Times New Roman"/>
        </w:rPr>
        <w:t>1</w:t>
      </w:r>
      <w:r>
        <w:rPr>
          <w:rFonts w:hAnsi="宋体" w:cs="Times New Roman"/>
        </w:rPr>
        <w:t>）规避设计：企业即使在应诉中错过了规避设计的最佳时机，也可以在签发排除令后，采取措施重新获得进口资格。</w:t>
      </w:r>
      <w:r>
        <w:rPr>
          <w:rFonts w:cs="Times New Roman"/>
        </w:rPr>
        <w:t>“337</w:t>
      </w:r>
      <w:r>
        <w:rPr>
          <w:rFonts w:hAnsi="宋体" w:cs="Times New Roman"/>
        </w:rPr>
        <w:t>调查</w:t>
      </w:r>
      <w:r>
        <w:rPr>
          <w:rFonts w:cs="Times New Roman"/>
        </w:rPr>
        <w:t>”</w:t>
      </w:r>
      <w:r>
        <w:rPr>
          <w:rFonts w:hAnsi="宋体" w:cs="Times New Roman"/>
        </w:rPr>
        <w:t>的排除令由美国海关执行，由其判断相关进口产品是否落入</w:t>
      </w:r>
      <w:r>
        <w:rPr>
          <w:rFonts w:cs="Times New Roman"/>
        </w:rPr>
        <w:t>ITC</w:t>
      </w:r>
      <w:r>
        <w:rPr>
          <w:rFonts w:hAnsi="宋体" w:cs="Times New Roman"/>
        </w:rPr>
        <w:t>裁决中的侵权产品范围。如果企业的产品被</w:t>
      </w:r>
      <w:r>
        <w:rPr>
          <w:rFonts w:cs="Times New Roman"/>
        </w:rPr>
        <w:t>ITC</w:t>
      </w:r>
      <w:r>
        <w:rPr>
          <w:rFonts w:hAnsi="宋体" w:cs="Times New Roman"/>
        </w:rPr>
        <w:t>签发了排除令，企业或其进口商可以就经过规避设计的产品请求美国海关发表意见。如果海关认为规避设计产品不落入</w:t>
      </w:r>
      <w:r>
        <w:rPr>
          <w:rFonts w:cs="Times New Roman"/>
        </w:rPr>
        <w:t>ITC</w:t>
      </w:r>
      <w:r>
        <w:rPr>
          <w:rFonts w:hAnsi="宋体" w:cs="Times New Roman"/>
        </w:rPr>
        <w:t>裁决侵权产品的范围，则相关产品可以进入美国市场。企业也可以请求</w:t>
      </w:r>
      <w:r>
        <w:rPr>
          <w:rFonts w:cs="Times New Roman"/>
        </w:rPr>
        <w:t>ITC</w:t>
      </w:r>
      <w:r>
        <w:rPr>
          <w:rFonts w:hAnsi="宋体" w:cs="Times New Roman"/>
        </w:rPr>
        <w:t>启动咨询意见程序，由其对规避设计产品是否侵权发表意见。</w:t>
      </w:r>
    </w:p>
    <w:p>
      <w:pPr>
        <w:ind w:firstLine="480"/>
        <w:rPr>
          <w:rFonts w:cs="Times New Roman"/>
        </w:rPr>
      </w:pPr>
      <w:r>
        <w:rPr>
          <w:rFonts w:hAnsi="宋体" w:cs="Times New Roman"/>
        </w:rPr>
        <w:t>（</w:t>
      </w:r>
      <w:r>
        <w:rPr>
          <w:rFonts w:cs="Times New Roman"/>
        </w:rPr>
        <w:t>2</w:t>
      </w:r>
      <w:r>
        <w:rPr>
          <w:rFonts w:hAnsi="宋体" w:cs="Times New Roman"/>
        </w:rPr>
        <w:t>）专利许可：被申请人可以与申请人谈判获得使用专利的许可，并交纳合理的许可费。专利许可费可以用被许可方的利润为基数，从利润中支付。如果专利权人坚持要用销售额为基数，被许可方应当通过谈判，争取不以整个产品，而仅以涉及专利的零部件的价值为基数，尽量降低专利许可费。</w:t>
      </w:r>
    </w:p>
    <w:p>
      <w:pPr>
        <w:ind w:firstLine="480"/>
        <w:rPr>
          <w:rFonts w:hint="eastAsia" w:hAnsi="宋体" w:cs="Times New Roman"/>
        </w:rPr>
      </w:pPr>
      <w:r>
        <w:rPr>
          <w:rFonts w:hAnsi="宋体" w:cs="Times New Roman"/>
        </w:rPr>
        <w:t>（</w:t>
      </w:r>
      <w:r>
        <w:rPr>
          <w:rFonts w:cs="Times New Roman"/>
        </w:rPr>
        <w:t>3</w:t>
      </w:r>
      <w:r>
        <w:rPr>
          <w:rFonts w:hAnsi="宋体" w:cs="Times New Roman"/>
        </w:rPr>
        <w:t>）战略合作：被申请人可以与申请人商讨开展战略合作。例如，谈判探讨成立合资企业等。</w:t>
      </w:r>
    </w:p>
    <w:p>
      <w:pPr>
        <w:ind w:firstLine="562"/>
        <w:outlineLvl w:val="2"/>
        <w:rPr>
          <w:rFonts w:hint="eastAsia" w:ascii="黑体" w:hAnsi="黑体" w:eastAsia="黑体" w:cs="Helvetica"/>
          <w:b/>
          <w:color w:val="000000" w:themeColor="text1"/>
          <w:kern w:val="0"/>
          <w:sz w:val="28"/>
          <w:szCs w:val="28"/>
          <w14:textFill>
            <w14:solidFill>
              <w14:schemeClr w14:val="tx1"/>
            </w14:solidFill>
          </w14:textFill>
        </w:rPr>
      </w:pPr>
      <w:bookmarkStart w:id="48" w:name="_Toc121146307"/>
      <w:bookmarkStart w:id="49" w:name="_Toc28787"/>
      <w:r>
        <w:rPr>
          <w:rFonts w:ascii="黑体" w:hAnsi="黑体" w:eastAsia="黑体" w:cs="Helvetica"/>
          <w:b/>
          <w:color w:val="000000" w:themeColor="text1"/>
          <w:kern w:val="0"/>
          <w:sz w:val="28"/>
          <w:szCs w:val="28"/>
          <w14:textFill>
            <w14:solidFill>
              <w14:schemeClr w14:val="tx1"/>
            </w14:solidFill>
          </w14:textFill>
        </w:rPr>
        <w:t xml:space="preserve">4.1.3 </w:t>
      </w:r>
      <w:r>
        <w:rPr>
          <w:rFonts w:hint="eastAsia" w:ascii="黑体" w:hAnsi="黑体" w:eastAsia="黑体" w:cs="Helvetica"/>
          <w:b/>
          <w:color w:val="000000" w:themeColor="text1"/>
          <w:kern w:val="0"/>
          <w:sz w:val="28"/>
          <w:szCs w:val="28"/>
          <w14:textFill>
            <w14:solidFill>
              <w14:schemeClr w14:val="tx1"/>
            </w14:solidFill>
          </w14:textFill>
        </w:rPr>
        <w:t>美国专利诉讼及常规应对策略</w:t>
      </w:r>
      <w:bookmarkEnd w:id="48"/>
      <w:bookmarkEnd w:id="49"/>
    </w:p>
    <w:p>
      <w:pPr>
        <w:ind w:firstLine="480"/>
        <w:rPr>
          <w:rFonts w:cs="Times New Roman"/>
        </w:rPr>
      </w:pPr>
      <w:r>
        <w:rPr>
          <w:rFonts w:hAnsi="宋体" w:cs="Times New Roman"/>
        </w:rPr>
        <w:t>美国专利诉讼的司法体系：美国联邦地区法院是专利侵权纠纷的初审管辖法院，受理案件的第一审法院为被告居住地、被告公司主要营业机构所在地或侵权行为发生地的联邦地区法院（涉及到外贸的专利侵权纠纷，也可以向美国准司法机构国际贸易委员会提起</w:t>
      </w:r>
      <w:r>
        <w:rPr>
          <w:rFonts w:cs="Times New Roman"/>
        </w:rPr>
        <w:t>“337</w:t>
      </w:r>
      <w:r>
        <w:rPr>
          <w:rFonts w:hAnsi="宋体" w:cs="Times New Roman"/>
        </w:rPr>
        <w:t>调查</w:t>
      </w:r>
      <w:r>
        <w:rPr>
          <w:rFonts w:cs="Times New Roman"/>
        </w:rPr>
        <w:t>”</w:t>
      </w:r>
      <w:r>
        <w:rPr>
          <w:rFonts w:hAnsi="宋体" w:cs="Times New Roman"/>
        </w:rPr>
        <w:t>）。美国共有</w:t>
      </w:r>
      <w:r>
        <w:rPr>
          <w:rFonts w:cs="Times New Roman"/>
        </w:rPr>
        <w:t>94</w:t>
      </w:r>
      <w:r>
        <w:rPr>
          <w:rFonts w:hAnsi="宋体" w:cs="Times New Roman"/>
        </w:rPr>
        <w:t>个联邦地区法院。对联邦地区法院裁决不服的任何一方当事人可以上诉至美国联邦巡回上诉法院。当事人对联邦巡回上诉法院裁决不服的，可以向美国最高法院提出复审请求。</w:t>
      </w:r>
    </w:p>
    <w:p>
      <w:pPr>
        <w:ind w:firstLine="482"/>
        <w:rPr>
          <w:rFonts w:cs="Times New Roman"/>
          <w:b/>
          <w:bCs/>
        </w:rPr>
      </w:pPr>
      <w:r>
        <w:rPr>
          <w:rFonts w:hint="eastAsia" w:hAnsi="宋体" w:cs="Times New Roman"/>
          <w:b/>
          <w:bCs/>
        </w:rPr>
        <w:t>一、</w:t>
      </w:r>
      <w:r>
        <w:rPr>
          <w:rFonts w:hAnsi="宋体" w:cs="Times New Roman"/>
          <w:b/>
          <w:bCs/>
        </w:rPr>
        <w:t>美国专利诉讼特点及风险</w:t>
      </w:r>
    </w:p>
    <w:p>
      <w:pPr>
        <w:ind w:firstLine="480"/>
        <w:rPr>
          <w:rFonts w:cs="Times New Roman"/>
        </w:rPr>
      </w:pPr>
      <w:r>
        <w:rPr>
          <w:rFonts w:hint="eastAsia" w:cs="Times New Roman"/>
        </w:rPr>
        <w:t>（1）</w:t>
      </w:r>
      <w:r>
        <w:rPr>
          <w:rFonts w:hAnsi="宋体" w:cs="Times New Roman"/>
        </w:rPr>
        <w:t>时间长，诉讼时间一般在</w:t>
      </w:r>
      <w:r>
        <w:rPr>
          <w:rFonts w:cs="Times New Roman"/>
        </w:rPr>
        <w:t>2~6</w:t>
      </w:r>
      <w:r>
        <w:rPr>
          <w:rFonts w:hAnsi="宋体" w:cs="Times New Roman"/>
        </w:rPr>
        <w:t>年间；</w:t>
      </w:r>
    </w:p>
    <w:p>
      <w:pPr>
        <w:ind w:firstLine="480"/>
        <w:rPr>
          <w:rFonts w:cs="Times New Roman"/>
        </w:rPr>
      </w:pPr>
      <w:r>
        <w:rPr>
          <w:rFonts w:hint="eastAsia" w:cs="Times New Roman"/>
        </w:rPr>
        <w:t>（2）</w:t>
      </w:r>
      <w:r>
        <w:rPr>
          <w:rFonts w:hAnsi="宋体" w:cs="Times New Roman"/>
        </w:rPr>
        <w:t>侵权赔偿，美国对专利侵权以强救济著称，侵权赔偿数额往往较大，另外，如果被裁定故意侵权，企业可能面临高达三倍的侵权赔偿，以及在特定情节下负担对方律师费用的代价；</w:t>
      </w:r>
    </w:p>
    <w:p>
      <w:pPr>
        <w:ind w:firstLine="480"/>
        <w:rPr>
          <w:rFonts w:cs="Times New Roman"/>
        </w:rPr>
      </w:pPr>
      <w:r>
        <w:rPr>
          <w:rFonts w:hint="eastAsia" w:cs="Times New Roman"/>
        </w:rPr>
        <w:t>（3）</w:t>
      </w:r>
      <w:r>
        <w:rPr>
          <w:rFonts w:hAnsi="宋体" w:cs="Times New Roman"/>
        </w:rPr>
        <w:t>丧失市场，如果法院还发出了永久禁令，则被告将被禁止在美国生产或销售被诉侵权产品，这将极大影响企业的市场与长期发展；</w:t>
      </w:r>
    </w:p>
    <w:p>
      <w:pPr>
        <w:ind w:firstLine="480"/>
        <w:rPr>
          <w:rFonts w:cs="Times New Roman"/>
        </w:rPr>
      </w:pPr>
      <w:r>
        <w:rPr>
          <w:rFonts w:hint="eastAsia" w:cs="Times New Roman"/>
        </w:rPr>
        <w:t>（4）</w:t>
      </w:r>
      <w:r>
        <w:rPr>
          <w:rFonts w:hAnsi="宋体" w:cs="Times New Roman"/>
        </w:rPr>
        <w:t>诉讼成本，除了损害赔偿金外，潜在的诉讼成本十分昂贵，其中包括律师费用（几十万到几百万美元），以及聘用专家、差旅等费用（一般为律师费用的</w:t>
      </w:r>
      <w:r>
        <w:rPr>
          <w:rFonts w:cs="Times New Roman"/>
        </w:rPr>
        <w:t>25%</w:t>
      </w:r>
      <w:r>
        <w:rPr>
          <w:rFonts w:hAnsi="宋体" w:cs="Times New Roman"/>
        </w:rPr>
        <w:t>）等，近年来更有逐年增高之势；</w:t>
      </w:r>
    </w:p>
    <w:p>
      <w:pPr>
        <w:ind w:firstLine="480"/>
        <w:rPr>
          <w:rFonts w:cs="Times New Roman"/>
        </w:rPr>
      </w:pPr>
      <w:r>
        <w:rPr>
          <w:rFonts w:hint="eastAsia" w:cs="Times New Roman"/>
        </w:rPr>
        <w:t>（5）</w:t>
      </w:r>
      <w:r>
        <w:rPr>
          <w:rFonts w:hAnsi="宋体" w:cs="Times New Roman"/>
        </w:rPr>
        <w:t>企业形象与业务机会损失，专利诉讼还会耗费企业主要管理、技术、财务人员的大量时间，影响企业的正常经营，伤害企业商誉而流失客户，造成业务机会损失等。</w:t>
      </w:r>
    </w:p>
    <w:p>
      <w:pPr>
        <w:ind w:firstLine="480"/>
        <w:rPr>
          <w:rFonts w:cs="Times New Roman"/>
        </w:rPr>
      </w:pPr>
      <w:r>
        <w:rPr>
          <w:rFonts w:hAnsi="宋体" w:cs="Times New Roman"/>
        </w:rPr>
        <w:t>美国专利诉讼的基本程序</w:t>
      </w:r>
    </w:p>
    <w:p>
      <w:pPr>
        <w:ind w:firstLine="480"/>
        <w:rPr>
          <w:rFonts w:cs="Times New Roman"/>
        </w:rPr>
      </w:pPr>
      <w:r>
        <w:rPr>
          <w:rFonts w:hAnsi="宋体" w:cs="Times New Roman"/>
        </w:rPr>
        <w:t>美国专利诉讼主要包括诉前警告、提起诉讼请求、调查取证、马克曼听证（权利要求解释听证）、审前动议、审理等主要程序，如下图</w:t>
      </w:r>
      <w:r>
        <w:rPr>
          <w:rFonts w:cs="Times New Roman"/>
        </w:rPr>
        <w:t>5.1-2</w:t>
      </w:r>
      <w:r>
        <w:rPr>
          <w:rFonts w:hAnsi="宋体" w:cs="Times New Roman"/>
        </w:rPr>
        <w:t>所示。</w:t>
      </w:r>
    </w:p>
    <w:p>
      <w:pPr>
        <w:ind w:firstLine="0" w:firstLineChars="0"/>
        <w:rPr>
          <w:rFonts w:cs="Times New Roman"/>
        </w:rPr>
      </w:pPr>
      <w:r>
        <w:rPr>
          <w:rFonts w:cs="Times New Roman"/>
        </w:rPr>
        <w:drawing>
          <wp:inline distT="0" distB="0" distL="0" distR="0">
            <wp:extent cx="5274310" cy="2433955"/>
            <wp:effectExtent l="0" t="0" r="8890" b="4445"/>
            <wp:docPr id="23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53"/>
                    <pic:cNvPicPr>
                      <a:picLocks noChangeAspect="1" noChangeArrowheads="1"/>
                    </pic:cNvPicPr>
                  </pic:nvPicPr>
                  <pic:blipFill>
                    <a:blip r:embed="rId32"/>
                    <a:srcRect/>
                    <a:stretch>
                      <a:fillRect/>
                    </a:stretch>
                  </pic:blipFill>
                  <pic:spPr>
                    <a:xfrm>
                      <a:off x="0" y="0"/>
                      <a:ext cx="5274310" cy="2434530"/>
                    </a:xfrm>
                    <a:prstGeom prst="rect">
                      <a:avLst/>
                    </a:prstGeom>
                    <a:noFill/>
                    <a:ln w="9525">
                      <a:noFill/>
                      <a:miter lim="800000"/>
                      <a:headEnd/>
                      <a:tailEnd/>
                    </a:ln>
                  </pic:spPr>
                </pic:pic>
              </a:graphicData>
            </a:graphic>
          </wp:inline>
        </w:drawing>
      </w:r>
    </w:p>
    <w:p>
      <w:pPr>
        <w:ind w:firstLine="482"/>
        <w:jc w:val="center"/>
        <w:rPr>
          <w:rFonts w:cs="Times New Roman"/>
          <w:b/>
          <w:bCs/>
        </w:rPr>
      </w:pPr>
      <w:r>
        <w:rPr>
          <w:rFonts w:hAnsi="宋体" w:cs="Times New Roman"/>
          <w:b/>
          <w:bCs/>
        </w:rPr>
        <w:t>图</w:t>
      </w:r>
      <w:r>
        <w:rPr>
          <w:rFonts w:cs="Times New Roman"/>
          <w:b/>
          <w:bCs/>
        </w:rPr>
        <w:t>4.1</w:t>
      </w:r>
      <w:r>
        <w:rPr>
          <w:rFonts w:hint="eastAsia" w:cs="Times New Roman"/>
          <w:b/>
          <w:bCs/>
        </w:rPr>
        <w:t>-</w:t>
      </w:r>
      <w:r>
        <w:rPr>
          <w:rFonts w:cs="Times New Roman"/>
          <w:b/>
          <w:bCs/>
        </w:rPr>
        <w:t xml:space="preserve">2 </w:t>
      </w:r>
      <w:r>
        <w:rPr>
          <w:rFonts w:hAnsi="宋体" w:cs="Times New Roman"/>
          <w:b/>
          <w:bCs/>
        </w:rPr>
        <w:t>美国专利诉讼程序</w:t>
      </w:r>
    </w:p>
    <w:p>
      <w:pPr>
        <w:ind w:firstLine="482"/>
        <w:rPr>
          <w:rFonts w:hint="eastAsia" w:hAnsi="宋体" w:cs="Times New Roman"/>
          <w:b/>
          <w:bCs/>
        </w:rPr>
      </w:pPr>
      <w:r>
        <w:rPr>
          <w:rFonts w:hint="eastAsia" w:hAnsi="宋体" w:cs="Times New Roman"/>
          <w:b/>
          <w:bCs/>
        </w:rPr>
        <w:t>二、</w:t>
      </w:r>
      <w:r>
        <w:rPr>
          <w:rFonts w:hAnsi="宋体" w:cs="Times New Roman"/>
          <w:b/>
          <w:bCs/>
        </w:rPr>
        <w:t>美国专利诉讼的应对策略</w:t>
      </w:r>
    </w:p>
    <w:p>
      <w:pPr>
        <w:ind w:firstLine="480"/>
        <w:rPr>
          <w:rFonts w:cs="Times New Roman"/>
        </w:rPr>
      </w:pPr>
      <w:r>
        <w:rPr>
          <w:rFonts w:hAnsi="宋体" w:cs="Times New Roman"/>
        </w:rPr>
        <w:t>（</w:t>
      </w:r>
      <w:r>
        <w:rPr>
          <w:rFonts w:cs="Times New Roman"/>
        </w:rPr>
        <w:t>1</w:t>
      </w:r>
      <w:r>
        <w:rPr>
          <w:rFonts w:hAnsi="宋体" w:cs="Times New Roman"/>
        </w:rPr>
        <w:t>）重视警告信，评估侵权风险</w:t>
      </w:r>
    </w:p>
    <w:p>
      <w:pPr>
        <w:ind w:firstLine="480"/>
        <w:rPr>
          <w:rFonts w:cs="Times New Roman"/>
        </w:rPr>
      </w:pPr>
      <w:r>
        <w:rPr>
          <w:rFonts w:hAnsi="宋体" w:cs="Times New Roman"/>
        </w:rPr>
        <w:t>美国专利权人发出的警告信是诉讼风险的强烈信号，当收到警告信后，不能不理不睬。急于答复对方往往会在谈判中处于不利地位，但迟迟不答复，可能使企业面临因故意侵权处以</w:t>
      </w:r>
      <w:r>
        <w:rPr>
          <w:rFonts w:cs="Times New Roman"/>
        </w:rPr>
        <w:t>2~3</w:t>
      </w:r>
      <w:r>
        <w:rPr>
          <w:rFonts w:hAnsi="宋体" w:cs="Times New Roman"/>
        </w:rPr>
        <w:t>倍的惩罚性赔偿。对产品是否侵权及专利权是否有效做出分析评议；如需要，聘请具有技术背景和执业经验的美国专利律师出具法律意见书。</w:t>
      </w:r>
    </w:p>
    <w:p>
      <w:pPr>
        <w:ind w:firstLine="480"/>
        <w:rPr>
          <w:rFonts w:cs="Times New Roman"/>
        </w:rPr>
      </w:pPr>
      <w:r>
        <w:rPr>
          <w:rFonts w:hAnsi="宋体" w:cs="Times New Roman"/>
        </w:rPr>
        <w:t>（</w:t>
      </w:r>
      <w:r>
        <w:rPr>
          <w:rFonts w:cs="Times New Roman"/>
        </w:rPr>
        <w:t>2</w:t>
      </w:r>
      <w:r>
        <w:rPr>
          <w:rFonts w:hAnsi="宋体" w:cs="Times New Roman"/>
        </w:rPr>
        <w:t>）挑战专利权有效性</w:t>
      </w:r>
    </w:p>
    <w:p>
      <w:pPr>
        <w:ind w:firstLine="480"/>
        <w:rPr>
          <w:rFonts w:cs="Times New Roman"/>
        </w:rPr>
      </w:pPr>
      <w:r>
        <w:rPr>
          <w:rFonts w:hAnsi="宋体" w:cs="Times New Roman"/>
        </w:rPr>
        <w:t>在美国司法</w:t>
      </w:r>
      <w:r>
        <w:rPr>
          <w:rFonts w:cs="Times New Roman"/>
        </w:rPr>
        <w:t>/</w:t>
      </w:r>
      <w:r>
        <w:rPr>
          <w:rFonts w:hAnsi="宋体" w:cs="Times New Roman"/>
        </w:rPr>
        <w:t>行政体系，挑战专利权的有效性有两个途径：可以向美国专利商标局提起专利无效请求，也可以向法院提起诉讼。企业可结合现实情况、证据类型以及需求，选择合适的方式。</w:t>
      </w:r>
    </w:p>
    <w:p>
      <w:pPr>
        <w:ind w:firstLine="480"/>
        <w:rPr>
          <w:rFonts w:cs="Times New Roman"/>
        </w:rPr>
      </w:pPr>
      <w:r>
        <w:rPr>
          <w:rFonts w:hAnsi="宋体" w:cs="Times New Roman"/>
        </w:rPr>
        <w:t>（</w:t>
      </w:r>
      <w:r>
        <w:rPr>
          <w:rFonts w:cs="Times New Roman"/>
        </w:rPr>
        <w:t>3</w:t>
      </w:r>
      <w:r>
        <w:rPr>
          <w:rFonts w:hAnsi="宋体" w:cs="Times New Roman"/>
        </w:rPr>
        <w:t>）提交诉状及应答诉状</w:t>
      </w:r>
    </w:p>
    <w:p>
      <w:pPr>
        <w:ind w:firstLine="480"/>
        <w:rPr>
          <w:rFonts w:cs="Times New Roman"/>
        </w:rPr>
      </w:pPr>
      <w:r>
        <w:rPr>
          <w:rFonts w:hAnsi="宋体" w:cs="Times New Roman"/>
        </w:rPr>
        <w:t>在美国打专利侵权官司耗时耗钱，被告的企业可从成本利益和自身发展战略的角度综合考虑是否应诉。如果被告的企业决定应诉，可以选择和委托美国专业律师事务所，分析诉状，研究抗辩理由，考虑可以采取的应对措施，积极应诉。被告在应答诉状中可以考虑的抗辩理由主要包括：</w:t>
      </w:r>
      <w:r>
        <w:rPr>
          <w:rFonts w:cs="Times New Roman"/>
        </w:rPr>
        <w:t>1</w:t>
      </w:r>
      <w:r>
        <w:rPr>
          <w:rFonts w:hAnsi="宋体" w:cs="Times New Roman"/>
        </w:rPr>
        <w:t>）主张没有侵犯专利权，主要包括与专利客体不相同和提出专利权无效两个方面，</w:t>
      </w:r>
      <w:r>
        <w:rPr>
          <w:rFonts w:cs="Times New Roman"/>
        </w:rPr>
        <w:t>2</w:t>
      </w:r>
      <w:r>
        <w:rPr>
          <w:rFonts w:hAnsi="宋体" w:cs="Times New Roman"/>
        </w:rPr>
        <w:t>）不视为侵犯专利权的行为，以不承担侵权责任进行抗辩，包括：已得到专利权人授权，如专利权用尽、明示或默示许可等情况；在先使用（先用权）；科学试验目的的使用；超过损害赔偿主张时效；懈怠和禁止反悔的情形等；</w:t>
      </w:r>
      <w:r>
        <w:rPr>
          <w:rFonts w:cs="Times New Roman"/>
        </w:rPr>
        <w:t>3</w:t>
      </w:r>
      <w:r>
        <w:rPr>
          <w:rFonts w:hAnsi="宋体" w:cs="Times New Roman"/>
        </w:rPr>
        <w:t>）主张专利权不可实施，包括专利权的获取不公正以及专利权滥用和垄断等情况。</w:t>
      </w:r>
    </w:p>
    <w:p>
      <w:pPr>
        <w:ind w:firstLine="480"/>
        <w:rPr>
          <w:rFonts w:cs="Times New Roman"/>
        </w:rPr>
      </w:pPr>
      <w:r>
        <w:rPr>
          <w:rFonts w:hAnsi="宋体" w:cs="Times New Roman"/>
        </w:rPr>
        <w:t>（</w:t>
      </w:r>
      <w:r>
        <w:rPr>
          <w:rFonts w:cs="Times New Roman"/>
        </w:rPr>
        <w:t>4</w:t>
      </w:r>
      <w:r>
        <w:rPr>
          <w:rFonts w:hAnsi="宋体" w:cs="Times New Roman"/>
        </w:rPr>
        <w:t>）和解策略</w:t>
      </w:r>
    </w:p>
    <w:p>
      <w:pPr>
        <w:ind w:firstLine="480"/>
        <w:rPr>
          <w:rFonts w:hint="eastAsia" w:hAnsi="宋体" w:cs="Times New Roman"/>
        </w:rPr>
      </w:pPr>
      <w:r>
        <w:rPr>
          <w:rFonts w:hAnsi="宋体" w:cs="Times New Roman"/>
        </w:rPr>
        <w:t>企业在选择和解前，需要明确自己的商业目标，当和解条件能够实现商业目标时，可以考虑达成和解。企业需考虑的因素包括：分析产品是否侵权、专利权是否可能被无效，法院发出禁令的可能性，侵权赔偿额度，权利人的诉讼能力，诉讼成本，双方市场份额，可以制约对方的知识产权，是否拥有与对方相同产品线或互补性产品的技术，产品赢利性，有无第三方的侵权补偿义务，有无商业替代方案及技术替代方案，技术更新的可能性，权利人的商业目的或需求等。企业需要构建和解战略，确定可接受的许可使用费，制定谈判计划，选择谈判团队和地点。</w:t>
      </w:r>
    </w:p>
    <w:p>
      <w:pPr>
        <w:ind w:firstLine="562"/>
        <w:outlineLvl w:val="2"/>
        <w:rPr>
          <w:rFonts w:hint="eastAsia" w:ascii="黑体" w:hAnsi="黑体" w:eastAsia="黑体" w:cs="Helvetica"/>
          <w:b/>
          <w:color w:val="000000" w:themeColor="text1"/>
          <w:kern w:val="0"/>
          <w:sz w:val="28"/>
          <w:szCs w:val="28"/>
          <w14:textFill>
            <w14:solidFill>
              <w14:schemeClr w14:val="tx1"/>
            </w14:solidFill>
          </w14:textFill>
        </w:rPr>
      </w:pPr>
      <w:bookmarkStart w:id="50" w:name="_Toc121146308"/>
      <w:bookmarkStart w:id="51" w:name="_Toc21324"/>
      <w:r>
        <w:rPr>
          <w:rFonts w:ascii="黑体" w:hAnsi="黑体" w:eastAsia="黑体" w:cs="Helvetica"/>
          <w:b/>
          <w:color w:val="000000" w:themeColor="text1"/>
          <w:kern w:val="0"/>
          <w:sz w:val="28"/>
          <w:szCs w:val="28"/>
          <w14:textFill>
            <w14:solidFill>
              <w14:schemeClr w14:val="tx1"/>
            </w14:solidFill>
          </w14:textFill>
        </w:rPr>
        <w:t xml:space="preserve">4.1.4 </w:t>
      </w:r>
      <w:r>
        <w:rPr>
          <w:rFonts w:hint="eastAsia" w:ascii="黑体" w:hAnsi="黑体" w:eastAsia="黑体" w:cs="Helvetica"/>
          <w:b/>
          <w:color w:val="000000" w:themeColor="text1"/>
          <w:kern w:val="0"/>
          <w:sz w:val="28"/>
          <w:szCs w:val="28"/>
          <w14:textFill>
            <w14:solidFill>
              <w14:schemeClr w14:val="tx1"/>
            </w14:solidFill>
          </w14:textFill>
        </w:rPr>
        <w:t>美国侵权诉讼中的反诉及抗辩</w:t>
      </w:r>
      <w:bookmarkEnd w:id="50"/>
      <w:bookmarkEnd w:id="51"/>
    </w:p>
    <w:p>
      <w:pPr>
        <w:ind w:firstLine="480"/>
      </w:pPr>
      <w:r>
        <w:t>在受到专利侵权的指控时，被告也可以依据法律的规定，采取一系列的反诉或者抗辩手段，以证明自身的行为实质不侵权或者尽管侵权但可以不承担或者少承担法律责任。</w:t>
      </w:r>
    </w:p>
    <w:p>
      <w:pPr>
        <w:ind w:firstLine="482"/>
        <w:rPr>
          <w:b/>
          <w:bCs/>
        </w:rPr>
      </w:pPr>
      <w:r>
        <w:rPr>
          <w:rFonts w:asciiTheme="minorEastAsia" w:hAnsiTheme="minorEastAsia" w:eastAsiaTheme="minorEastAsia"/>
          <w:b/>
          <w:bCs/>
        </w:rPr>
        <w:t>1</w:t>
      </w:r>
      <w:r>
        <w:rPr>
          <w:rFonts w:hint="eastAsia" w:asciiTheme="minorEastAsia" w:hAnsiTheme="minorEastAsia" w:eastAsiaTheme="minorEastAsia"/>
          <w:b/>
          <w:bCs/>
        </w:rPr>
        <w:t>．</w:t>
      </w:r>
      <w:r>
        <w:rPr>
          <w:b/>
          <w:bCs/>
        </w:rPr>
        <w:t>反诉专利权无效</w:t>
      </w:r>
    </w:p>
    <w:p>
      <w:pPr>
        <w:ind w:firstLine="480"/>
      </w:pPr>
      <w:r>
        <w:t>专利权无效是指有关专利不符合新颖性、非显而易见性、实用性或者未能充分披露技术方案等法定要件，而导致专利权被判定为无效。根据美国的法律，美国专利商标局的专利授权只是初步假定专利为有效，而其最终的效力由法院来决定。在专利侵权诉讼中，反诉专利权人专利无效是最常见的未侵权抗辩手段。几乎所有的被告在面临侵权指控时首先考虑和提出的辩解就是专利权无效。</w:t>
      </w:r>
      <w:r>
        <w:br w:type="textWrapping"/>
      </w:r>
      <w:r>
        <w:t>在美国除了被指控侵权者之外，任何人都可以挑战专利权的有效性，但其中是否包括与专利权人签订许可协议的被许可人则是一个需要仔细讨论的问题。是否允许被许可人挑战专利权的效力，实际上涉及两种法律传统的冲突，即合同法上的不得反悔理论和专利法上不保护公有领域发明创造的传统。传统上，合同法上的禁止反悔原则曾经占据上风，专利的被许可人不得对有关专利权的效力提出挑战，尤其禁止为了逃避专利许可费而挑战专利权的有效性。但在著名的“利尔”案中，美国联邦最高法院以美国专利法不保护公有领域的发明这一基本原则为出发点，详细讨论了以两种不同的观点来判断是否允许被许可人挑战专利权有效性对专利制度以及市场竞争的影响，认为所有在公众中流传的思想观念应当由公众自由享有，如果不允许被许可人挑战专利权的效力，可能产生公众向可能的垄断者支付不必要的代价等不利于竞争的后果。</w:t>
      </w:r>
    </w:p>
    <w:p>
      <w:pPr>
        <w:ind w:firstLine="482"/>
        <w:rPr>
          <w:b/>
          <w:bCs/>
        </w:rPr>
      </w:pPr>
      <w:r>
        <w:rPr>
          <w:rFonts w:hint="eastAsia" w:asciiTheme="minorEastAsia" w:hAnsiTheme="minorEastAsia" w:eastAsiaTheme="minorEastAsia"/>
          <w:b/>
          <w:bCs/>
        </w:rPr>
        <w:t>2．</w:t>
      </w:r>
      <w:r>
        <w:rPr>
          <w:b/>
          <w:bCs/>
        </w:rPr>
        <w:t>反诉专利权不可实施</w:t>
      </w:r>
    </w:p>
    <w:p>
      <w:pPr>
        <w:ind w:firstLine="480"/>
      </w:pPr>
      <w:r>
        <w:t>专利权不可实施通常是由专利权人在获得专利授权时采取了不正当手段而导致的。专利权不可实施理论和实践由衡平法中的“不干净之手”发展而来。按照美国专利法的规定，在申请获得专利授权时，申请人应当向专利局如实提供有关申请案的新颖性、非显而易见性和实用性的信息，包括完全披露有关发明。如果申请人在专利审批过程中提供了虚假信息，尤其是在答复专利审查员的询问时提供了虚假的证明，则很可能在未来的诉讼中导致专利权不可实施。</w:t>
      </w:r>
    </w:p>
    <w:p>
      <w:pPr>
        <w:ind w:firstLine="480"/>
      </w:pPr>
      <w:r>
        <w:t>在侵权诉讼中，如果被告需要证明对方专利系不可实施，需要提供清楚而且具有说服力的证据，说明申请人确实在申请专利的过程中向专利审查员作出过误导性陈述或者隐瞒了某些重要信息。这些情况均会导致相关的专利不可实施。即使申请人的错误仅仅与专利权的一项权利要求相关，也会导致整个专利权的不可实施。而且，权利人在申请专利过程中在某一项专利申请上的不正当行为，有时甚至会导致与这项专利相关的其他专利的不可实施。</w:t>
      </w:r>
    </w:p>
    <w:p>
      <w:pPr>
        <w:ind w:firstLine="482"/>
        <w:rPr>
          <w:b/>
          <w:bCs/>
        </w:rPr>
      </w:pPr>
      <w:r>
        <w:rPr>
          <w:rFonts w:hint="eastAsia" w:asciiTheme="minorEastAsia" w:hAnsiTheme="minorEastAsia" w:eastAsiaTheme="minorEastAsia"/>
          <w:b/>
          <w:bCs/>
        </w:rPr>
        <w:t>3.</w:t>
      </w:r>
      <w:r>
        <w:rPr>
          <w:b/>
          <w:bCs/>
        </w:rPr>
        <w:t>反诉专利权人滥用专利权</w:t>
      </w:r>
    </w:p>
    <w:p>
      <w:pPr>
        <w:ind w:firstLine="480"/>
      </w:pPr>
      <w:r>
        <w:t>滥用专利权是指专利权人超出法律允许的范围利用专利权限制市场竞争的行为。传统上，竞争被认为既是经济人的本性也是资本主义自由经济的基石，同时也被认为是经济繁荣的重要保证。但过度竞争与垄断之间常常是一个问题的两个方面，自由放任竞争的结果往往导致垄断的产生。因此世界各国少有从正面鼓励、促进竞争的法律，而把对影响正常竞争的行为进行限制和控制作为维护竞争的主要途径。</w:t>
      </w:r>
    </w:p>
    <w:p>
      <w:pPr>
        <w:ind w:firstLine="480"/>
      </w:pPr>
      <w:r>
        <w:t>在美国滥用是被指控侵权者常用的抗辩手段之一，如果专利权人被裁定滥用专利权，则被告的侵权责任不但得以免除，而且专利权人可能会因为其滥用专利权的行为受到反垄断法的处罚。但由于专利保护涉及促进创新、为社会公众提供更高水平的福利等价值目标，其与反垄断的政策目标和价值取向之间的平衡，常常根据经济形式和市场竞争状态的发展而不断地进行修正。这一点在美国专利法的修订过程中能够鲜明地体现出来。1952年美国大幅修订美国专利法时增加了第271条d款，规定了3种不属于滥用专利权的行为，1988年再次重修美国专利法时，增加了2种不属于滥用专利权的行为。</w:t>
      </w:r>
    </w:p>
    <w:p>
      <w:pPr>
        <w:ind w:firstLine="480"/>
      </w:pPr>
      <w:r>
        <w:t>在美国司法实践中，专利侵权诉讼中的专利权滥用与非滥用，主要是就搭售与发明专利有关的，而又不为专利权所覆盖的产品而言。专利权的滥用多与帮助侵权有关。当法律允许专利权人以搭售的方式行使自己的权利时，他人如果销售专用于实施专利的设备、零部件时即构成帮助侵权，即使该设备、零部件并非专利权保护范围所覆盖；当法律不允许专利权人以搭售的方式行使专利权时，他人销售相关设备很难构成帮助侵权。</w:t>
      </w:r>
    </w:p>
    <w:p>
      <w:pPr>
        <w:ind w:firstLine="482"/>
        <w:rPr>
          <w:b/>
          <w:bCs/>
        </w:rPr>
      </w:pPr>
      <w:r>
        <w:rPr>
          <w:rFonts w:asciiTheme="minorEastAsia" w:hAnsiTheme="minorEastAsia" w:eastAsiaTheme="minorEastAsia"/>
          <w:b/>
          <w:bCs/>
        </w:rPr>
        <w:t>4</w:t>
      </w:r>
      <w:r>
        <w:rPr>
          <w:rFonts w:hint="eastAsia" w:asciiTheme="minorEastAsia" w:hAnsiTheme="minorEastAsia" w:eastAsiaTheme="minorEastAsia"/>
          <w:b/>
          <w:bCs/>
        </w:rPr>
        <w:t>．</w:t>
      </w:r>
      <w:r>
        <w:rPr>
          <w:b/>
          <w:bCs/>
        </w:rPr>
        <w:t>权利用尽的抗辩</w:t>
      </w:r>
    </w:p>
    <w:p>
      <w:pPr>
        <w:ind w:firstLine="480"/>
      </w:pPr>
      <w:r>
        <w:t>权利用尽是指如果专利权人不对专利产品进行限制且将专利产品自行销售或者授权他人销售至市场，则购买人得对产品进行使用或者予以再次销售。购买人的使用或者销售行为不构成对专利的侵权。然而，尽管产品是由专利权人自行销售或者授权销售，通过在专利产品的首次销售契约上所记载的排他性文字也可以对其进行限制。</w:t>
      </w:r>
    </w:p>
    <w:p>
      <w:pPr>
        <w:ind w:firstLine="480"/>
      </w:pPr>
      <w:r>
        <w:t>由销售导致的权利用尽也有例外情况。进口者从专利权人以外的销售者手中于外国购入专利产品，将其于国内进行销售的行为构成侵权。这种自国外合法销售商手中获得专利产品并进口到美国的行为被称为“平行进口”。美国专利法第271条a款和第271条g款将这种平行进口认定为作为侵权行为，但是需要专利权人明确保留该专利权。专利权人可以在销售许可协议中设定地域限制而实现前述所谓权利保留。</w:t>
      </w:r>
    </w:p>
    <w:p>
      <w:pPr>
        <w:ind w:firstLine="482"/>
        <w:rPr>
          <w:b/>
          <w:bCs/>
        </w:rPr>
      </w:pPr>
      <w:r>
        <w:rPr>
          <w:rFonts w:asciiTheme="minorEastAsia" w:hAnsiTheme="minorEastAsia" w:eastAsiaTheme="minorEastAsia"/>
          <w:b/>
          <w:bCs/>
        </w:rPr>
        <w:t>5</w:t>
      </w:r>
      <w:r>
        <w:rPr>
          <w:rFonts w:hint="eastAsia" w:asciiTheme="minorEastAsia" w:hAnsiTheme="minorEastAsia" w:eastAsiaTheme="minorEastAsia"/>
          <w:b/>
          <w:bCs/>
        </w:rPr>
        <w:t>．</w:t>
      </w:r>
      <w:r>
        <w:rPr>
          <w:b/>
          <w:bCs/>
        </w:rPr>
        <w:t>实施许可或者默示实施许可</w:t>
      </w:r>
    </w:p>
    <w:p>
      <w:pPr>
        <w:ind w:firstLine="480"/>
      </w:pPr>
      <w:r>
        <w:t>实施许可是被指控侵权者的一项积极的抗辩形式。如果获得了明确的实施许可，专利权人即应受此约束，被许可人有在协议范围内使用专利权利的自由。实施许可通常通过明示的协议而成立，但也存在默示的情况。</w:t>
      </w:r>
    </w:p>
    <w:p>
      <w:pPr>
        <w:ind w:firstLine="480"/>
      </w:pPr>
      <w:r>
        <w:t>默示实施许诺也是对专利侵权的抗辩。默示实施许诺意味着专利权人放弃了排他权。被指控侵权人具有证明存在默认实施许诺的责任。默示实施许诺通常可以通过默认、行为、基于平衡法或者法定禁止反悔原则而形成。根据美国判例法，由禁止反悔原则而形成的默示实施许诺通常需要满足的条件为专利权人的某种行为使得被指控侵权者产生了专利权人放弃权利或者默示许可其行使侵权行为的误解，并且被指控侵权人对这种误解有着较高程度的信赖。这种行为包括，权利人在得知被指控侵权者销售专利产品但并没有采取维护自身权益的行为等。</w:t>
      </w:r>
    </w:p>
    <w:p>
      <w:pPr>
        <w:ind w:firstLine="482"/>
        <w:rPr>
          <w:b/>
          <w:bCs/>
        </w:rPr>
      </w:pPr>
      <w:r>
        <w:rPr>
          <w:rFonts w:asciiTheme="minorEastAsia" w:hAnsiTheme="minorEastAsia" w:eastAsiaTheme="minorEastAsia"/>
          <w:b/>
          <w:bCs/>
        </w:rPr>
        <w:t>6</w:t>
      </w:r>
      <w:r>
        <w:rPr>
          <w:rFonts w:hint="eastAsia" w:asciiTheme="minorEastAsia" w:hAnsiTheme="minorEastAsia" w:eastAsiaTheme="minorEastAsia"/>
          <w:b/>
          <w:bCs/>
        </w:rPr>
        <w:t>．</w:t>
      </w:r>
      <w:r>
        <w:rPr>
          <w:b/>
          <w:bCs/>
        </w:rPr>
        <w:t>研究实验目的的抗辩和bolar例外</w:t>
      </w:r>
    </w:p>
    <w:p>
      <w:pPr>
        <w:ind w:firstLine="480"/>
      </w:pPr>
      <w:r>
        <w:t>研究实验的抗辩是指为了科学研究和满足个人兴趣而使用他人专利，此类行为不构成专利侵权。在美国法上，为研究实验而使用是一个非常狭窄的概念，仅仅针对科学研究和满足个人兴趣。如果被告是为了商业目的而使用，包括为了开发新产品或作出新发明而使用，即不属于为研究实验的目的。即使被指控侵权者为个人方便而使用专利技术，也不属于为研究实验目的使用。</w:t>
      </w:r>
    </w:p>
    <w:p>
      <w:pPr>
        <w:ind w:firstLine="480"/>
      </w:pPr>
      <w:r>
        <w:t>Bolar例外来源于医药的专利保护领域。在美国，药品的上市需要获得美国联邦食品与药品管理局的批准，为获得这种批准，申请人需要提交大量的实验报告。在专利药品即将过期之前，即有仿制药品生产厂商开始对该药品进行实验，并提交实验报告等待食品与药品管理局的审批。如果此时以专利侵权为由禁止仿制药品生产厂商对专利药品进行以商业目的的实验，即有可能导致实质上延长专利药品的20年保护期。因此，1998年美国修订专利法时，在第271条e款中规定，为了向联邦有关机构提供信息而使用专利药品不构成侵权。</w:t>
      </w:r>
    </w:p>
    <w:p>
      <w:pPr>
        <w:ind w:firstLine="482"/>
        <w:rPr>
          <w:b/>
          <w:bCs/>
        </w:rPr>
      </w:pPr>
      <w:r>
        <w:rPr>
          <w:rFonts w:asciiTheme="minorEastAsia" w:hAnsiTheme="minorEastAsia" w:eastAsiaTheme="minorEastAsia"/>
          <w:b/>
          <w:bCs/>
        </w:rPr>
        <w:t>7</w:t>
      </w:r>
      <w:r>
        <w:rPr>
          <w:rFonts w:hint="eastAsia" w:asciiTheme="minorEastAsia" w:hAnsiTheme="minorEastAsia" w:eastAsiaTheme="minorEastAsia"/>
          <w:b/>
          <w:bCs/>
        </w:rPr>
        <w:t>．</w:t>
      </w:r>
      <w:r>
        <w:rPr>
          <w:b/>
          <w:bCs/>
        </w:rPr>
        <w:t>在先使用的抗辩</w:t>
      </w:r>
    </w:p>
    <w:p>
      <w:pPr>
        <w:ind w:firstLine="480"/>
      </w:pPr>
      <w:r>
        <w:t>美国是先发明制国家，本不存在先申请制国家中所谓先用权问题。但是为了协调商业秘密保护和专利保护制度之间的关系，美国仍然允许以在先使用为条件对专利侵权的指控进行抗辩。根据美国专利法的规定，如果在专利有效申请日至少1年之前，被指控侵权人以诚实的行为自己发明了相关技术方案或者以其他合法方式获得了处于保密状态的技术方案，并且在专利的生效日之前对专利权利要求所述的技术方案进行使用，则不负有侵权的责任。</w:t>
      </w:r>
    </w:p>
    <w:p>
      <w:pPr>
        <w:ind w:firstLine="562"/>
        <w:outlineLvl w:val="1"/>
      </w:pPr>
      <w:bookmarkStart w:id="52" w:name="_Toc11466"/>
      <w:bookmarkStart w:id="53" w:name="_Toc10118"/>
      <w:r>
        <w:rPr>
          <w:rFonts w:ascii="黑体" w:hAnsi="黑体" w:eastAsia="黑体"/>
          <w:b/>
          <w:bCs/>
          <w:sz w:val="28"/>
          <w:szCs w:val="28"/>
        </w:rPr>
        <w:t>4</w:t>
      </w:r>
      <w:r>
        <w:rPr>
          <w:rFonts w:hint="eastAsia" w:ascii="黑体" w:hAnsi="黑体" w:eastAsia="黑体"/>
          <w:b/>
          <w:bCs/>
          <w:sz w:val="28"/>
          <w:szCs w:val="28"/>
        </w:rPr>
        <w:t>.2</w:t>
      </w:r>
      <w:r>
        <w:rPr>
          <w:rFonts w:ascii="黑体" w:hAnsi="黑体" w:eastAsia="黑体"/>
          <w:b/>
          <w:bCs/>
          <w:sz w:val="28"/>
          <w:szCs w:val="28"/>
        </w:rPr>
        <w:t xml:space="preserve"> </w:t>
      </w:r>
      <w:r>
        <w:rPr>
          <w:rFonts w:hint="eastAsia" w:ascii="黑体" w:hAnsi="黑体" w:eastAsia="黑体"/>
          <w:b/>
          <w:bCs/>
          <w:sz w:val="28"/>
          <w:szCs w:val="28"/>
        </w:rPr>
        <w:t>日本</w:t>
      </w:r>
      <w:bookmarkEnd w:id="52"/>
      <w:r>
        <w:rPr>
          <w:rFonts w:hint="eastAsia" w:ascii="黑体" w:hAnsi="黑体" w:eastAsia="黑体"/>
          <w:b/>
          <w:bCs/>
          <w:sz w:val="28"/>
          <w:szCs w:val="28"/>
        </w:rPr>
        <w:t>知识产权风险防控分析</w:t>
      </w:r>
      <w:bookmarkEnd w:id="53"/>
    </w:p>
    <w:p>
      <w:pPr>
        <w:ind w:firstLine="562"/>
        <w:outlineLvl w:val="2"/>
        <w:rPr>
          <w:rFonts w:hint="eastAsia" w:ascii="黑体" w:hAnsi="黑体" w:eastAsia="黑体" w:cs="Helvetica"/>
          <w:b/>
          <w:color w:val="000000" w:themeColor="text1"/>
          <w:kern w:val="0"/>
          <w:sz w:val="28"/>
          <w:szCs w:val="28"/>
          <w14:textFill>
            <w14:solidFill>
              <w14:schemeClr w14:val="tx1"/>
            </w14:solidFill>
          </w14:textFill>
        </w:rPr>
      </w:pPr>
      <w:bookmarkStart w:id="54" w:name="_Toc7543"/>
      <w:bookmarkStart w:id="55" w:name="_Toc121146322"/>
      <w:r>
        <w:rPr>
          <w:rFonts w:ascii="黑体" w:hAnsi="黑体" w:eastAsia="黑体" w:cs="Helvetica"/>
          <w:b/>
          <w:color w:val="000000" w:themeColor="text1"/>
          <w:kern w:val="0"/>
          <w:sz w:val="28"/>
          <w:szCs w:val="28"/>
          <w14:textFill>
            <w14:solidFill>
              <w14:schemeClr w14:val="tx1"/>
            </w14:solidFill>
          </w14:textFill>
        </w:rPr>
        <w:t xml:space="preserve">4.2.1 </w:t>
      </w:r>
      <w:r>
        <w:rPr>
          <w:rFonts w:hint="eastAsia" w:ascii="黑体" w:hAnsi="黑体" w:eastAsia="黑体" w:cs="Helvetica"/>
          <w:b/>
          <w:color w:val="000000" w:themeColor="text1"/>
          <w:kern w:val="0"/>
          <w:sz w:val="28"/>
          <w:szCs w:val="28"/>
          <w14:textFill>
            <w14:solidFill>
              <w14:schemeClr w14:val="tx1"/>
            </w14:solidFill>
          </w14:textFill>
        </w:rPr>
        <w:t>日本专利侵权行为</w:t>
      </w:r>
      <w:bookmarkEnd w:id="54"/>
      <w:bookmarkEnd w:id="55"/>
    </w:p>
    <w:p>
      <w:pPr>
        <w:ind w:firstLine="482"/>
        <w:rPr>
          <w:b/>
          <w:bCs/>
        </w:rPr>
      </w:pPr>
      <w:bookmarkStart w:id="56" w:name="_Toc121146323"/>
      <w:r>
        <w:rPr>
          <w:rFonts w:hint="eastAsia"/>
          <w:b/>
          <w:bCs/>
        </w:rPr>
        <w:t>一、专利侵权的定义</w:t>
      </w:r>
      <w:bookmarkEnd w:id="56"/>
    </w:p>
    <w:p>
      <w:pPr>
        <w:ind w:firstLine="480"/>
      </w:pPr>
      <w:r>
        <w:t>专利侵权，又称侵害专利权，是指行为人未经专利权人许可又无法律依据，以营利为目的，针对专利权人依法受保护的专利在保护期内所享有的人身权或财产权的侵害行为。日本专利法第101条规定下述行为，视为侵害专利权或专用实施权的行为</w:t>
      </w:r>
      <w:r>
        <w:rPr>
          <w:rFonts w:hint="eastAsia" w:ascii="宋体" w:hAnsi="宋体" w:cs="宋体"/>
        </w:rPr>
        <w:t>∶</w:t>
      </w:r>
      <w:r>
        <w:t>一是针对专利产品，以生产经营为目的，制造、使用、许诺销售、销售、进口专利产品的行为；二是针对专利方法，以生产经营为目的，使用专利方法及使用、许诺销售、销售、进口依照该方法直接获得的产品的行为。</w:t>
      </w:r>
    </w:p>
    <w:p>
      <w:pPr>
        <w:ind w:firstLine="482"/>
        <w:rPr>
          <w:b/>
          <w:bCs/>
        </w:rPr>
      </w:pPr>
      <w:bookmarkStart w:id="57" w:name="_Toc121146324"/>
      <w:r>
        <w:rPr>
          <w:rFonts w:hint="eastAsia"/>
          <w:b/>
          <w:bCs/>
        </w:rPr>
        <w:t>二、专利侵权行为</w:t>
      </w:r>
      <w:bookmarkEnd w:id="57"/>
    </w:p>
    <w:p>
      <w:pPr>
        <w:ind w:firstLine="480"/>
      </w:pPr>
      <w:r>
        <w:t>专利侵权行为分为直接侵权行为和间接侵权行为两类。</w:t>
      </w:r>
    </w:p>
    <w:p>
      <w:pPr>
        <w:ind w:firstLine="482"/>
        <w:rPr>
          <w:b/>
          <w:bCs/>
        </w:rPr>
      </w:pPr>
      <w:r>
        <w:rPr>
          <w:rFonts w:hint="eastAsia"/>
          <w:b/>
          <w:bCs/>
        </w:rPr>
        <w:t>（一）</w:t>
      </w:r>
      <w:r>
        <w:rPr>
          <w:b/>
          <w:bCs/>
        </w:rPr>
        <w:t>直接侵权行为</w:t>
      </w:r>
    </w:p>
    <w:p>
      <w:pPr>
        <w:ind w:firstLine="480"/>
      </w:pPr>
      <w:r>
        <w:t>直接侵权行为是指直接由行为人实施的侵犯他人专利权的行为，其表现形式包括</w:t>
      </w:r>
      <w:r>
        <w:rPr>
          <w:rFonts w:hint="eastAsia" w:ascii="宋体" w:hAnsi="宋体" w:cs="宋体"/>
        </w:rPr>
        <w:t>∶</w:t>
      </w:r>
    </w:p>
    <w:p>
      <w:pPr>
        <w:ind w:firstLine="480"/>
      </w:pPr>
      <w:r>
        <w:t>（1）制造专利产品的行为。专利产品是指专利权人在权利要求书中描述的产品。无论制造者是否知道是专利产品，也不论是用什么方法制造的，只要未经专利权人许可，以营利目的制造，就构成侵权行为。</w:t>
      </w:r>
    </w:p>
    <w:p>
      <w:pPr>
        <w:ind w:firstLine="480"/>
        <w:rPr>
          <w:rFonts w:hint="eastAsia" w:cs="楷体" w:asciiTheme="minorEastAsia" w:hAnsiTheme="minorEastAsia" w:eastAsiaTheme="minorEastAsia"/>
        </w:rPr>
      </w:pPr>
      <w:r>
        <w:t>（2）使用专利产品的行为。此种行为在主观上必须有故意的过错才能成立。故意，是指使用人明知产品是未经专利权人许可而制造的，仍购买使用的。</w:t>
      </w:r>
    </w:p>
    <w:p>
      <w:pPr>
        <w:ind w:firstLine="480"/>
      </w:pPr>
      <w:r>
        <w:t>（3）许诺销售专利产品的行为。</w:t>
      </w:r>
    </w:p>
    <w:p>
      <w:pPr>
        <w:ind w:firstLine="480"/>
      </w:pPr>
      <w:r>
        <w:t>（4）销售专利产品的行为。和使用专利产品的行为一样，此行为由主观故意而构成，即明知属于侵权产品仍予以销售。</w:t>
      </w:r>
    </w:p>
    <w:p>
      <w:pPr>
        <w:ind w:firstLine="480"/>
      </w:pPr>
      <w:r>
        <w:t>（5）进口专利产品的行为。进口专利产品或进口依照专利方法直接获得的产品。</w:t>
      </w:r>
    </w:p>
    <w:p>
      <w:pPr>
        <w:ind w:firstLine="480"/>
      </w:pPr>
      <w:r>
        <w:t>（6）使用专利方法以及使用、许诺销售、销售、进口依照该专利方法直接获得的产品的行为。</w:t>
      </w:r>
    </w:p>
    <w:p>
      <w:pPr>
        <w:ind w:firstLine="480"/>
      </w:pPr>
      <w:r>
        <w:t>（7）假冒他人专利的行为。此种行为是指非专利权人未经专利权人许可，在产品或产品包装上标示专利权人的专利标志或专利号，仿冒专利权人的专利产品。</w:t>
      </w:r>
    </w:p>
    <w:p>
      <w:pPr>
        <w:ind w:firstLine="480"/>
      </w:pPr>
      <w:r>
        <w:t>为生产经营目的使用或者销售不知道是未经专利权人许可而制造并售出的专利产品或者依照专利方法直接获得的产品，能证明其产品合法来源的，仍然属于侵犯专利权的行为，需要停止侵害但不承担赔偿责任。</w:t>
      </w:r>
    </w:p>
    <w:p>
      <w:pPr>
        <w:ind w:firstLine="482"/>
      </w:pPr>
      <w:r>
        <w:rPr>
          <w:rFonts w:hint="eastAsia"/>
          <w:b/>
          <w:bCs/>
        </w:rPr>
        <w:t>（二）</w:t>
      </w:r>
      <w:r>
        <w:rPr>
          <w:b/>
          <w:bCs/>
        </w:rPr>
        <w:t>间接侵权行为</w:t>
      </w:r>
    </w:p>
    <w:p>
      <w:pPr>
        <w:ind w:firstLine="480"/>
      </w:pPr>
      <w:r>
        <w:t>根据日本专利法第102条的规定，为侵权做准备或者帮助侵权且诱发直接侵权的概率非常高的行为也被视为侵害专利权或专用实施权的行为，这就是所谓的间接侵权。间接侵权行为是指行为人本身的行为并不直接构成对专利权的侵害，但实施了诱导、怂恿、教唆、帮助他人侵害专利权的行为。间接侵权行为表现在</w:t>
      </w:r>
      <w:r>
        <w:rPr>
          <w:rFonts w:hint="eastAsia" w:ascii="宋体" w:hAnsi="宋体" w:cs="宋体"/>
        </w:rPr>
        <w:t>∶</w:t>
      </w:r>
      <w:r>
        <w:t>出售专利产品或者用于使用专利方法的设备的主要零件；提供实施专利方法的条件的行为；制造出售只能生产专利产品或者实施专利方法的设备的行为；修理和改造行为等。</w:t>
      </w:r>
    </w:p>
    <w:p>
      <w:pPr>
        <w:ind w:firstLine="482"/>
        <w:rPr>
          <w:rFonts w:hint="eastAsia" w:asciiTheme="majorEastAsia" w:hAnsiTheme="majorEastAsia" w:eastAsiaTheme="majorEastAsia"/>
          <w:b/>
          <w:bCs/>
        </w:rPr>
      </w:pPr>
      <w:bookmarkStart w:id="58" w:name="_Toc121146325"/>
      <w:r>
        <w:rPr>
          <w:rFonts w:hint="eastAsia" w:asciiTheme="majorEastAsia" w:hAnsiTheme="majorEastAsia" w:eastAsiaTheme="majorEastAsia"/>
          <w:b/>
          <w:bCs/>
        </w:rPr>
        <w:t>三、专利侵权的例外</w:t>
      </w:r>
      <w:bookmarkEnd w:id="58"/>
    </w:p>
    <w:p>
      <w:pPr>
        <w:ind w:firstLine="482"/>
        <w:rPr>
          <w:rFonts w:hint="eastAsia" w:asciiTheme="minorEastAsia" w:hAnsiTheme="minorEastAsia" w:eastAsiaTheme="minorEastAsia"/>
        </w:rPr>
      </w:pPr>
      <w:r>
        <w:rPr>
          <w:rFonts w:hint="eastAsia" w:asciiTheme="majorEastAsia" w:hAnsiTheme="majorEastAsia" w:eastAsiaTheme="majorEastAsia"/>
          <w:b/>
          <w:bCs/>
        </w:rPr>
        <w:t>1</w:t>
      </w:r>
      <w:r>
        <w:rPr>
          <w:rFonts w:asciiTheme="majorEastAsia" w:hAnsiTheme="majorEastAsia" w:eastAsiaTheme="majorEastAsia"/>
          <w:b/>
          <w:bCs/>
        </w:rPr>
        <w:t>.专利权</w:t>
      </w:r>
      <w:r>
        <w:rPr>
          <w:rFonts w:asciiTheme="minorEastAsia" w:hAnsiTheme="minorEastAsia" w:eastAsiaTheme="minorEastAsia"/>
          <w:b/>
          <w:bCs/>
        </w:rPr>
        <w:t>的用尽</w:t>
      </w:r>
    </w:p>
    <w:p>
      <w:pPr>
        <w:ind w:firstLine="480"/>
      </w:pPr>
      <w:r>
        <w:t>专利权人自己或许可他人制造的专利产品被合法投入市场后，任何人对该产品进行使用或销售，不再需要经过专利权人的许可，不构成侵犯专利权。</w:t>
      </w:r>
    </w:p>
    <w:p>
      <w:pPr>
        <w:ind w:firstLine="480"/>
      </w:pPr>
      <w:r>
        <w:t>专利权用尽有很多种方式，平行进口中的专利权问题属于其中一种，日本对于平行进口中的权利问题争议颇多。</w:t>
      </w:r>
    </w:p>
    <w:p>
      <w:pPr>
        <w:ind w:firstLine="482"/>
        <w:rPr>
          <w:rFonts w:hint="eastAsia" w:asciiTheme="minorEastAsia" w:hAnsiTheme="minorEastAsia" w:eastAsiaTheme="minorEastAsia"/>
          <w:b/>
          <w:bCs/>
        </w:rPr>
      </w:pPr>
      <w:r>
        <w:rPr>
          <w:rFonts w:asciiTheme="majorEastAsia" w:hAnsiTheme="majorEastAsia" w:eastAsiaTheme="majorEastAsia"/>
          <w:b/>
          <w:bCs/>
        </w:rPr>
        <w:t>2</w:t>
      </w:r>
      <w:r>
        <w:rPr>
          <w:rFonts w:hint="eastAsia" w:asciiTheme="majorEastAsia" w:hAnsiTheme="majorEastAsia" w:eastAsiaTheme="majorEastAsia"/>
          <w:b/>
          <w:bCs/>
        </w:rPr>
        <w:t>．</w:t>
      </w:r>
      <w:r>
        <w:rPr>
          <w:rFonts w:asciiTheme="majorEastAsia" w:hAnsiTheme="majorEastAsia" w:eastAsiaTheme="majorEastAsia"/>
          <w:b/>
          <w:bCs/>
        </w:rPr>
        <w:t>善意实施</w:t>
      </w:r>
      <w:r>
        <w:rPr>
          <w:rFonts w:asciiTheme="minorEastAsia" w:hAnsiTheme="minorEastAsia" w:eastAsiaTheme="minorEastAsia"/>
          <w:b/>
          <w:bCs/>
        </w:rPr>
        <w:t>行为</w:t>
      </w:r>
    </w:p>
    <w:p>
      <w:pPr>
        <w:ind w:firstLine="480"/>
      </w:pPr>
      <w:r>
        <w:t>日本专利法第69条规定，专利权的效力不适用于为试验或研究而实施的专利发明。所以为科学研究和实验目的，使用专利产品或专利方法的，属于善意使用行为，不构成侵权。该条第2款在规定在专利申请时，在日本国内已存在的物品为专利产品或是专利方法制造的产品，其专利权的效力不适用。</w:t>
      </w:r>
    </w:p>
    <w:p>
      <w:pPr>
        <w:ind w:firstLine="480"/>
      </w:pPr>
      <w:r>
        <w:t>根据日本专利法第79条的规定，行为人因不知属于他人已申请专利的发明内容而完成自己的发明，以及同样不知他人拟申请专利的发明内容，而从该发明人处了解到的情况下提出自己的专利申请时</w:t>
      </w:r>
      <w:r>
        <w:rPr>
          <w:rFonts w:hint="eastAsia"/>
        </w:rPr>
        <w:t>[</w:t>
      </w:r>
      <w:r>
        <w:t>根据日本专利法第44条及第53条第（4）项的规定</w:t>
      </w:r>
      <w:r>
        <w:rPr>
          <w:rFonts w:hint="eastAsia"/>
        </w:rPr>
        <w:t>]</w:t>
      </w:r>
      <w:r>
        <w:t>，实际已经在日本国内实施该发明的生产项目和准备完成该项目行为，并且该行为的实施在原有范围内，不视为对专利权的侵犯。故在专利申请日以前已经制造相同产品、使用相同方法或已经做好制造、使用的必要准备，并且在原有范围内继续制造、使用的，不视为侵犯专利权。</w:t>
      </w:r>
    </w:p>
    <w:p>
      <w:pPr>
        <w:ind w:firstLine="482"/>
        <w:rPr>
          <w:rFonts w:hint="eastAsia" w:asciiTheme="majorEastAsia" w:hAnsiTheme="majorEastAsia" w:eastAsiaTheme="majorEastAsia"/>
          <w:b/>
          <w:bCs/>
        </w:rPr>
      </w:pPr>
      <w:r>
        <w:rPr>
          <w:rFonts w:asciiTheme="majorEastAsia" w:hAnsiTheme="majorEastAsia" w:eastAsiaTheme="majorEastAsia"/>
          <w:b/>
          <w:bCs/>
        </w:rPr>
        <w:t>3</w:t>
      </w:r>
      <w:r>
        <w:rPr>
          <w:rFonts w:hint="eastAsia" w:asciiTheme="majorEastAsia" w:hAnsiTheme="majorEastAsia" w:eastAsiaTheme="majorEastAsia"/>
          <w:b/>
          <w:bCs/>
        </w:rPr>
        <w:t>．</w:t>
      </w:r>
      <w:r>
        <w:rPr>
          <w:rFonts w:asciiTheme="majorEastAsia" w:hAnsiTheme="majorEastAsia" w:eastAsiaTheme="majorEastAsia"/>
          <w:b/>
          <w:bCs/>
        </w:rPr>
        <w:t>临时过境</w:t>
      </w:r>
    </w:p>
    <w:p>
      <w:pPr>
        <w:ind w:firstLine="480"/>
      </w:pPr>
      <w:r>
        <w:t>日本专利法第69条第2款规定，专利权的效力不适用于仅在日本过境的船舶或飞机，或供其使用的机械、器具、装置及其他物品。所以临时通过日本国领域、领水或领空的外国运输工具，依照其所属国同日本签订的协议或共同参加的国际条约，或依照互惠原则，为其自身需要而使用在日本享有专利权的机械装置和零部件的，无须得到专利权人的许可，不构成侵权。</w:t>
      </w:r>
    </w:p>
    <w:p>
      <w:pPr>
        <w:ind w:firstLine="482"/>
        <w:rPr>
          <w:rFonts w:hint="eastAsia" w:asciiTheme="majorEastAsia" w:hAnsiTheme="majorEastAsia" w:eastAsiaTheme="majorEastAsia"/>
          <w:b/>
          <w:bCs/>
        </w:rPr>
      </w:pPr>
      <w:r>
        <w:rPr>
          <w:rFonts w:asciiTheme="majorEastAsia" w:hAnsiTheme="majorEastAsia" w:eastAsiaTheme="majorEastAsia"/>
          <w:b/>
          <w:bCs/>
        </w:rPr>
        <w:t>4</w:t>
      </w:r>
      <w:r>
        <w:rPr>
          <w:rFonts w:hint="eastAsia" w:asciiTheme="majorEastAsia" w:hAnsiTheme="majorEastAsia" w:eastAsiaTheme="majorEastAsia"/>
          <w:b/>
          <w:bCs/>
        </w:rPr>
        <w:t>．</w:t>
      </w:r>
      <w:r>
        <w:rPr>
          <w:rFonts w:asciiTheme="majorEastAsia" w:hAnsiTheme="majorEastAsia" w:eastAsiaTheme="majorEastAsia"/>
          <w:b/>
          <w:bCs/>
        </w:rPr>
        <w:t>特别实施</w:t>
      </w:r>
    </w:p>
    <w:p>
      <w:pPr>
        <w:ind w:firstLine="480"/>
      </w:pPr>
      <w:r>
        <w:t>日本专利法第93条规定，为了公众利益而实施的专利行为，属于专利不侵权行为。但该专利的实施是有前提条件的，首先是专利实施行为确系公众利益的需要，其次是专利发明的拟实施者，必须与专利权所有人或独占实施权所有人达成一致协议，如果协议不成则通过通商产业大臣裁决。</w:t>
      </w:r>
    </w:p>
    <w:p>
      <w:pPr>
        <w:ind w:firstLine="562"/>
        <w:outlineLvl w:val="2"/>
        <w:rPr>
          <w:rFonts w:hint="eastAsia" w:ascii="黑体" w:hAnsi="黑体" w:eastAsia="黑体" w:cs="Helvetica"/>
          <w:b/>
          <w:color w:val="000000" w:themeColor="text1"/>
          <w:kern w:val="0"/>
          <w:sz w:val="28"/>
          <w:szCs w:val="28"/>
          <w14:textFill>
            <w14:solidFill>
              <w14:schemeClr w14:val="tx1"/>
            </w14:solidFill>
          </w14:textFill>
        </w:rPr>
      </w:pPr>
      <w:bookmarkStart w:id="59" w:name="_Toc121146326"/>
      <w:bookmarkStart w:id="60" w:name="_Toc26869"/>
      <w:r>
        <w:rPr>
          <w:rFonts w:ascii="黑体" w:hAnsi="黑体" w:eastAsia="黑体" w:cs="Helvetica"/>
          <w:b/>
          <w:color w:val="000000" w:themeColor="text1"/>
          <w:kern w:val="0"/>
          <w:sz w:val="28"/>
          <w:szCs w:val="28"/>
          <w14:textFill>
            <w14:solidFill>
              <w14:schemeClr w14:val="tx1"/>
            </w14:solidFill>
          </w14:textFill>
        </w:rPr>
        <w:t xml:space="preserve">4.2.2 </w:t>
      </w:r>
      <w:r>
        <w:rPr>
          <w:rFonts w:hint="eastAsia" w:ascii="黑体" w:hAnsi="黑体" w:eastAsia="黑体" w:cs="Helvetica"/>
          <w:b/>
          <w:color w:val="000000" w:themeColor="text1"/>
          <w:kern w:val="0"/>
          <w:sz w:val="28"/>
          <w:szCs w:val="28"/>
          <w14:textFill>
            <w14:solidFill>
              <w14:schemeClr w14:val="tx1"/>
            </w14:solidFill>
          </w14:textFill>
        </w:rPr>
        <w:t>日本专利侵权诉讼的反诉及抗辩</w:t>
      </w:r>
      <w:bookmarkEnd w:id="59"/>
      <w:bookmarkEnd w:id="60"/>
    </w:p>
    <w:p>
      <w:pPr>
        <w:ind w:firstLine="480"/>
      </w:pPr>
      <w:r>
        <w:t>被控专利权侵权的人可提出某种所谓的反论以进行抗辩。就此而言，例如，证明专利权人主张的被追诉者的技术为公知技术，是属于相应公知技术的实施行为，从而基于所谓的公知技术进行抗辩，或者进行连带禁止反言的抗辩，即，可以考虑以专利权不能企及在申请过程中有意识排除的事项这一理论为依据，对专利权人主张的事实在申请当时属于申请人（发明人）有意识排除的事项进行的有意识排除主张。</w:t>
      </w:r>
    </w:p>
    <w:p>
      <w:pPr>
        <w:ind w:firstLine="480"/>
      </w:pPr>
      <w:r>
        <w:t>而且，还可以考虑在专利发明整体上其专利权存在无效理由时提出无效这样的抗辩。这是基于在存在专利无效审判请求的场合中，针对专利权侵权手续法院能够中止诉讼手续这样的规定。在这种场合下，专利无效审判在日本的制度中是于专利局中进行的，而专利权侵权是在法院进行的。两者由于各自履行各自的手续，至于何者为先抑或联合进行这在法律上不是原则性问题。但是，针对专利权侵权而被法院临时禁令的专利而言，由于专利局在后下达专利无效判决事务相当复杂，所以，最好考虑尽量先裁决专利无效审判，根据该结果再决定履行专利权侵权手续。</w:t>
      </w:r>
    </w:p>
    <w:p>
      <w:pPr>
        <w:ind w:firstLine="480"/>
      </w:pPr>
      <w:r>
        <w:t>在日本“专利审查基准”（以下简称为“审查基准”）第Ⅱ部分第2章新颖性创造性1.2.4中指出</w:t>
      </w:r>
      <w:r>
        <w:rPr>
          <w:rFonts w:hint="eastAsia" w:ascii="宋体" w:hAnsi="宋体" w:cs="宋体"/>
        </w:rPr>
        <w:t>∶</w:t>
      </w:r>
      <w:r>
        <w:t>技术常识指本领域普通技术人员普遍知道的技术（包含公知技术、惯用技术）或根据经验法则而容易得出的事项。在审查基准第I部分第1章说明书和权利要求的记载要素2.2第36条第6项第2号中给出了“技术常识”、“公知技术”、“惯用技术”的定义。“技术常识”指根据本领域普通技术人员普遍知道的技术或经验法则而容易得出的事项。于是，只要技术常识是本领域普通技术人员普遍知道，则其还包括实验、分析、制造的方法等。本领域普通技术人员是否普遍知道不仅应根据记载该技术的文献的数量来判断，而且还考虑本领域普通技术人员对该技术的关注程度来判断。另外，技术常识为含义比公知惯用技术的概念广的术语。“公知技术”指本技术领域普遍知道的技术，比如，具有与其有关的相当多的公开文献，或在本行业已知，或者不必列举而熟知的技术。另外"惯用技术"为公知技术，并且指常用的技术。</w:t>
      </w:r>
    </w:p>
    <w:p>
      <w:pPr>
        <w:ind w:firstLine="480"/>
      </w:pPr>
      <w:r>
        <w:t>日本专利侵权诉讼中进行抗辩主要依据专利法规定的先用权、现有技术、禁止反悔等原则。此外还包括诸如自己专利抗辩、专利权丧失又恢复时他人的使用权、同一申请人重复申请专利、专利内容公开前实施不侵权、权利用尽、平行进口、科研实践、临时过境、经授权使用、默许使用、搭售等反垄断行为，鉴于篇幅关系，</w:t>
      </w:r>
      <w:r>
        <w:rPr>
          <w:rFonts w:hint="eastAsia"/>
        </w:rPr>
        <w:t>下面</w:t>
      </w:r>
      <w:r>
        <w:t>将择要介绍。</w:t>
      </w:r>
    </w:p>
    <w:p>
      <w:pPr>
        <w:ind w:firstLine="482"/>
      </w:pPr>
      <w:r>
        <w:rPr>
          <w:rFonts w:hint="eastAsia"/>
          <w:b/>
          <w:bCs/>
        </w:rPr>
        <w:t>一、</w:t>
      </w:r>
      <w:r>
        <w:rPr>
          <w:b/>
          <w:bCs/>
        </w:rPr>
        <w:t>在先权抗辩</w:t>
      </w:r>
    </w:p>
    <w:p>
      <w:pPr>
        <w:ind w:firstLine="480"/>
      </w:pPr>
      <w:r>
        <w:t>两项或者两项以上权利，分别归属于不同主体，可能导致相互矛盾或抵触，不免发生权利冲突。当冲突发生时，如果当事人之间不能自行协商解决，难免形成诉讼。对于专利领域，日本专利法第72条规定解决此类诉讼的重要原则之一是保护在先权利原则。该原则的含义有二</w:t>
      </w:r>
      <w:r>
        <w:rPr>
          <w:rFonts w:hint="eastAsia" w:ascii="宋体" w:hAnsi="宋体" w:cs="宋体"/>
        </w:rPr>
        <w:t>∶</w:t>
      </w:r>
      <w:r>
        <w:t>其一，在先权利人指控在后权利人侵权时，在先权利应受到保护，在后权利人不能对抗在先权利人。其二，在后权利人指控在先权利人侵权时，在先权利人可以对抗在后权利人。</w:t>
      </w:r>
    </w:p>
    <w:p>
      <w:pPr>
        <w:ind w:firstLine="480"/>
      </w:pPr>
      <w:r>
        <w:t>从日本的专利权利冲突案件看，既有在先权利人指控在后权利人侵权的案件，也有在后权利人指控在先权利人侵权的案件，涉及专利权与专利权纠纷、专利权与著作权纠纷以及专利权与商品的包装装潢纠纷等。初期，由于缺乏明确的法律依据，日本各地法院的审理思路不统一，做法不尽相同。有的法院以上述纠纷涉及行政管理为由，不予受理，或驳回起诉；有的法院则中止诉讼，等待相关处理结果；有的法院则依据相关法理，保护在先权利；有的法院则以冲突权利均合法为由，驳回当事人诉讼请求。后期，各地做法逐渐统一。按照日本专利法的精神将保护在先权利确立为审理知识产权权利冲突纠纷案件的一项最基本的原则。在适用该原则时，主要有以下做法</w:t>
      </w:r>
      <w:r>
        <w:rPr>
          <w:rFonts w:hint="eastAsia" w:ascii="宋体" w:hAnsi="宋体" w:cs="宋体"/>
        </w:rPr>
        <w:t>∶</w:t>
      </w:r>
      <w:r>
        <w:t>首先，审查在先权利和在后权利的合法性。在先权利和在后权利从形式到内容均应具有合法性，均能够成为一项独立、完整的权利。如果其中一项不合法，则不再从权利冲突角度审查，而径行从权利人与侵权人之间的侵权纠纷方面审理。其次，严格审查不同权利的形成时间，根据“谁主张，谁举证”原则，权利人应对其主张权利和赖以抗辩权利的形成时间负举证责任，并达到优势证据程度。再次，在先权利的效力范围应当覆盖在后权利，如此，在先权利抗辩成立。否则，仍需结合具体案情做进一步分析。</w:t>
      </w:r>
    </w:p>
    <w:p>
      <w:pPr>
        <w:ind w:firstLine="482"/>
        <w:rPr>
          <w:b/>
          <w:bCs/>
        </w:rPr>
      </w:pPr>
      <w:r>
        <w:rPr>
          <w:rFonts w:hint="eastAsia"/>
          <w:b/>
          <w:bCs/>
        </w:rPr>
        <w:t>二、</w:t>
      </w:r>
      <w:r>
        <w:rPr>
          <w:b/>
          <w:bCs/>
        </w:rPr>
        <w:t>先用权抗辩</w:t>
      </w:r>
    </w:p>
    <w:p>
      <w:pPr>
        <w:ind w:firstLine="480"/>
      </w:pPr>
      <w:r>
        <w:t>日本专利法第69条第2款第（2）项规定，专利权的效力在专利申请时，对于用申请专利的方法制造的产品或者申请专利的产品在国内已经存在的物品不适用。这是对先用权的规定。</w:t>
      </w:r>
    </w:p>
    <w:p>
      <w:pPr>
        <w:ind w:firstLine="480"/>
        <w:rPr>
          <w:rFonts w:hint="eastAsia" w:ascii="宋体" w:hAnsi="宋体" w:cs="宋体"/>
        </w:rPr>
      </w:pPr>
      <w:r>
        <w:t>在专利侵权诉讼中正确适用先用权的关键在于把握先用权成立的条件</w:t>
      </w:r>
      <w:r>
        <w:rPr>
          <w:rFonts w:hint="eastAsia" w:ascii="宋体" w:hAnsi="宋体" w:cs="宋体"/>
        </w:rPr>
        <w:t>∶</w:t>
      </w:r>
    </w:p>
    <w:p>
      <w:pPr>
        <w:ind w:firstLine="480"/>
      </w:pPr>
      <w:r>
        <w:t>（1）时间条件</w:t>
      </w:r>
      <w:r>
        <w:rPr>
          <w:rFonts w:hint="eastAsia" w:ascii="宋体" w:hAnsi="宋体" w:cs="宋体"/>
        </w:rPr>
        <w:t>∶</w:t>
      </w:r>
      <w:r>
        <w:t>在先使用行为必须是在该项专利的申请日或优先权日以前已经制造相同产品、使用相同方法。</w:t>
      </w:r>
    </w:p>
    <w:p>
      <w:pPr>
        <w:ind w:firstLine="480"/>
      </w:pPr>
      <w:r>
        <w:t>（2）独立性条件</w:t>
      </w:r>
      <w:r>
        <w:rPr>
          <w:rFonts w:hint="eastAsia" w:ascii="宋体" w:hAnsi="宋体" w:cs="宋体"/>
        </w:rPr>
        <w:t>∶</w:t>
      </w:r>
      <w:r>
        <w:t>先使用人所使用的发明创造必须是独立完成或者合法获得的且应与专利权人无关，以非法途径得到的发明创造不能产生优先权。</w:t>
      </w:r>
    </w:p>
    <w:p>
      <w:pPr>
        <w:ind w:firstLine="480"/>
      </w:pPr>
      <w:r>
        <w:t>（3）使用性条件</w:t>
      </w:r>
      <w:r>
        <w:rPr>
          <w:rFonts w:hint="eastAsia" w:ascii="宋体" w:hAnsi="宋体" w:cs="宋体"/>
        </w:rPr>
        <w:t>∶</w:t>
      </w:r>
      <w:r>
        <w:t>先使用人必须在他人专利申请日前至少已经做好了制造或者使用的必要准备。</w:t>
      </w:r>
    </w:p>
    <w:p>
      <w:pPr>
        <w:ind w:firstLine="480"/>
      </w:pPr>
      <w:r>
        <w:t>（4）使用范围条件</w:t>
      </w:r>
      <w:r>
        <w:rPr>
          <w:rFonts w:hint="eastAsia" w:ascii="宋体" w:hAnsi="宋体" w:cs="宋体"/>
        </w:rPr>
        <w:t>∶</w:t>
      </w:r>
      <w:r>
        <w:t>先用权的制造或使用行为，只限于原有的范围之内，不得扩大使用范围。</w:t>
      </w:r>
    </w:p>
    <w:p>
      <w:pPr>
        <w:ind w:firstLine="480"/>
      </w:pPr>
      <w:r>
        <w:t>无论将先用权理解为独立的权利，还是抗辩权，均不影响其对专利权的限制。实践中，当被控侵权人提出先用权抗辩的，日本的做法是</w:t>
      </w:r>
      <w:r>
        <w:rPr>
          <w:rFonts w:hint="eastAsia" w:ascii="宋体" w:hAnsi="宋体" w:cs="宋体"/>
        </w:rPr>
        <w:t>∶</w:t>
      </w:r>
      <w:r>
        <w:t>首先将权利要求记载的全部必要技术特征与被控侵权物的相应技术特征进行对比，判断二者是否相同或等同，如果既不相同也不等同，直接驳回原告的诉讼请求；如果相同或等同成立，便接着审查先用权抗辩是否成立。</w:t>
      </w:r>
    </w:p>
    <w:p>
      <w:pPr>
        <w:ind w:firstLine="480"/>
      </w:pPr>
      <w:r>
        <w:t>判定先用权抗辩是否成立的关键在于，如何准确地理解先用权抗辩人是否“已经制造相同产品、使用相同方法”、“已经做好制造、使用的必要准备”以及“仅在原有范围内继续制造、使用”。是否“已经制造相同产品、使用相同方法”比较容易把握，可以审查先用权抗辩人的相关生产记录、仓储情况等。</w:t>
      </w:r>
    </w:p>
    <w:p>
      <w:pPr>
        <w:ind w:firstLine="482"/>
        <w:rPr>
          <w:b/>
          <w:bCs/>
        </w:rPr>
      </w:pPr>
      <w:r>
        <w:rPr>
          <w:rFonts w:hint="eastAsia"/>
          <w:b/>
          <w:bCs/>
        </w:rPr>
        <w:t>三、</w:t>
      </w:r>
      <w:r>
        <w:rPr>
          <w:b/>
          <w:bCs/>
        </w:rPr>
        <w:t>现有技术抗辩</w:t>
      </w:r>
    </w:p>
    <w:p>
      <w:pPr>
        <w:ind w:firstLine="480"/>
      </w:pPr>
      <w:r>
        <w:t>日本专利法规定，未作出宣告专利无效的决定，即便专利存在某些瑕疵，法院也必须将该专利视为有效。在该背景的下，日本法院积极探讨现有技术抗辩的法律适用，在专利侵权诉讼中积极参考公知技术，建立了非常完整的判例理论，如公知技术排外论、公共财产论、权利滥用论等，旨在平衡专利权人和社会公众的利益。2000年日本最高法院的Kilby案判决之前，日本法院在侵权诉讼中一概不涉及专利无效的问题，严格遵循职权分离原则。如1962年12月7日，日本最高法院判决指出，"与专利无效审判不同，确认权利要求范围的审判是以专利权有效为前提的，因此，在这样的诉讼中不能讨论专利的内容是否为现有技术的问题"。需要指出的是，该阶段还存在现有技术排除说和自由技术抗辩说。如1964年8月4日，日本最高法院判决指出，"如果实用新型包含有申请时已经公开的技术，应将上述现有技术排除在具有新颖性的方案之外"。也就是说，将现有技术作为限制权利要求保护范围的方式。再如1970年4月17日，日本东京地方法院判决指出，“申请时现有的技术属于公众共有的财产，根据私权应当服从公共利益的原则，即使对公众共有的财产加上实用新型的名义，也没有禁止他人实施而由特定申请人独占行使的理由”。该学说认为，如果被控侵权人实施的技术是现有技术，不管该技术是否属于专利权利要求的保护范围，都不构成侵权。2000年，日本最高法院在“无限折动用滚珠花键轴承”案中，提出了适用等同原则的五个要素</w:t>
      </w:r>
      <w:r>
        <w:rPr>
          <w:rFonts w:hint="eastAsia" w:ascii="宋体" w:hAnsi="宋体" w:cs="宋体"/>
        </w:rPr>
        <w:t>∶</w:t>
      </w:r>
      <w:r>
        <w:t>非本质部分、置换可能性、置换容易性、非公知技术和特别事由（禁止反悔）。其中，“非公知技术”这一要素就是现有技术抗辩。也就是说，被控侵权技术与专利申请时的公知技术或者本领域普通技术人员在专利申请日容易从公知技术中推导得出的技术并不相同。可见，在日本的现有技术抗辩中，采用的对比方式是被控侵权技术与现有技术之间的单独对比。</w:t>
      </w:r>
    </w:p>
    <w:p>
      <w:pPr>
        <w:ind w:firstLine="480"/>
      </w:pPr>
      <w:r>
        <w:t>就对比标准而言，日本法院曾经存在争议。1980年5月9日，日本东京地方法院在“生检针”案中指出，只有与公知技术完全相同的技术，才能成立现有技术抗辩。1990年日本大阪地方法院在“模具装卸工具”案中持有相同观点。另外一种观点认为，被控侵权技术与公知技术之间的对比应当是创造性标准。1981年日本东京地方法院在“包装容器”案中使用了根据两件从公知技术中容易推知的技术进行判断。日本最高法院在“无限折动用滚珠花键轴承”案中肯定了第二种观点，将其范围扩大到与公知技术相同的技术以及本领域普通技术人员在专利申请日容易从公知技术中推导得出的技术。其中，“从公知技术中容易推导得出”的判断标准，与专利法有关创造性的标准是相当的。可见，在日本的现有技术抗辩中，采用的对比标准包括新颖性和创造性。</w:t>
      </w:r>
    </w:p>
    <w:p>
      <w:pPr>
        <w:ind w:firstLine="482"/>
        <w:rPr>
          <w:b/>
          <w:bCs/>
        </w:rPr>
      </w:pPr>
      <w:r>
        <w:rPr>
          <w:rFonts w:hint="eastAsia"/>
          <w:b/>
          <w:bCs/>
        </w:rPr>
        <w:t>四、</w:t>
      </w:r>
      <w:r>
        <w:rPr>
          <w:b/>
          <w:bCs/>
        </w:rPr>
        <w:t>禁止反悔原则抗辩</w:t>
      </w:r>
    </w:p>
    <w:p>
      <w:pPr>
        <w:ind w:firstLine="482"/>
        <w:rPr>
          <w:rFonts w:hint="eastAsia" w:asciiTheme="majorEastAsia" w:hAnsiTheme="majorEastAsia" w:eastAsiaTheme="majorEastAsia"/>
          <w:b/>
          <w:bCs/>
        </w:rPr>
      </w:pPr>
      <w:r>
        <w:rPr>
          <w:rFonts w:asciiTheme="majorEastAsia" w:hAnsiTheme="majorEastAsia" w:eastAsiaTheme="majorEastAsia"/>
          <w:b/>
          <w:bCs/>
        </w:rPr>
        <w:t>1</w:t>
      </w:r>
      <w:r>
        <w:rPr>
          <w:rFonts w:hint="eastAsia" w:asciiTheme="majorEastAsia" w:hAnsiTheme="majorEastAsia" w:eastAsiaTheme="majorEastAsia"/>
          <w:b/>
          <w:bCs/>
        </w:rPr>
        <w:t>．</w:t>
      </w:r>
      <w:r>
        <w:rPr>
          <w:rFonts w:asciiTheme="majorEastAsia" w:hAnsiTheme="majorEastAsia" w:eastAsiaTheme="majorEastAsia"/>
          <w:b/>
          <w:bCs/>
        </w:rPr>
        <w:t>禁止反悔原则</w:t>
      </w:r>
    </w:p>
    <w:p>
      <w:pPr>
        <w:ind w:firstLine="480"/>
      </w:pPr>
      <w:r>
        <w:t>权利要求界定了专利权保护范围的边界，社会公众（特别是专利权人的竞争对手）根据权利要求的记载评估自己行为是否会构成专利侵权。由于等同侵权将专利权的保护范围延伸到权利要求字面含义之外，社会公众根据权利要求的记载评估自己行为是否会构成专利侵权的确定性就会降低，权利要求的公众告示功能就会受到一定的影响。禁止反悔原则的作用就在于将等同侵权的适用限定在一个恰当的范围，以确保权利要求的公众告示功能。</w:t>
      </w:r>
    </w:p>
    <w:p>
      <w:pPr>
        <w:ind w:firstLine="480"/>
      </w:pPr>
      <w:r>
        <w:t>本质上，禁止反悔原则寻求的是要实现权利要求的公众告示功能。禁止反悔原则限制根据等同原则主张侵权的权利要求的等同特征范围，排除在专利审查过程中为了获得专利权而放弃了的等同特征。等同特征的放弃发生于申请人在专利审查过程中进行的限制性修改或者限定性地陈述。通常地，法律允许公众依赖审查过程中明显放弃的内容进行其行为。关于修改导致禁止反悔的公众告示功能，美国最高法院解释说，当专利权人针对专利局的驳回理由缩小其权利要求时，禁止反悔原则禁止专利权人后来主张由原来宽范围权利要求覆盖的内容只不过是获得授权的窄范围权利要求的等同物。竞争者可以依赖禁止反悔原则确信他们自己的行为不会因为等同而被认定侵权。禁止反悔原则确保等同原则符合其本质目的，阻止等同原则的扩大使用。</w:t>
      </w:r>
    </w:p>
    <w:p>
      <w:pPr>
        <w:ind w:firstLine="482"/>
        <w:rPr>
          <w:rFonts w:hint="eastAsia" w:asciiTheme="majorEastAsia" w:hAnsiTheme="majorEastAsia" w:eastAsiaTheme="majorEastAsia"/>
          <w:b/>
          <w:bCs/>
        </w:rPr>
      </w:pPr>
      <w:r>
        <w:rPr>
          <w:rFonts w:asciiTheme="majorEastAsia" w:hAnsiTheme="majorEastAsia" w:eastAsiaTheme="majorEastAsia"/>
          <w:b/>
          <w:bCs/>
        </w:rPr>
        <w:t>2</w:t>
      </w:r>
      <w:r>
        <w:rPr>
          <w:rFonts w:hint="eastAsia" w:asciiTheme="majorEastAsia" w:hAnsiTheme="majorEastAsia" w:eastAsiaTheme="majorEastAsia"/>
          <w:b/>
          <w:bCs/>
        </w:rPr>
        <w:t>．</w:t>
      </w:r>
      <w:r>
        <w:rPr>
          <w:rFonts w:asciiTheme="majorEastAsia" w:hAnsiTheme="majorEastAsia" w:eastAsiaTheme="majorEastAsia"/>
          <w:b/>
          <w:bCs/>
        </w:rPr>
        <w:t>原则的具体适用</w:t>
      </w:r>
    </w:p>
    <w:p>
      <w:pPr>
        <w:ind w:firstLine="480"/>
      </w:pPr>
      <w:r>
        <w:t>在前述的“无限折动用滚珠花键轴承”案中，日本最高法院第一次确认专利侵权可以适用等同原则。在该案中，日本最高法院认为，即使被控侵权物与权利要求记载的技术特征存在差异，在满足五个要素的情况下，被控侵权物作为权利要求范围记载构成的等同物，仍属于专利发明的技术范围。日本法院关于等同侵权认定的第一至第三要素，相当于美国认定等同侵权的条件；第四要素是从公知技术方面对等同侵权的认定进行限制；第五要素相当于从禁止反悔原则方面对等同侵权的认定进行限制。</w:t>
      </w:r>
    </w:p>
    <w:p>
      <w:pPr>
        <w:ind w:firstLine="480"/>
      </w:pPr>
      <w:r>
        <w:t>虽然第一至第三要素是认定等同侵权的关键，但相当于禁止反悔原则的第五要素仍对等同侵权作了更严格的限制。在上述案件中，日本最高法院对第五要素的解释是，在专利申请过程中，申请人从权利要求范围中有意识地排除的内容等，一旦专利权人承认它不属于专利发明的技术范围，或者从表面上看专利权人的行为可以被认为具有上述意思，专利权人其后再提出与此不同的主张，按照禁止反悔原则是不能被允许的。</w:t>
      </w:r>
    </w:p>
    <w:p>
      <w:pPr>
        <w:ind w:firstLine="480"/>
      </w:pPr>
      <w:r>
        <w:t>日本法院认为，根据回应专利局的拒绝理由通知以及撤销理由通知等，为了避免专利申请被拒绝或者专利被撤销或者无效，专利权人对权利要求的范围进行了减缩性补正的情况，通常要对权利要求的范围进行限定解释，如果权利要求的文字字面含义不包括被控侵权物，就应当认为被控侵权物属于专利申请过程中从权利要求的范围中有意识地排除的。这时，应当认定不符合等同原则的第五要素。对于专利权人非为回避拒绝理由而对权利要求进行的补正，主流意见的看法与为回避拒绝理由而进行的补正一样。另外，日本法院认为，如果对于本领域普通技术人员来说，在专利申请时将包含某变换技术特征的技术包括在权利要求中是容易做到的，专利申请人没有这样做，则属于专利申请人的意识限定，按不符合等同原则的第五要素处理。</w:t>
      </w:r>
    </w:p>
    <w:p>
      <w:pPr>
        <w:ind w:firstLine="480"/>
      </w:pPr>
      <w:r>
        <w:t>由此可见，日本法院判决中禁止反悔对等同侵权认定的限制作用比美国法院判决中对等同侵权认定的限制作用还要大，限定的范围还要宽。在日本法院没有认定等同侵权的168件判决中，以不满足第五要素而没有认定等同侵权的为55件，主要体现为禁止反悔原则的第五要素仅次于第一要素是认定等同的第二大障碍。</w:t>
      </w:r>
    </w:p>
    <w:p>
      <w:pPr>
        <w:ind w:firstLine="482"/>
        <w:rPr>
          <w:b/>
          <w:bCs/>
        </w:rPr>
      </w:pPr>
      <w:r>
        <w:rPr>
          <w:rFonts w:hint="eastAsia"/>
          <w:b/>
          <w:bCs/>
        </w:rPr>
        <w:t>五、</w:t>
      </w:r>
      <w:r>
        <w:rPr>
          <w:b/>
          <w:bCs/>
        </w:rPr>
        <w:t>合理使用抗辩</w:t>
      </w:r>
    </w:p>
    <w:p>
      <w:pPr>
        <w:ind w:firstLine="480"/>
      </w:pPr>
      <w:r>
        <w:t>日本专利法第69条规定了专利权效力例外的情况，该条规定专利权的效力不适用于为试验或研究而实施的发明专利。具体不适用的范围一是仅在日本过境的船舶或飞机，或供其使用的机械、器具、装置及其他物品；二是在专利申请时，在日本国内已存在的物品。同时还专门对药物制造作出进一步的规定，由两种以上药物（指供人类疾病的诊断、治疗、手术及预防用的药物）混合配制的医药发明以及属于两种以上医药混合的制药方法的专利权效力，不适用于医师和牙医处方的调剂行为和按医师及牙医处方调剂的药物。</w:t>
      </w:r>
    </w:p>
    <w:p>
      <w:pPr>
        <w:ind w:firstLine="482"/>
        <w:rPr>
          <w:b/>
          <w:bCs/>
        </w:rPr>
      </w:pPr>
      <w:r>
        <w:rPr>
          <w:rFonts w:hint="eastAsia"/>
          <w:b/>
          <w:bCs/>
        </w:rPr>
        <w:t>六、</w:t>
      </w:r>
      <w:r>
        <w:rPr>
          <w:b/>
          <w:bCs/>
        </w:rPr>
        <w:t>专利滥用（无效）抗辩</w:t>
      </w:r>
    </w:p>
    <w:p>
      <w:pPr>
        <w:ind w:firstLine="480"/>
      </w:pPr>
      <w:r>
        <w:t>在日本，“滥用专利”也是专利侵权抗辩的依据。滥用专利的抗辩通常与在先技术抗辩以及专利权的无效联系在一起。运用专利无效来抵制专利滥用在日本有个发展认识的过程，这个过程凸显出专利侵权与确权相互间的冲突，这个冲突将专利无效和专利滥用紧密联系在一起。</w:t>
      </w:r>
    </w:p>
    <w:p>
      <w:pPr>
        <w:ind w:firstLine="480"/>
      </w:pPr>
      <w:r>
        <w:t>现行日本专利法规定，侵犯专利权或专用实施权的诉讼中，认定该专利经专利无效审判应当无效时，专利权人或独占实施许可人不得向对方当事人行使其权利（日本专利法第104条第3款）。这个条款已经涵盖了所有的无效宣告理由，在专利侵权诉讼中，被告可以依据原告所主张的专利权中存在无效事由为理由，要求（抗辩）撤销相关诉讼。按照该条款的第（2）项的规定，专利无效，不但可以作为侵权诉讼被告人的抗辩方法，而且可以作为侵权诉讼中被告人攻击专利权人的方法，但是不管是作为攻击还是防御方法，如果被告具有以此为手段，以达到不当延迟侵权诉讼审理的目的，则法院可以直接驳回被告人提起专利无效准司法程序的申请。这种规定明显是为了平衡专利权人和侵权行为人的利益关系而作出的设计。既然专利权人可能因为法院运用权力不得滥用的法理禁止其使用权利，侵权行为也不能滥用诉权延迟审判，以达到毁灭证据等不正当目的。其实质是对侵权行为人滥用专利无效抗辩程序采取的防御措施。</w:t>
      </w:r>
    </w:p>
    <w:p>
      <w:pPr>
        <w:ind w:firstLine="562"/>
        <w:outlineLvl w:val="1"/>
      </w:pPr>
      <w:bookmarkStart w:id="61" w:name="_Toc199420231"/>
      <w:bookmarkStart w:id="62" w:name="_Toc12023"/>
      <w:r>
        <w:rPr>
          <w:rFonts w:ascii="黑体" w:hAnsi="黑体" w:eastAsia="黑体"/>
          <w:b/>
          <w:bCs/>
          <w:sz w:val="28"/>
          <w:szCs w:val="28"/>
        </w:rPr>
        <w:t>4</w:t>
      </w:r>
      <w:r>
        <w:rPr>
          <w:rFonts w:hint="eastAsia" w:ascii="黑体" w:hAnsi="黑体" w:eastAsia="黑体"/>
          <w:b/>
          <w:bCs/>
          <w:sz w:val="28"/>
          <w:szCs w:val="28"/>
        </w:rPr>
        <w:t>.</w:t>
      </w:r>
      <w:r>
        <w:rPr>
          <w:rFonts w:ascii="黑体" w:hAnsi="黑体" w:eastAsia="黑体"/>
          <w:b/>
          <w:bCs/>
          <w:sz w:val="28"/>
          <w:szCs w:val="28"/>
        </w:rPr>
        <w:t xml:space="preserve">3 </w:t>
      </w:r>
      <w:r>
        <w:rPr>
          <w:rFonts w:hint="eastAsia" w:ascii="黑体" w:hAnsi="黑体" w:eastAsia="黑体"/>
          <w:b/>
          <w:bCs/>
          <w:sz w:val="28"/>
          <w:szCs w:val="28"/>
        </w:rPr>
        <w:t>英国知识产权风险防控分析</w:t>
      </w:r>
      <w:bookmarkEnd w:id="61"/>
      <w:bookmarkEnd w:id="62"/>
    </w:p>
    <w:p>
      <w:pPr>
        <w:ind w:firstLine="562"/>
        <w:outlineLvl w:val="2"/>
        <w:rPr>
          <w:rFonts w:hint="eastAsia" w:ascii="黑体" w:hAnsi="黑体" w:eastAsia="黑体" w:cs="Helvetica"/>
          <w:b/>
          <w:color w:val="000000" w:themeColor="text1"/>
          <w:kern w:val="0"/>
          <w:sz w:val="28"/>
          <w:szCs w:val="28"/>
          <w14:textFill>
            <w14:solidFill>
              <w14:schemeClr w14:val="tx1"/>
            </w14:solidFill>
          </w14:textFill>
        </w:rPr>
      </w:pPr>
      <w:bookmarkStart w:id="63" w:name="_Toc4655"/>
      <w:bookmarkStart w:id="64" w:name="_Toc199420232"/>
      <w:r>
        <w:rPr>
          <w:rFonts w:ascii="黑体" w:hAnsi="黑体" w:eastAsia="黑体" w:cs="Helvetica"/>
          <w:b/>
          <w:color w:val="000000" w:themeColor="text1"/>
          <w:kern w:val="0"/>
          <w:sz w:val="28"/>
          <w:szCs w:val="28"/>
          <w14:textFill>
            <w14:solidFill>
              <w14:schemeClr w14:val="tx1"/>
            </w14:solidFill>
          </w14:textFill>
        </w:rPr>
        <w:t xml:space="preserve">4.3.1 </w:t>
      </w:r>
      <w:r>
        <w:rPr>
          <w:rFonts w:hint="eastAsia" w:ascii="黑体" w:hAnsi="黑体" w:eastAsia="黑体" w:cs="Helvetica"/>
          <w:b/>
          <w:color w:val="000000" w:themeColor="text1"/>
          <w:kern w:val="0"/>
          <w:sz w:val="28"/>
          <w:szCs w:val="28"/>
          <w14:textFill>
            <w14:solidFill>
              <w14:schemeClr w14:val="tx1"/>
            </w14:solidFill>
          </w14:textFill>
        </w:rPr>
        <w:t>英国专利侵权行为</w:t>
      </w:r>
      <w:bookmarkEnd w:id="63"/>
      <w:bookmarkEnd w:id="64"/>
    </w:p>
    <w:p>
      <w:pPr>
        <w:ind w:firstLine="480"/>
      </w:pPr>
      <w:r>
        <w:t>英国专利侵权行为主要包括直接侵权和间接侵权，具体如下：</w:t>
      </w:r>
    </w:p>
    <w:p>
      <w:pPr>
        <w:ind w:firstLine="480"/>
      </w:pPr>
      <w:r>
        <w:t>直接侵权：根据英国《1977 年专利法》第 60 条第 1 款规定，在专利有效期内，未经专利权人同意，在英国境内实施以下行为属于直接侵权：</w:t>
      </w:r>
    </w:p>
    <w:p>
      <w:pPr>
        <w:ind w:firstLine="480"/>
      </w:pPr>
      <w:r>
        <w:t>产品专利方面：如果发明是产品，制造、处置、提供处置、使用、进口该产品或为处置或其他目的而保存该产品。例如，未经授权制造并销售具有专利保护的特定结构的机器设备，或者进口该种侵权的机器设备。</w:t>
      </w:r>
    </w:p>
    <w:p>
      <w:pPr>
        <w:ind w:firstLine="480"/>
      </w:pPr>
      <w:r>
        <w:t>方法专利方面：如果发明是一个过程，使用该过程或在英国境内提供该过程供他人使用，且知晓或在当时情况下一个理性人明显能看出未经专利权人同意使用该过程会构成专利侵权；以及处置、提供处置、使用或进口任何直接通过该过程获得的产品，或为处置或其他目的而保存此类产品。比如，未经许可使用专利保护的生产工艺来制造产品，即使该产品在其他国家生产，但将其进口到英国也属于侵权。</w:t>
      </w:r>
    </w:p>
    <w:p>
      <w:pPr>
        <w:ind w:firstLine="480"/>
      </w:pPr>
      <w:r>
        <w:t>间接侵权（共同侵权）：根据《1977 年专利法》第 60 条第 2 款，在英国境内，明知或在当时情况下一个理性人明显能看出所提供的手段与发明的基本要素有关，且该手段适合并打算用于实施发明，而向非被许可人或无权实施发明的人供应或提供这些手段，构成间接侵权。例如，某人销售一种专门用于组装具有专利的特定椅子的零部件，且知道购买者将用这些零部件在英国组装侵权的椅子，那么该销售者就构成间接侵权。不过，如果所供应的产品有至少一种合理的非侵权用途，一般不构成侵权，但如果供应商诱导他人侵权，即使是供应常规产品也可能构成侵权，如提供普通建筑材料并附上说明如何将其制成专利产品的说明书。</w:t>
      </w:r>
    </w:p>
    <w:p>
      <w:pPr>
        <w:ind w:firstLine="480"/>
      </w:pPr>
      <w:r>
        <w:t>此外，协助他人实施直接侵权或间接侵权行为，依据共同设计与他人共同实施侵权行为的，也属于侵权行为。同时，英国法律规定了一些不视为侵权的例外情况，如为私人和非商业目的的行为、在英国临时停留的船舶或飞机上的使用、实验目的、农场的某些有限使用以及健康试验等。</w:t>
      </w:r>
    </w:p>
    <w:p>
      <w:pPr>
        <w:ind w:firstLine="562"/>
        <w:outlineLvl w:val="2"/>
        <w:rPr>
          <w:rFonts w:hint="eastAsia" w:ascii="黑体" w:hAnsi="黑体" w:eastAsia="黑体" w:cs="Helvetica"/>
          <w:b/>
          <w:color w:val="000000" w:themeColor="text1"/>
          <w:kern w:val="0"/>
          <w:sz w:val="28"/>
          <w:szCs w:val="28"/>
          <w14:textFill>
            <w14:solidFill>
              <w14:schemeClr w14:val="tx1"/>
            </w14:solidFill>
          </w14:textFill>
        </w:rPr>
      </w:pPr>
      <w:bookmarkStart w:id="65" w:name="_Toc121146329"/>
      <w:bookmarkStart w:id="66" w:name="_Toc199420233"/>
      <w:bookmarkStart w:id="67" w:name="_Toc31937"/>
      <w:bookmarkStart w:id="68" w:name="_Toc9353"/>
      <w:bookmarkStart w:id="69" w:name="_Toc24515"/>
      <w:bookmarkStart w:id="70" w:name="_Toc14476"/>
      <w:r>
        <w:rPr>
          <w:rFonts w:ascii="黑体" w:hAnsi="黑体" w:eastAsia="黑体" w:cs="Helvetica"/>
          <w:b/>
          <w:color w:val="000000" w:themeColor="text1"/>
          <w:kern w:val="0"/>
          <w:sz w:val="28"/>
          <w:szCs w:val="28"/>
          <w14:textFill>
            <w14:solidFill>
              <w14:schemeClr w14:val="tx1"/>
            </w14:solidFill>
          </w14:textFill>
        </w:rPr>
        <w:t xml:space="preserve">4.3.2 </w:t>
      </w:r>
      <w:r>
        <w:rPr>
          <w:rFonts w:hint="eastAsia" w:ascii="黑体" w:hAnsi="黑体" w:eastAsia="黑体" w:cs="Helvetica"/>
          <w:b/>
          <w:color w:val="000000" w:themeColor="text1"/>
          <w:kern w:val="0"/>
          <w:sz w:val="28"/>
          <w:szCs w:val="28"/>
          <w14:textFill>
            <w14:solidFill>
              <w14:schemeClr w14:val="tx1"/>
            </w14:solidFill>
          </w14:textFill>
        </w:rPr>
        <w:t>英国专利侵权的反诉及抗辩</w:t>
      </w:r>
      <w:bookmarkEnd w:id="65"/>
      <w:bookmarkEnd w:id="66"/>
      <w:bookmarkEnd w:id="67"/>
    </w:p>
    <w:p>
      <w:pPr>
        <w:ind w:firstLine="480"/>
      </w:pPr>
      <w:r>
        <w:rPr>
          <w:rFonts w:hint="eastAsia"/>
        </w:rPr>
        <w:t>鉴于英国完善的知识产权保护体系，我国企业在进入英国市场前应进行全面的专利预警工作，寻找是否有可能涉及侵权纠纷的产品。预警工作应当不仅针对英国本土的专利，同时也针对在英国受到保护的欧盟产品。通过专利预警工作可以最大程度地保证进入英国市场的产品免受侵权纠纷。</w:t>
      </w:r>
    </w:p>
    <w:p>
      <w:pPr>
        <w:ind w:firstLine="480"/>
        <w:rPr>
          <w:rFonts w:hint="eastAsia" w:asciiTheme="majorEastAsia" w:hAnsiTheme="majorEastAsia" w:eastAsiaTheme="majorEastAsia"/>
        </w:rPr>
      </w:pPr>
      <w:r>
        <w:rPr>
          <w:rFonts w:hint="eastAsia" w:asciiTheme="majorEastAsia" w:hAnsiTheme="majorEastAsia" w:eastAsiaTheme="majorEastAsia"/>
        </w:rPr>
        <w:t>当可能侵犯他人知识产权时，可以考虑采取以下策略来应对：</w:t>
      </w:r>
    </w:p>
    <w:p>
      <w:pPr>
        <w:ind w:firstLine="482"/>
        <w:rPr>
          <w:rFonts w:hint="eastAsia" w:asciiTheme="majorEastAsia" w:hAnsiTheme="majorEastAsia" w:eastAsiaTheme="majorEastAsia"/>
          <w:b/>
          <w:bCs/>
        </w:rPr>
      </w:pPr>
      <w:r>
        <w:rPr>
          <w:rFonts w:asciiTheme="majorEastAsia" w:hAnsiTheme="majorEastAsia" w:eastAsiaTheme="majorEastAsia"/>
          <w:b/>
          <w:bCs/>
        </w:rPr>
        <w:t>1.</w:t>
      </w:r>
      <w:r>
        <w:rPr>
          <w:rFonts w:hint="eastAsia" w:asciiTheme="majorEastAsia" w:hAnsiTheme="majorEastAsia" w:eastAsiaTheme="majorEastAsia"/>
          <w:b/>
          <w:bCs/>
        </w:rPr>
        <w:t>确认事实关系</w:t>
      </w:r>
    </w:p>
    <w:p>
      <w:pPr>
        <w:ind w:firstLine="480"/>
        <w:rPr>
          <w:rFonts w:hint="eastAsia" w:asciiTheme="majorEastAsia" w:hAnsiTheme="majorEastAsia" w:eastAsiaTheme="majorEastAsia"/>
        </w:rPr>
      </w:pPr>
      <w:r>
        <w:rPr>
          <w:rFonts w:hint="eastAsia" w:asciiTheme="majorEastAsia" w:hAnsiTheme="majorEastAsia" w:eastAsiaTheme="majorEastAsia"/>
        </w:rPr>
        <w:t>在收到侵权警告以后，首先研究并确认警告函中内容的事实关系，且需要了解对方的要求及目的。确认我方行为是否涉及侵害对方知识产权以及对方是否为相关权利人。</w:t>
      </w:r>
    </w:p>
    <w:p>
      <w:pPr>
        <w:ind w:firstLine="480"/>
        <w:rPr>
          <w:rFonts w:hint="eastAsia" w:asciiTheme="majorEastAsia" w:hAnsiTheme="majorEastAsia" w:eastAsiaTheme="majorEastAsia"/>
        </w:rPr>
      </w:pPr>
      <w:r>
        <w:rPr>
          <w:rFonts w:hint="eastAsia" w:asciiTheme="majorEastAsia" w:hAnsiTheme="majorEastAsia" w:eastAsiaTheme="majorEastAsia"/>
        </w:rPr>
        <w:t>可以参考以下内容来判断：发送的主体是公司的负责人还是代理人；对方的知识产权是否处于有效期；是否明确指出对方的知识产权与我方产品及技术之间的关系；是否明确记载侵权的证据和理由；对方的要求是否表达明确（请求损害赔偿、中止制造和销售等）；我方需要回复的期限。</w:t>
      </w:r>
    </w:p>
    <w:p>
      <w:pPr>
        <w:ind w:firstLine="482"/>
        <w:rPr>
          <w:rFonts w:hint="eastAsia" w:asciiTheme="majorEastAsia" w:hAnsiTheme="majorEastAsia" w:eastAsiaTheme="majorEastAsia"/>
          <w:b/>
          <w:bCs/>
        </w:rPr>
      </w:pPr>
      <w:r>
        <w:rPr>
          <w:rFonts w:asciiTheme="majorEastAsia" w:hAnsiTheme="majorEastAsia" w:eastAsiaTheme="majorEastAsia"/>
          <w:b/>
          <w:bCs/>
        </w:rPr>
        <w:t>2.</w:t>
      </w:r>
      <w:r>
        <w:rPr>
          <w:rFonts w:hint="eastAsia" w:asciiTheme="majorEastAsia" w:hAnsiTheme="majorEastAsia" w:eastAsiaTheme="majorEastAsia"/>
          <w:b/>
          <w:bCs/>
        </w:rPr>
        <w:t>明确对方的意图</w:t>
      </w:r>
    </w:p>
    <w:p>
      <w:pPr>
        <w:ind w:firstLine="480"/>
        <w:rPr>
          <w:rFonts w:hint="eastAsia" w:asciiTheme="majorEastAsia" w:hAnsiTheme="majorEastAsia" w:eastAsiaTheme="majorEastAsia"/>
        </w:rPr>
      </w:pPr>
      <w:r>
        <w:rPr>
          <w:rFonts w:hint="eastAsia" w:asciiTheme="majorEastAsia" w:hAnsiTheme="majorEastAsia" w:eastAsiaTheme="majorEastAsia"/>
        </w:rPr>
        <w:t>在确认警告函中的事实关系之后，需要明确对方目的。对方发送警告函通常包含以下目的：请求停止侵权行为、索求经济赔偿（等价或加倍）、请求我方将涉嫌产品撤出专利权保护的市场、销毁产品等。</w:t>
      </w:r>
    </w:p>
    <w:p>
      <w:pPr>
        <w:ind w:firstLine="480"/>
        <w:rPr>
          <w:rFonts w:hint="eastAsia" w:asciiTheme="majorEastAsia" w:hAnsiTheme="majorEastAsia" w:eastAsiaTheme="majorEastAsia"/>
        </w:rPr>
      </w:pPr>
      <w:r>
        <w:rPr>
          <w:rFonts w:hint="eastAsia" w:asciiTheme="majorEastAsia" w:hAnsiTheme="majorEastAsia" w:eastAsiaTheme="majorEastAsia"/>
        </w:rPr>
        <w:t>可以通过聘用律师或代理人来协助完成上述内容，通过合法手段尽可能地维护自身利益。</w:t>
      </w:r>
    </w:p>
    <w:p>
      <w:pPr>
        <w:ind w:firstLine="482"/>
        <w:rPr>
          <w:rFonts w:hint="eastAsia" w:asciiTheme="majorEastAsia" w:hAnsiTheme="majorEastAsia" w:eastAsiaTheme="majorEastAsia"/>
          <w:b/>
          <w:bCs/>
        </w:rPr>
      </w:pPr>
      <w:r>
        <w:rPr>
          <w:rFonts w:asciiTheme="majorEastAsia" w:hAnsiTheme="majorEastAsia" w:eastAsiaTheme="majorEastAsia"/>
          <w:b/>
          <w:bCs/>
        </w:rPr>
        <w:t>3.</w:t>
      </w:r>
      <w:r>
        <w:rPr>
          <w:rFonts w:hint="eastAsia" w:asciiTheme="majorEastAsia" w:hAnsiTheme="majorEastAsia" w:eastAsiaTheme="majorEastAsia"/>
          <w:b/>
          <w:bCs/>
        </w:rPr>
        <w:t>判断侵权与否和无效事由</w:t>
      </w:r>
    </w:p>
    <w:p>
      <w:pPr>
        <w:ind w:firstLine="480"/>
        <w:rPr>
          <w:rFonts w:hint="eastAsia" w:asciiTheme="majorEastAsia" w:hAnsiTheme="majorEastAsia" w:eastAsiaTheme="majorEastAsia"/>
        </w:rPr>
      </w:pPr>
      <w:r>
        <w:rPr>
          <w:rFonts w:hint="eastAsia" w:asciiTheme="majorEastAsia" w:hAnsiTheme="majorEastAsia" w:eastAsiaTheme="majorEastAsia"/>
        </w:rPr>
        <w:t>在明确对方意图和所涉及的权利事实之后，首先应当确认对方的请求是否成立，即是否确实构成侵权。</w:t>
      </w:r>
    </w:p>
    <w:p>
      <w:pPr>
        <w:ind w:firstLine="480"/>
        <w:rPr>
          <w:rFonts w:hint="eastAsia" w:asciiTheme="majorEastAsia" w:hAnsiTheme="majorEastAsia" w:eastAsiaTheme="majorEastAsia"/>
        </w:rPr>
      </w:pPr>
      <w:r>
        <w:rPr>
          <w:rFonts w:hint="eastAsia" w:asciiTheme="majorEastAsia" w:hAnsiTheme="majorEastAsia" w:eastAsiaTheme="majorEastAsia"/>
        </w:rPr>
        <w:t>对于著作权和商标、外观设计等可以进行简单判断的情形，可以由公司的技术人员进行初步的认定，如果有可能涉及侵权，再请求知识产权律师或代理人的协助。</w:t>
      </w:r>
    </w:p>
    <w:p>
      <w:pPr>
        <w:ind w:firstLine="480"/>
        <w:rPr>
          <w:rFonts w:hint="eastAsia" w:asciiTheme="majorEastAsia" w:hAnsiTheme="majorEastAsia" w:eastAsiaTheme="majorEastAsia"/>
        </w:rPr>
      </w:pPr>
      <w:r>
        <w:rPr>
          <w:rFonts w:hint="eastAsia" w:asciiTheme="majorEastAsia" w:hAnsiTheme="majorEastAsia" w:eastAsiaTheme="majorEastAsia"/>
        </w:rPr>
        <w:t>对于专利权而言，由于通常涉及复杂的技术领域并且涉及对侵权程度的认定，建议请求律师或代理人的协助，以确定是否构成侵权以及认定侵权程度并估计可能的判决结果。</w:t>
      </w:r>
    </w:p>
    <w:p>
      <w:pPr>
        <w:ind w:firstLine="480"/>
        <w:rPr>
          <w:rFonts w:hint="eastAsia" w:asciiTheme="majorEastAsia" w:hAnsiTheme="majorEastAsia" w:eastAsiaTheme="majorEastAsia"/>
        </w:rPr>
      </w:pPr>
      <w:r>
        <w:rPr>
          <w:rFonts w:hint="eastAsia" w:asciiTheme="majorEastAsia" w:hAnsiTheme="majorEastAsia" w:eastAsiaTheme="majorEastAsia"/>
        </w:rPr>
        <w:t>如果确实构成侵权，也可以考虑是否可以提起对方专利无效。无效可以通过是否涉及现有技术、不是专利权的保护客体等来提起。</w:t>
      </w:r>
    </w:p>
    <w:p>
      <w:pPr>
        <w:ind w:firstLine="480"/>
        <w:rPr>
          <w:rFonts w:hint="eastAsia" w:asciiTheme="majorEastAsia" w:hAnsiTheme="majorEastAsia" w:eastAsiaTheme="majorEastAsia"/>
        </w:rPr>
      </w:pPr>
      <w:r>
        <w:rPr>
          <w:rFonts w:hint="eastAsia" w:asciiTheme="majorEastAsia" w:hAnsiTheme="majorEastAsia" w:eastAsiaTheme="majorEastAsia"/>
        </w:rPr>
        <w:t>另外也可以提起不侵权之诉，请求法院确定彼此双方的事实关系。通过不侵权之诉，能够预防侵权判定并延长审理时间，减少损失。</w:t>
      </w:r>
    </w:p>
    <w:p>
      <w:pPr>
        <w:ind w:firstLine="482"/>
        <w:rPr>
          <w:rFonts w:hint="eastAsia" w:asciiTheme="majorEastAsia" w:hAnsiTheme="majorEastAsia" w:eastAsiaTheme="majorEastAsia"/>
          <w:b/>
          <w:bCs/>
        </w:rPr>
      </w:pPr>
      <w:r>
        <w:rPr>
          <w:rFonts w:asciiTheme="majorEastAsia" w:hAnsiTheme="majorEastAsia" w:eastAsiaTheme="majorEastAsia"/>
          <w:b/>
          <w:bCs/>
        </w:rPr>
        <w:t>4.</w:t>
      </w:r>
      <w:r>
        <w:rPr>
          <w:rFonts w:hint="eastAsia" w:asciiTheme="majorEastAsia" w:hAnsiTheme="majorEastAsia" w:eastAsiaTheme="majorEastAsia"/>
          <w:b/>
          <w:bCs/>
        </w:rPr>
        <w:t>答复警告函</w:t>
      </w:r>
    </w:p>
    <w:p>
      <w:pPr>
        <w:ind w:firstLine="480"/>
        <w:rPr>
          <w:rFonts w:hint="eastAsia" w:asciiTheme="majorEastAsia" w:hAnsiTheme="majorEastAsia" w:eastAsiaTheme="majorEastAsia"/>
        </w:rPr>
      </w:pPr>
      <w:r>
        <w:rPr>
          <w:rFonts w:hint="eastAsia" w:asciiTheme="majorEastAsia" w:hAnsiTheme="majorEastAsia" w:eastAsiaTheme="majorEastAsia"/>
        </w:rPr>
        <w:t>根据以上分析结果和将采取的措施，谨慎地回答警告函，以避免对方留存不利证据。如果所需分析时间较长，建议诚恳地委婉答复警告函，以获得更长的周旋时间。</w:t>
      </w:r>
    </w:p>
    <w:p>
      <w:pPr>
        <w:ind w:firstLine="482"/>
        <w:rPr>
          <w:rFonts w:hint="eastAsia" w:asciiTheme="majorEastAsia" w:hAnsiTheme="majorEastAsia" w:eastAsiaTheme="majorEastAsia"/>
          <w:b/>
          <w:bCs/>
        </w:rPr>
      </w:pPr>
      <w:r>
        <w:rPr>
          <w:rFonts w:asciiTheme="majorEastAsia" w:hAnsiTheme="majorEastAsia" w:eastAsiaTheme="majorEastAsia"/>
          <w:b/>
          <w:bCs/>
        </w:rPr>
        <w:t>5.</w:t>
      </w:r>
      <w:r>
        <w:rPr>
          <w:rFonts w:hint="eastAsia" w:asciiTheme="majorEastAsia" w:hAnsiTheme="majorEastAsia" w:eastAsiaTheme="majorEastAsia"/>
          <w:b/>
          <w:bCs/>
        </w:rPr>
        <w:t>积极应诉</w:t>
      </w:r>
    </w:p>
    <w:p>
      <w:pPr>
        <w:ind w:firstLine="480"/>
        <w:rPr>
          <w:rFonts w:hint="eastAsia" w:asciiTheme="majorEastAsia" w:hAnsiTheme="majorEastAsia" w:eastAsiaTheme="majorEastAsia"/>
        </w:rPr>
      </w:pPr>
      <w:r>
        <w:rPr>
          <w:rFonts w:hint="eastAsia" w:asciiTheme="majorEastAsia" w:hAnsiTheme="majorEastAsia" w:eastAsiaTheme="majorEastAsia"/>
        </w:rPr>
        <w:t>如果对方已经提起侵权诉讼，由于英国采取成文法加判例法的法律体系，建议聘用专业人士、即律师或代理人来协助考虑最佳解决方案。</w:t>
      </w:r>
    </w:p>
    <w:p>
      <w:pPr>
        <w:ind w:firstLine="480"/>
        <w:rPr>
          <w:rFonts w:cs="Times New Roman"/>
        </w:rPr>
      </w:pPr>
      <w:r>
        <w:rPr>
          <w:rFonts w:hint="eastAsia" w:asciiTheme="majorEastAsia" w:hAnsiTheme="majorEastAsia" w:eastAsiaTheme="majorEastAsia"/>
        </w:rPr>
        <w:t>在应诉期间，首先应当考虑是否可以提起无效诉讼。一方面，无效诉讼可以加长审理的时间，另一方面，无效对方专利权也是对本方最有效的保护。另外，也可以请求律师协助查询对方是否有滥用市场支配地位或滥用专利权的嫌疑，或者是否已经构成不正当竞争，以提起反诉</w:t>
      </w:r>
      <w:r>
        <w:rPr>
          <w:rFonts w:asciiTheme="majorEastAsia" w:hAnsiTheme="majorEastAsia" w:eastAsiaTheme="majorEastAsia"/>
        </w:rPr>
        <w:t>。</w:t>
      </w:r>
    </w:p>
    <w:p>
      <w:pPr>
        <w:pStyle w:val="2"/>
        <w:ind w:firstLine="480"/>
      </w:pPr>
      <w:r>
        <w:br w:type="page"/>
      </w:r>
    </w:p>
    <w:p>
      <w:pPr>
        <w:pStyle w:val="3"/>
        <w:spacing w:before="312" w:after="312"/>
        <w:rPr>
          <w:rFonts w:hint="eastAsia"/>
        </w:rPr>
      </w:pPr>
      <w:r>
        <w:rPr>
          <w:rFonts w:hint="eastAsia"/>
        </w:rPr>
        <w:t>第五章 应对措施</w:t>
      </w:r>
      <w:bookmarkEnd w:id="68"/>
      <w:bookmarkEnd w:id="69"/>
      <w:bookmarkEnd w:id="70"/>
    </w:p>
    <w:p>
      <w:pPr>
        <w:ind w:firstLine="562"/>
        <w:outlineLvl w:val="1"/>
        <w:rPr>
          <w:rFonts w:hint="eastAsia" w:ascii="黑体" w:hAnsi="黑体" w:eastAsia="黑体"/>
          <w:b/>
          <w:bCs/>
          <w:sz w:val="28"/>
          <w:szCs w:val="28"/>
        </w:rPr>
      </w:pPr>
      <w:bookmarkStart w:id="71" w:name="_Toc18984"/>
      <w:bookmarkStart w:id="72" w:name="_Toc27380"/>
      <w:bookmarkStart w:id="73" w:name="_Toc25839"/>
      <w:r>
        <w:rPr>
          <w:rFonts w:ascii="黑体" w:hAnsi="黑体" w:eastAsia="黑体"/>
          <w:b/>
          <w:bCs/>
          <w:sz w:val="28"/>
          <w:szCs w:val="28"/>
        </w:rPr>
        <w:t>5</w:t>
      </w:r>
      <w:r>
        <w:rPr>
          <w:rFonts w:hint="eastAsia" w:ascii="黑体" w:hAnsi="黑体" w:eastAsia="黑体"/>
          <w:b/>
          <w:bCs/>
          <w:sz w:val="28"/>
          <w:szCs w:val="28"/>
        </w:rPr>
        <w:t>.1</w:t>
      </w:r>
      <w:r>
        <w:rPr>
          <w:rFonts w:ascii="黑体" w:hAnsi="黑体" w:eastAsia="黑体"/>
          <w:b/>
          <w:bCs/>
          <w:sz w:val="28"/>
          <w:szCs w:val="28"/>
        </w:rPr>
        <w:t xml:space="preserve"> </w:t>
      </w:r>
      <w:r>
        <w:rPr>
          <w:rFonts w:hint="eastAsia" w:ascii="黑体" w:hAnsi="黑体" w:eastAsia="黑体"/>
          <w:b/>
          <w:bCs/>
          <w:sz w:val="28"/>
          <w:szCs w:val="28"/>
        </w:rPr>
        <w:t>政府层面海外知识产权风险应对措施</w:t>
      </w:r>
      <w:bookmarkEnd w:id="71"/>
    </w:p>
    <w:p>
      <w:pPr>
        <w:ind w:firstLine="480"/>
      </w:pPr>
      <w:r>
        <w:rPr>
          <w:rFonts w:hint="eastAsia"/>
        </w:rPr>
        <w:t>（一）知识产权布局与规划</w:t>
      </w:r>
    </w:p>
    <w:p>
      <w:pPr>
        <w:ind w:firstLine="480"/>
      </w:pPr>
      <w:r>
        <w:rPr>
          <w:rFonts w:hint="eastAsia"/>
        </w:rPr>
        <w:t>专利导航与分析：政府可组织专业机构开展专利导航项目，分析东阿县和茌平县医疗器械产业的优势技术领域以及海外目标市场的专利布局情况，为企业制定海外专利申请策略提供依据，指导企业围绕核心技术和关键产品，在重点国家和地区进行专利前瞻性申请和战略性布局，避免侵权风险，同时占据市场竞争的有利地位。</w:t>
      </w:r>
    </w:p>
    <w:p>
      <w:pPr>
        <w:ind w:firstLine="480"/>
      </w:pPr>
      <w:r>
        <w:rPr>
          <w:rFonts w:hint="eastAsia"/>
        </w:rPr>
        <w:t>商标国际注册指导：加强对企业商标国际注册的宣传和指导，提高企业对商标海外布局的重视程度。依托国家知识产权局商标局及专业商标代理机构，为企业提供商标国际注册的流程、费用、注意事项等详细信息，鼓励企业通过马德里体系等途径进行商标的国际注册，确保企业在海外市场的品牌权益得到保护。</w:t>
      </w:r>
    </w:p>
    <w:p>
      <w:pPr>
        <w:ind w:firstLine="480"/>
      </w:pPr>
      <w:r>
        <w:rPr>
          <w:rFonts w:hint="eastAsia"/>
        </w:rPr>
        <w:t>（二）风险预警与监测</w:t>
      </w:r>
    </w:p>
    <w:p>
      <w:pPr>
        <w:ind w:firstLine="480"/>
      </w:pPr>
      <w:r>
        <w:rPr>
          <w:rFonts w:hint="eastAsia"/>
        </w:rPr>
        <w:t>建立风险监测机制：借助国家海外知识产权纠纷应对指导中心聊城分中心等平台，建立针对东阿县和茌平县医疗器械产业的海外知识产权风险监测系统，实时跟踪海外主要目标市场的知识产权法律法规变化、行业专利申请动态、商标注册情况以及相关诉讼案例等信息，及时发现潜在的知识产权风险，并向企业发布预警报告，为企业调整海外发展战略提供参考。</w:t>
      </w:r>
    </w:p>
    <w:p>
      <w:pPr>
        <w:ind w:firstLine="480"/>
      </w:pPr>
      <w:r>
        <w:rPr>
          <w:rFonts w:hint="eastAsia"/>
        </w:rPr>
        <w:t>产业联盟与风险共担：推动东阿县和茌平县医疗器械企业成立产业联盟，加强企业之间的合作与交流，实现知识产权资源共享和优势互补。通过产业联盟建立海外知识产权风险共担机制，共同应对可能面临的知识产权挑战，提高整个产业的抗风险能力。</w:t>
      </w:r>
    </w:p>
    <w:p>
      <w:pPr>
        <w:ind w:firstLine="480"/>
      </w:pPr>
      <w:r>
        <w:rPr>
          <w:rFonts w:hint="eastAsia"/>
        </w:rPr>
        <w:t>（三）纠纷应对与援助</w:t>
      </w:r>
    </w:p>
    <w:p>
      <w:pPr>
        <w:ind w:firstLine="480"/>
      </w:pPr>
      <w:r>
        <w:rPr>
          <w:rFonts w:hint="eastAsia"/>
        </w:rPr>
        <w:t>专家支持与培训：进一步组建和扩充海外维权专家库，吸纳更多熟悉医疗器械领域和海外知识产权法律的专家加入，为企业提供专业的咨询服务和纠纷应对指导。同时，定期组织企业参加海外知识产权保护培训，内容包括海外专利申请、商标注册、侵权应对、诉讼策略等，提高企业自身的知识产权意识和纠纷应对能力。</w:t>
      </w:r>
    </w:p>
    <w:p>
      <w:pPr>
        <w:ind w:firstLine="480"/>
      </w:pPr>
      <w:r>
        <w:rPr>
          <w:rFonts w:hint="eastAsia"/>
        </w:rPr>
        <w:t>纠纷解决与协调：加强海外与相关机构的合作与交流，建立多元化的海外知识产权纠纷解决机制，鼓励企业通过和解、调解、仲裁等方式快速解决纠纷，并为企业提供相应的支持和协调服务。对于涉及重大利益的海外知识产权诉讼案件，政府可组织专家团队协助企业制定应对方案，积极与海外执法机构和司法部门沟通协调，维护企业的合法权益。</w:t>
      </w:r>
    </w:p>
    <w:p>
      <w:pPr>
        <w:ind w:firstLine="480"/>
      </w:pPr>
      <w:r>
        <w:rPr>
          <w:rFonts w:hint="eastAsia"/>
        </w:rPr>
        <w:t>（四）信息服务平台建设</w:t>
      </w:r>
    </w:p>
    <w:p>
      <w:pPr>
        <w:ind w:firstLine="480"/>
      </w:pPr>
      <w:r>
        <w:rPr>
          <w:rFonts w:hint="eastAsia"/>
        </w:rPr>
        <w:t>优化信息共享平台：进一步完善和优化聊城市及相关县区的知识产权信息服务平台，加强与国家海外知识产权信息服务平台“智南针网”等的对接和数据共享，为企业提供一站式的海外知识产权信息服务，包括法律法规查询、专利商标数据库检索、风险预警案例分析、专家咨询等功能，提高企业获取海外知识产权信息的便捷性和准确性。</w:t>
      </w:r>
    </w:p>
    <w:p>
      <w:pPr>
        <w:ind w:firstLine="480"/>
      </w:pPr>
      <w:r>
        <w:rPr>
          <w:rFonts w:hint="eastAsia"/>
        </w:rPr>
        <w:t>定制化信息服务：针对东阿县和茌平县医疗器械产业的特点和企业的需求，提供定制化的海外知识产权信息服务。例如，定期推送医疗器械领域的海外最新专利技术信息、商标注册动态以及相关国家和地区的知识产权政策调整情况等，帮助企业及时了解行业前沿动态和市场变化，为企业的海外发展提供决策支持。</w:t>
      </w:r>
    </w:p>
    <w:p>
      <w:pPr>
        <w:ind w:firstLine="480"/>
      </w:pPr>
      <w:r>
        <w:rPr>
          <w:rFonts w:hint="eastAsia"/>
        </w:rPr>
        <w:t>（五）激励与保障政策</w:t>
      </w:r>
    </w:p>
    <w:p>
      <w:pPr>
        <w:ind w:firstLine="480"/>
      </w:pPr>
      <w:r>
        <w:rPr>
          <w:rFonts w:hint="eastAsia"/>
        </w:rPr>
        <w:t>设立专项扶持资金：政府可安排专项扶持资金，对东阿县和茌平县医疗器械企业在海外知识产权布局、风险预警、纠纷应对等方面的费用给予一定比例的补贴或奖励，降低企业的维权成本和经济负担，提高企业开展海外知识产权工作的积极性。</w:t>
      </w:r>
    </w:p>
    <w:p>
      <w:pPr>
        <w:ind w:firstLine="480"/>
      </w:pPr>
      <w:r>
        <w:rPr>
          <w:rFonts w:hint="eastAsia"/>
        </w:rPr>
        <w:t>保险机制与互助基金：鼓励保险机构开展知识产权海外侵权责任险、专利执行险等保险业务，为企业提供海外知识产权风险保障。同时，推动企业设立知识产权海外维权互助基金，引导企业共同出资，形成资金池，用于支持企业应对重大的海外知识产权纠纷，缓解企业在海外维权过程中的资金压力。</w:t>
      </w:r>
    </w:p>
    <w:bookmarkEnd w:id="72"/>
    <w:bookmarkEnd w:id="73"/>
    <w:p>
      <w:pPr>
        <w:ind w:firstLine="562"/>
        <w:outlineLvl w:val="1"/>
        <w:rPr>
          <w:rFonts w:hint="eastAsia" w:ascii="黑体" w:hAnsi="黑体" w:eastAsia="黑体"/>
          <w:b/>
          <w:bCs/>
          <w:sz w:val="28"/>
          <w:szCs w:val="28"/>
        </w:rPr>
      </w:pPr>
      <w:bookmarkStart w:id="74" w:name="_Toc28531"/>
      <w:bookmarkStart w:id="75" w:name="_Toc26104"/>
      <w:bookmarkStart w:id="76" w:name="_Toc18458"/>
      <w:r>
        <w:rPr>
          <w:rFonts w:ascii="黑体" w:hAnsi="黑体" w:eastAsia="黑体"/>
          <w:b/>
          <w:bCs/>
          <w:sz w:val="28"/>
          <w:szCs w:val="28"/>
        </w:rPr>
        <w:t>5</w:t>
      </w:r>
      <w:r>
        <w:rPr>
          <w:rFonts w:hint="eastAsia" w:ascii="黑体" w:hAnsi="黑体" w:eastAsia="黑体"/>
          <w:b/>
          <w:bCs/>
          <w:sz w:val="28"/>
          <w:szCs w:val="28"/>
        </w:rPr>
        <w:t>.2</w:t>
      </w:r>
      <w:r>
        <w:rPr>
          <w:rFonts w:ascii="黑体" w:hAnsi="黑体" w:eastAsia="黑体"/>
          <w:b/>
          <w:bCs/>
          <w:sz w:val="28"/>
          <w:szCs w:val="28"/>
        </w:rPr>
        <w:t xml:space="preserve"> </w:t>
      </w:r>
      <w:bookmarkEnd w:id="74"/>
      <w:bookmarkEnd w:id="75"/>
      <w:r>
        <w:rPr>
          <w:rFonts w:hint="eastAsia" w:ascii="黑体" w:hAnsi="黑体" w:eastAsia="黑体"/>
          <w:b/>
          <w:bCs/>
          <w:sz w:val="28"/>
          <w:szCs w:val="28"/>
        </w:rPr>
        <w:t>企业层面海外知识产权风险应对措施</w:t>
      </w:r>
      <w:bookmarkEnd w:id="76"/>
    </w:p>
    <w:p>
      <w:pPr>
        <w:ind w:firstLine="480"/>
      </w:pPr>
      <w:r>
        <w:rPr>
          <w:rFonts w:hint="eastAsia"/>
        </w:rPr>
        <w:t>（一）提升知识产权意识与管理</w:t>
      </w:r>
    </w:p>
    <w:p>
      <w:pPr>
        <w:ind w:firstLine="480"/>
      </w:pPr>
      <w:r>
        <w:rPr>
          <w:rFonts w:hint="eastAsia"/>
        </w:rPr>
        <w:t>树立知识产权意识：企业管理层要充分认识到海外知识产权保护的重要性，将其纳入企业的发展战略中，积极营造尊重知识产权的企业文化，增强员工的知识产权意识。</w:t>
      </w:r>
    </w:p>
    <w:p>
      <w:pPr>
        <w:ind w:firstLine="480"/>
      </w:pPr>
      <w:r>
        <w:rPr>
          <w:rFonts w:hint="eastAsia"/>
        </w:rPr>
        <w:t>建立健全管理制度：建立完善的知识产权管理体系，涵盖专利、商标、版权等各个方面，明确知识产权的申请、维护、监控及纠纷处理等流程和责任部门。制定海外业务管理制度，规范跨境合作机制，建立海外知识产权事件处理机制。</w:t>
      </w:r>
    </w:p>
    <w:p>
      <w:pPr>
        <w:ind w:firstLine="480"/>
      </w:pPr>
      <w:r>
        <w:rPr>
          <w:rFonts w:hint="eastAsia"/>
        </w:rPr>
        <w:t>（二）前期规划与布局</w:t>
      </w:r>
    </w:p>
    <w:p>
      <w:pPr>
        <w:ind w:firstLine="480"/>
      </w:pPr>
      <w:r>
        <w:rPr>
          <w:rFonts w:hint="eastAsia"/>
        </w:rPr>
        <w:t>市场调研与目标选择：在进入海外市场前，深入研究不同国家和地区的知识产权法律政策、市场环境、行业竞争状况等，了解当地的知识产权保护水平、侵权行为的认定标准及处罚力度，避免盲目进入知识产权风险较高的市场。</w:t>
      </w:r>
    </w:p>
    <w:p>
      <w:pPr>
        <w:ind w:firstLine="480"/>
      </w:pPr>
      <w:r>
        <w:rPr>
          <w:rFonts w:hint="eastAsia"/>
        </w:rPr>
        <w:t>知识产权海外布局：根据企业的市场拓展计划和产品特点，提前在目标国家和地区进行专利、商标、版权等知识产权的申请和注册。除了传统的专利申请途径外，还可关注一些新兴的知识产权保护形式，如工业设计、商业秘密等。</w:t>
      </w:r>
    </w:p>
    <w:p>
      <w:pPr>
        <w:ind w:firstLine="480"/>
      </w:pPr>
      <w:r>
        <w:rPr>
          <w:rFonts w:hint="eastAsia"/>
        </w:rPr>
        <w:t>（三）风险预警与监测</w:t>
      </w:r>
    </w:p>
    <w:p>
      <w:pPr>
        <w:ind w:firstLine="480"/>
      </w:pPr>
      <w:r>
        <w:rPr>
          <w:rFonts w:hint="eastAsia"/>
        </w:rPr>
        <w:t>建立风险预警机制：设立专门的团队或委托专业的知识产权服务机构，对海外相关领域的知识产权动态、竞争对手的专利布局、法律法规变化等进行实时监测和分析，及时发现潜在的知识产权风险并向企业发出预警信号。</w:t>
      </w:r>
    </w:p>
    <w:p>
      <w:pPr>
        <w:ind w:firstLine="480"/>
      </w:pPr>
      <w:r>
        <w:rPr>
          <w:rFonts w:hint="eastAsia"/>
        </w:rPr>
        <w:t>定期检索与分析：在产品研发、生产和销售的各个阶段，定期进行全面的知识产权检索和分析，包括专利检索、商标检索、版权分析等，识别和规避可能存在的侵权风险。</w:t>
      </w:r>
    </w:p>
    <w:p>
      <w:pPr>
        <w:ind w:firstLine="480"/>
      </w:pPr>
      <w:r>
        <w:rPr>
          <w:rFonts w:hint="eastAsia"/>
        </w:rPr>
        <w:t>（四）知识产权运营与合作</w:t>
      </w:r>
    </w:p>
    <w:p>
      <w:pPr>
        <w:ind w:firstLine="480"/>
      </w:pPr>
      <w:r>
        <w:rPr>
          <w:rFonts w:hint="eastAsia"/>
        </w:rPr>
        <w:t>知识产权运营：合理运用知识产权运营策略，如通过专利许可、转让、合作开发等方式，实现知识产权的经济价值最大化，同时也可以通过与其他企业的合作，共同应对知识产权挑战。</w:t>
      </w:r>
    </w:p>
    <w:p>
      <w:pPr>
        <w:ind w:firstLine="480"/>
      </w:pPr>
      <w:r>
        <w:rPr>
          <w:rFonts w:hint="eastAsia"/>
        </w:rPr>
        <w:t>产学研合作：加强与高校、科研机构等的合作，借助其科研力量和创新能力，共同开展技术研发和知识产权创造活动，提高企业的技术水平和核心竞争力。</w:t>
      </w:r>
    </w:p>
    <w:p>
      <w:pPr>
        <w:ind w:firstLine="480"/>
      </w:pPr>
      <w:r>
        <w:rPr>
          <w:rFonts w:hint="eastAsia"/>
        </w:rPr>
        <w:t>（五）应对纠纷的策略与技巧</w:t>
      </w:r>
    </w:p>
    <w:p>
      <w:pPr>
        <w:ind w:firstLine="480"/>
      </w:pPr>
      <w:r>
        <w:rPr>
          <w:rFonts w:hint="eastAsia"/>
        </w:rPr>
        <w:t>积极应对诉讼：一旦遭遇海外知识产权诉讼，企业应保持冷静，积极应对。及时委托专业的知识产权律师进行辩护，同时组织内部的技术人员和法务人员，全面分析涉案专利的有效性、侵权情况等，制定合理的诉讼策略。</w:t>
      </w:r>
    </w:p>
    <w:p>
      <w:pPr>
        <w:ind w:firstLine="480"/>
      </w:pPr>
      <w:r>
        <w:rPr>
          <w:rFonts w:hint="eastAsia"/>
        </w:rPr>
        <w:t>寻求和解与调解：在面对知识产权纠纷时，企业也可考虑通过和解、调解的方式解决争议。与其他纠纷解决方式相比，和解与调解能够在较短时间内解决双方的争议，降低企业的诉讼成本和时间成本，同时还能避免双方关系的彻底破裂，为后续的合作留下空间。</w:t>
      </w:r>
    </w:p>
    <w:p>
      <w:pPr>
        <w:ind w:firstLine="480"/>
      </w:pPr>
      <w:r>
        <w:rPr>
          <w:rFonts w:hint="eastAsia"/>
        </w:rPr>
        <w:t>（六）利用专业服务与支持</w:t>
      </w:r>
    </w:p>
    <w:p>
      <w:pPr>
        <w:ind w:firstLine="480"/>
      </w:pPr>
      <w:r>
        <w:rPr>
          <w:rFonts w:hint="eastAsia"/>
        </w:rPr>
        <w:t>借助专业机构力量：充分利用知识产权代理机构、律师事务所、咨询公司等专业服务机构的经验和资源，获取专业的知识产权服务，包括专利申请、商标注册、知识产权战略规划、侵权诉讼代理等。</w:t>
      </w:r>
    </w:p>
    <w:p>
      <w:pPr>
        <w:ind w:firstLine="480"/>
      </w:pPr>
      <w:r>
        <w:rPr>
          <w:rFonts w:hint="eastAsia"/>
        </w:rPr>
        <w:t>争取政府支持：积极关注国家和地方政府出台的相关政策和措施，如聊城市设立的国家海外知识产权纠纷应对指导中心地方分中心，为企业提供海外知识产权信息发布、风险监测、纠纷应对方案等服务，积极争取政府在资金、政策等方面的支持和指导。</w:t>
      </w:r>
    </w:p>
    <w:p>
      <w:pPr>
        <w:ind w:firstLine="480"/>
      </w:pPr>
      <w:r>
        <w:rPr>
          <w:rFonts w:hint="eastAsia"/>
        </w:rPr>
        <w:t>（七）人才队伍建设</w:t>
      </w:r>
    </w:p>
    <w:p>
      <w:pPr>
        <w:ind w:firstLine="480"/>
      </w:pPr>
      <w:r>
        <w:rPr>
          <w:rFonts w:hint="eastAsia"/>
        </w:rPr>
        <w:t>培养引进专业人才：加强对现有员工的知识产权培训，使其了解和掌握海外知识产权的基本知识和技能，同时积极引进具有海外知识产权工作经验的专业人才，充实企业的知识产权人才队伍。</w:t>
      </w:r>
    </w:p>
    <w:p>
      <w:pPr>
        <w:ind w:firstLine="480"/>
      </w:pPr>
      <w:r>
        <w:rPr>
          <w:rFonts w:hint="eastAsia"/>
        </w:rPr>
        <w:t>开展培训交流活动：定期组织企业内部的知识产权培训课程、研讨会和案例分析会等，邀请国内外专家进行授课和交流，提高员工的知识产权素养和实际操作能力。</w:t>
      </w:r>
      <w:r>
        <w:rPr>
          <w:rFonts w:hAnsi="宋体"/>
        </w:rPr>
        <w:br w:type="page"/>
      </w:r>
    </w:p>
    <w:p>
      <w:pPr>
        <w:ind w:firstLine="0" w:firstLineChars="0"/>
        <w:jc w:val="center"/>
        <w:outlineLvl w:val="0"/>
        <w:rPr>
          <w:rFonts w:hint="eastAsia" w:ascii="宋体" w:hAnsi="宋体"/>
          <w:b/>
          <w:bCs/>
          <w:sz w:val="30"/>
          <w:szCs w:val="30"/>
        </w:rPr>
      </w:pPr>
      <w:bookmarkStart w:id="77" w:name="_Toc199420240"/>
      <w:bookmarkStart w:id="78" w:name="_Toc199407992"/>
      <w:bookmarkStart w:id="79" w:name="_Toc28871"/>
      <w:r>
        <w:rPr>
          <w:rFonts w:hint="eastAsia" w:ascii="宋体" w:hAnsi="宋体"/>
          <w:b/>
          <w:bCs/>
          <w:sz w:val="30"/>
          <w:szCs w:val="30"/>
        </w:rPr>
        <w:t>附件1：</w:t>
      </w:r>
      <w:r>
        <w:rPr>
          <w:rFonts w:ascii="宋体" w:hAnsi="宋体"/>
          <w:b/>
          <w:bCs/>
          <w:sz w:val="30"/>
          <w:szCs w:val="30"/>
        </w:rPr>
        <w:t>海外知识产权侵权风险防控标准化流程</w:t>
      </w:r>
      <w:bookmarkEnd w:id="77"/>
      <w:bookmarkEnd w:id="78"/>
      <w:bookmarkEnd w:id="79"/>
    </w:p>
    <w:p>
      <w:pPr>
        <w:ind w:firstLine="482"/>
        <w:rPr>
          <w:rFonts w:hint="eastAsia" w:ascii="宋体" w:hAnsi="宋体"/>
          <w:b/>
          <w:bCs/>
        </w:rPr>
      </w:pPr>
      <w:r>
        <w:rPr>
          <w:rFonts w:ascii="宋体" w:hAnsi="宋体"/>
          <w:b/>
          <w:bCs/>
        </w:rPr>
        <w:t>一、前期调研与风险识别</w:t>
      </w:r>
    </w:p>
    <w:p>
      <w:pPr>
        <w:ind w:firstLine="482"/>
        <w:rPr>
          <w:rFonts w:hint="eastAsia" w:ascii="宋体" w:hAnsi="宋体"/>
          <w:b/>
          <w:bCs/>
        </w:rPr>
      </w:pPr>
      <w:r>
        <w:rPr>
          <w:rFonts w:ascii="宋体" w:hAnsi="宋体"/>
          <w:b/>
          <w:bCs/>
        </w:rPr>
        <w:t>1.明确目标市场知识产权法律体系</w:t>
      </w:r>
    </w:p>
    <w:p>
      <w:pPr>
        <w:ind w:firstLine="480"/>
        <w:rPr>
          <w:rFonts w:hint="eastAsia" w:ascii="宋体" w:hAnsi="宋体"/>
        </w:rPr>
      </w:pPr>
      <w:r>
        <w:rPr>
          <w:rFonts w:ascii="宋体" w:hAnsi="宋体"/>
        </w:rPr>
        <w:t>调研内容：</w:t>
      </w:r>
    </w:p>
    <w:p>
      <w:pPr>
        <w:ind w:firstLine="480"/>
        <w:rPr>
          <w:rFonts w:hint="eastAsia" w:ascii="宋体" w:hAnsi="宋体"/>
        </w:rPr>
      </w:pPr>
      <w:r>
        <w:rPr>
          <w:rFonts w:ascii="宋体" w:hAnsi="宋体"/>
        </w:rPr>
        <w:t>目标国家/地区的知识产权法律类型（如大陆法系、普通法系）、专利/商标/版权的保护范围及期限。</w:t>
      </w:r>
    </w:p>
    <w:p>
      <w:pPr>
        <w:ind w:firstLine="480"/>
        <w:rPr>
          <w:rFonts w:hint="eastAsia" w:ascii="宋体" w:hAnsi="宋体"/>
        </w:rPr>
      </w:pPr>
      <w:r>
        <w:rPr>
          <w:rFonts w:ascii="宋体" w:hAnsi="宋体"/>
        </w:rPr>
        <w:t>特殊法律要求：例如欧盟对药品专利的补充保护证书（SPC）、美国对外观设计专利的“实质相似”判定标准等。</w:t>
      </w:r>
    </w:p>
    <w:p>
      <w:pPr>
        <w:ind w:firstLine="480"/>
        <w:rPr>
          <w:rFonts w:hint="eastAsia" w:ascii="宋体" w:hAnsi="宋体"/>
        </w:rPr>
      </w:pPr>
      <w:r>
        <w:rPr>
          <w:rFonts w:ascii="宋体" w:hAnsi="宋体"/>
        </w:rPr>
        <w:t>工具与渠道：</w:t>
      </w:r>
    </w:p>
    <w:p>
      <w:pPr>
        <w:ind w:firstLine="480"/>
        <w:rPr>
          <w:rFonts w:hint="eastAsia" w:ascii="宋体" w:hAnsi="宋体"/>
        </w:rPr>
      </w:pPr>
      <w:r>
        <w:rPr>
          <w:rFonts w:ascii="宋体" w:hAnsi="宋体"/>
        </w:rPr>
        <w:t>官方数据库：美国专利商标局（USPTO）、欧洲知识产权局（EPO）、世界知识产权组织（WIPO）等。</w:t>
      </w:r>
    </w:p>
    <w:p>
      <w:pPr>
        <w:ind w:firstLine="480"/>
        <w:rPr>
          <w:rFonts w:hint="eastAsia" w:ascii="宋体" w:hAnsi="宋体"/>
        </w:rPr>
      </w:pPr>
      <w:r>
        <w:rPr>
          <w:rFonts w:ascii="宋体" w:hAnsi="宋体"/>
        </w:rPr>
        <w:t>专业机构：委托当地律所或知识产权代理机构提供法律合规报告。</w:t>
      </w:r>
    </w:p>
    <w:p>
      <w:pPr>
        <w:ind w:firstLine="482"/>
        <w:rPr>
          <w:rFonts w:hint="eastAsia" w:ascii="宋体" w:hAnsi="宋体"/>
          <w:b/>
          <w:bCs/>
        </w:rPr>
      </w:pPr>
      <w:r>
        <w:rPr>
          <w:rFonts w:ascii="宋体" w:hAnsi="宋体"/>
          <w:b/>
          <w:bCs/>
        </w:rPr>
        <w:t>2.全面排查自身知识产权状态</w:t>
      </w:r>
    </w:p>
    <w:p>
      <w:pPr>
        <w:ind w:firstLine="480"/>
        <w:rPr>
          <w:rFonts w:hint="eastAsia" w:ascii="宋体" w:hAnsi="宋体"/>
        </w:rPr>
      </w:pPr>
      <w:r>
        <w:rPr>
          <w:rFonts w:ascii="宋体" w:hAnsi="宋体"/>
        </w:rPr>
        <w:t>内部资产盘点：</w:t>
      </w:r>
    </w:p>
    <w:p>
      <w:pPr>
        <w:ind w:firstLine="480"/>
        <w:rPr>
          <w:rFonts w:hint="eastAsia" w:ascii="宋体" w:hAnsi="宋体"/>
        </w:rPr>
      </w:pPr>
      <w:r>
        <w:rPr>
          <w:rFonts w:ascii="宋体" w:hAnsi="宋体"/>
        </w:rPr>
        <w:t>梳理核心技术、产品设计、品牌标识等，明确是否已在目标市场申请专利、商标或版权登记。</w:t>
      </w:r>
    </w:p>
    <w:p>
      <w:pPr>
        <w:ind w:firstLine="480"/>
        <w:rPr>
          <w:rFonts w:hint="eastAsia" w:ascii="宋体" w:hAnsi="宋体"/>
        </w:rPr>
      </w:pPr>
      <w:r>
        <w:rPr>
          <w:rFonts w:ascii="宋体" w:hAnsi="宋体"/>
        </w:rPr>
        <w:t>示例：某消费电子企业需确认其产品的外观设计、芯片技术是否在欧盟申请外观专利或发明专利。</w:t>
      </w:r>
    </w:p>
    <w:p>
      <w:pPr>
        <w:ind w:firstLine="480"/>
        <w:rPr>
          <w:rFonts w:hint="eastAsia" w:ascii="宋体" w:hAnsi="宋体"/>
        </w:rPr>
      </w:pPr>
      <w:r>
        <w:rPr>
          <w:rFonts w:ascii="宋体" w:hAnsi="宋体"/>
        </w:rPr>
        <w:t>权利稳定性审查：</w:t>
      </w:r>
    </w:p>
    <w:p>
      <w:pPr>
        <w:ind w:firstLine="480"/>
        <w:rPr>
          <w:rFonts w:hint="eastAsia" w:ascii="宋体" w:hAnsi="宋体"/>
        </w:rPr>
      </w:pPr>
      <w:r>
        <w:rPr>
          <w:rFonts w:ascii="宋体" w:hAnsi="宋体"/>
        </w:rPr>
        <w:t>对已获授权的知识产权，核查是否存在权利瑕疵（如专利新颖性缺陷、商标显著性不足），避免因权利不稳定引发侵权指控。</w:t>
      </w:r>
    </w:p>
    <w:p>
      <w:pPr>
        <w:ind w:firstLine="482"/>
        <w:rPr>
          <w:rFonts w:hint="eastAsia" w:ascii="宋体" w:hAnsi="宋体"/>
          <w:b/>
          <w:bCs/>
        </w:rPr>
      </w:pPr>
      <w:r>
        <w:rPr>
          <w:rFonts w:ascii="宋体" w:hAnsi="宋体"/>
          <w:b/>
          <w:bCs/>
        </w:rPr>
        <w:t>3.竞品与核心技术的侵权预警</w:t>
      </w:r>
    </w:p>
    <w:p>
      <w:pPr>
        <w:ind w:firstLine="480"/>
        <w:rPr>
          <w:rFonts w:hint="eastAsia" w:ascii="宋体" w:hAnsi="宋体"/>
        </w:rPr>
      </w:pPr>
      <w:r>
        <w:rPr>
          <w:rFonts w:ascii="宋体" w:hAnsi="宋体"/>
        </w:rPr>
        <w:t>FTO（自由实施）调查：</w:t>
      </w:r>
    </w:p>
    <w:p>
      <w:pPr>
        <w:ind w:firstLine="480"/>
        <w:rPr>
          <w:rFonts w:hint="eastAsia" w:ascii="宋体" w:hAnsi="宋体"/>
        </w:rPr>
      </w:pPr>
      <w:r>
        <w:rPr>
          <w:rFonts w:ascii="宋体" w:hAnsi="宋体"/>
        </w:rPr>
        <w:t>针对核心产品或技术，检索目标市场的现有专利、商标注册信息，分析是否落入他人权利保护范围。</w:t>
      </w:r>
    </w:p>
    <w:p>
      <w:pPr>
        <w:ind w:firstLine="480"/>
        <w:rPr>
          <w:rFonts w:hint="eastAsia" w:ascii="宋体" w:hAnsi="宋体"/>
        </w:rPr>
      </w:pPr>
      <w:r>
        <w:rPr>
          <w:rFonts w:ascii="宋体" w:hAnsi="宋体"/>
        </w:rPr>
        <w:t>案例：某新能源企业出口电池组件前，通过FTO检索发现其电池热管理技术与美国某公司专利的权利要求高度重叠，及时调整技术路线避免侵权。</w:t>
      </w:r>
    </w:p>
    <w:p>
      <w:pPr>
        <w:ind w:firstLine="480"/>
        <w:rPr>
          <w:rFonts w:hint="eastAsia" w:ascii="宋体" w:hAnsi="宋体"/>
        </w:rPr>
      </w:pPr>
      <w:r>
        <w:rPr>
          <w:rFonts w:ascii="宋体" w:hAnsi="宋体"/>
        </w:rPr>
        <w:t>商标clearance搜索：</w:t>
      </w:r>
    </w:p>
    <w:p>
      <w:pPr>
        <w:ind w:firstLine="480"/>
        <w:rPr>
          <w:rFonts w:hint="eastAsia" w:ascii="宋体" w:hAnsi="宋体"/>
        </w:rPr>
      </w:pPr>
      <w:r>
        <w:rPr>
          <w:rFonts w:ascii="宋体" w:hAnsi="宋体"/>
        </w:rPr>
        <w:t>确认企业品牌、产品名称、Logo等是否与目标市场已注册商标构成近似或相同，尤其注意跨类别近似（如服装类商标与箱包类的关联）。</w:t>
      </w:r>
    </w:p>
    <w:p>
      <w:pPr>
        <w:ind w:firstLine="482"/>
        <w:rPr>
          <w:rFonts w:hint="eastAsia" w:ascii="宋体" w:hAnsi="宋体"/>
          <w:b/>
          <w:bCs/>
        </w:rPr>
      </w:pPr>
      <w:r>
        <w:rPr>
          <w:rFonts w:ascii="宋体" w:hAnsi="宋体"/>
          <w:b/>
          <w:bCs/>
        </w:rPr>
        <w:t>二、风险评估与分级管理</w:t>
      </w:r>
    </w:p>
    <w:p>
      <w:pPr>
        <w:ind w:firstLine="482"/>
        <w:rPr>
          <w:rFonts w:hint="eastAsia" w:ascii="宋体" w:hAnsi="宋体"/>
          <w:b/>
          <w:bCs/>
        </w:rPr>
      </w:pPr>
      <w:r>
        <w:rPr>
          <w:rFonts w:ascii="宋体" w:hAnsi="宋体"/>
          <w:b/>
          <w:bCs/>
        </w:rPr>
        <w:t>1.建立侵权风险评估模型</w:t>
      </w:r>
    </w:p>
    <w:p>
      <w:pPr>
        <w:ind w:firstLine="480"/>
        <w:rPr>
          <w:rFonts w:hint="eastAsia" w:ascii="宋体" w:hAnsi="宋体"/>
        </w:rPr>
      </w:pPr>
      <w:r>
        <w:rPr>
          <w:rFonts w:ascii="宋体" w:hAnsi="宋体"/>
        </w:rPr>
        <w:t>评估维度：</w:t>
      </w:r>
    </w:p>
    <w:tbl>
      <w:tblPr>
        <w:tblStyle w:val="19"/>
        <w:tblW w:w="8080"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208"/>
        <w:gridCol w:w="5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blHeader/>
        </w:trPr>
        <w:tc>
          <w:tcPr>
            <w:tcW w:w="2208" w:type="dxa"/>
            <w:tcMar>
              <w:top w:w="180" w:type="dxa"/>
              <w:left w:w="270" w:type="dxa"/>
              <w:bottom w:w="180" w:type="dxa"/>
              <w:right w:w="270" w:type="dxa"/>
            </w:tcMar>
            <w:vAlign w:val="center"/>
          </w:tcPr>
          <w:p>
            <w:pPr>
              <w:ind w:firstLine="480"/>
              <w:jc w:val="center"/>
              <w:rPr>
                <w:rFonts w:hint="eastAsia" w:ascii="宋体" w:hAnsi="宋体"/>
              </w:rPr>
            </w:pPr>
            <w:r>
              <w:rPr>
                <w:rFonts w:ascii="宋体" w:hAnsi="宋体"/>
              </w:rPr>
              <w:t>风险维度</w:t>
            </w:r>
          </w:p>
        </w:tc>
        <w:tc>
          <w:tcPr>
            <w:tcW w:w="5872" w:type="dxa"/>
            <w:tcMar>
              <w:top w:w="180" w:type="dxa"/>
              <w:left w:w="270" w:type="dxa"/>
              <w:bottom w:w="180" w:type="dxa"/>
              <w:right w:w="270" w:type="dxa"/>
            </w:tcMar>
            <w:vAlign w:val="center"/>
          </w:tcPr>
          <w:p>
            <w:pPr>
              <w:ind w:firstLine="480"/>
              <w:jc w:val="center"/>
              <w:rPr>
                <w:rFonts w:hint="eastAsia" w:ascii="宋体" w:hAnsi="宋体"/>
              </w:rPr>
            </w:pPr>
            <w:r>
              <w:rPr>
                <w:rFonts w:ascii="宋体" w:hAnsi="宋体"/>
              </w:rPr>
              <w:t>评估标准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2208" w:type="dxa"/>
            <w:tcMar>
              <w:top w:w="180" w:type="dxa"/>
              <w:left w:w="270" w:type="dxa"/>
              <w:bottom w:w="180" w:type="dxa"/>
              <w:right w:w="270" w:type="dxa"/>
            </w:tcMar>
            <w:vAlign w:val="center"/>
          </w:tcPr>
          <w:p>
            <w:pPr>
              <w:ind w:firstLine="480"/>
              <w:jc w:val="center"/>
              <w:rPr>
                <w:rFonts w:hint="eastAsia" w:ascii="宋体" w:hAnsi="宋体"/>
              </w:rPr>
            </w:pPr>
            <w:r>
              <w:rPr>
                <w:rFonts w:ascii="宋体" w:hAnsi="宋体"/>
              </w:rPr>
              <w:t>法律合规性</w:t>
            </w:r>
          </w:p>
        </w:tc>
        <w:tc>
          <w:tcPr>
            <w:tcW w:w="5872" w:type="dxa"/>
            <w:tcMar>
              <w:top w:w="180" w:type="dxa"/>
              <w:left w:w="270" w:type="dxa"/>
              <w:bottom w:w="180" w:type="dxa"/>
              <w:right w:w="270" w:type="dxa"/>
            </w:tcMar>
            <w:vAlign w:val="center"/>
          </w:tcPr>
          <w:p>
            <w:pPr>
              <w:ind w:firstLine="480"/>
              <w:jc w:val="center"/>
              <w:rPr>
                <w:rFonts w:hint="eastAsia" w:ascii="宋体" w:hAnsi="宋体"/>
              </w:rPr>
            </w:pPr>
            <w:r>
              <w:rPr>
                <w:rFonts w:ascii="宋体" w:hAnsi="宋体"/>
              </w:rPr>
              <w:t>目标国法律对知识产权的保护强度、司法实践倾向（如美国的“禁令救济”门槛）。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2208" w:type="dxa"/>
            <w:tcMar>
              <w:top w:w="180" w:type="dxa"/>
              <w:left w:w="270" w:type="dxa"/>
              <w:bottom w:w="180" w:type="dxa"/>
              <w:right w:w="270" w:type="dxa"/>
            </w:tcMar>
            <w:vAlign w:val="center"/>
          </w:tcPr>
          <w:p>
            <w:pPr>
              <w:ind w:firstLine="480"/>
              <w:jc w:val="center"/>
              <w:rPr>
                <w:rFonts w:hint="eastAsia" w:ascii="宋体" w:hAnsi="宋体"/>
              </w:rPr>
            </w:pPr>
            <w:r>
              <w:rPr>
                <w:rFonts w:ascii="宋体" w:hAnsi="宋体"/>
              </w:rPr>
              <w:t>侵权可能性</w:t>
            </w:r>
          </w:p>
        </w:tc>
        <w:tc>
          <w:tcPr>
            <w:tcW w:w="5872" w:type="dxa"/>
            <w:tcMar>
              <w:top w:w="180" w:type="dxa"/>
              <w:left w:w="270" w:type="dxa"/>
              <w:bottom w:w="180" w:type="dxa"/>
              <w:right w:w="270" w:type="dxa"/>
            </w:tcMar>
            <w:vAlign w:val="center"/>
          </w:tcPr>
          <w:p>
            <w:pPr>
              <w:ind w:firstLine="480"/>
              <w:jc w:val="center"/>
              <w:rPr>
                <w:rFonts w:hint="eastAsia" w:ascii="宋体" w:hAnsi="宋体"/>
              </w:rPr>
            </w:pPr>
            <w:r>
              <w:rPr>
                <w:rFonts w:ascii="宋体" w:hAnsi="宋体"/>
              </w:rPr>
              <w:t>技术特征比对（专利）、商标近似度（商标）、实质性相似（版权）。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2208" w:type="dxa"/>
            <w:tcMar>
              <w:top w:w="180" w:type="dxa"/>
              <w:left w:w="270" w:type="dxa"/>
              <w:bottom w:w="180" w:type="dxa"/>
              <w:right w:w="270" w:type="dxa"/>
            </w:tcMar>
            <w:vAlign w:val="center"/>
          </w:tcPr>
          <w:p>
            <w:pPr>
              <w:ind w:firstLine="480"/>
              <w:jc w:val="center"/>
              <w:rPr>
                <w:rFonts w:hint="eastAsia" w:ascii="宋体" w:hAnsi="宋体"/>
              </w:rPr>
            </w:pPr>
            <w:r>
              <w:rPr>
                <w:rFonts w:ascii="宋体" w:hAnsi="宋体"/>
              </w:rPr>
              <w:t>商业影响</w:t>
            </w:r>
          </w:p>
        </w:tc>
        <w:tc>
          <w:tcPr>
            <w:tcW w:w="5872" w:type="dxa"/>
            <w:tcMar>
              <w:top w:w="180" w:type="dxa"/>
              <w:left w:w="270" w:type="dxa"/>
              <w:bottom w:w="180" w:type="dxa"/>
              <w:right w:w="270" w:type="dxa"/>
            </w:tcMar>
            <w:vAlign w:val="center"/>
          </w:tcPr>
          <w:p>
            <w:pPr>
              <w:ind w:firstLine="480"/>
              <w:jc w:val="center"/>
              <w:rPr>
                <w:rFonts w:hint="eastAsia" w:ascii="宋体" w:hAnsi="宋体"/>
              </w:rPr>
            </w:pPr>
            <w:r>
              <w:rPr>
                <w:rFonts w:ascii="宋体" w:hAnsi="宋体"/>
              </w:rPr>
              <w:t>潜在赔偿金额、市场禁售风险、品牌声誉损失。</w:t>
            </w:r>
          </w:p>
        </w:tc>
      </w:tr>
    </w:tbl>
    <w:p>
      <w:pPr>
        <w:ind w:firstLine="480"/>
        <w:rPr>
          <w:rFonts w:hint="eastAsia" w:ascii="宋体" w:hAnsi="宋体"/>
        </w:rPr>
      </w:pPr>
      <w:r>
        <w:rPr>
          <w:rFonts w:ascii="宋体" w:hAnsi="宋体"/>
        </w:rPr>
        <w:t>风险分级：</w:t>
      </w:r>
    </w:p>
    <w:p>
      <w:pPr>
        <w:ind w:firstLine="480"/>
        <w:rPr>
          <w:rFonts w:hint="eastAsia" w:ascii="宋体" w:hAnsi="宋体"/>
        </w:rPr>
      </w:pPr>
      <w:r>
        <w:rPr>
          <w:rFonts w:ascii="宋体" w:hAnsi="宋体"/>
        </w:rPr>
        <w:t>高风险：直接侵权且无有效抗辩理由，可能面临高额赔偿或禁令（如仿制药企业未获强制许可生产专利药）。</w:t>
      </w:r>
    </w:p>
    <w:p>
      <w:pPr>
        <w:ind w:firstLine="480"/>
        <w:rPr>
          <w:rFonts w:hint="eastAsia" w:ascii="宋体" w:hAnsi="宋体"/>
        </w:rPr>
      </w:pPr>
      <w:r>
        <w:rPr>
          <w:rFonts w:ascii="宋体" w:hAnsi="宋体"/>
        </w:rPr>
        <w:t>中风险：存在权利冲突或边缘性侵权，需通过法律程序（如专利无效、商标异议）解决。</w:t>
      </w:r>
    </w:p>
    <w:p>
      <w:pPr>
        <w:ind w:firstLine="480"/>
        <w:rPr>
          <w:rFonts w:hint="eastAsia" w:ascii="宋体" w:hAnsi="宋体"/>
        </w:rPr>
      </w:pPr>
      <w:r>
        <w:rPr>
          <w:rFonts w:ascii="宋体" w:hAnsi="宋体"/>
        </w:rPr>
        <w:t>低风险：非实质性侵权或权利状态不明确，可通过优化设计规避。</w:t>
      </w:r>
    </w:p>
    <w:p>
      <w:pPr>
        <w:ind w:firstLine="482"/>
        <w:rPr>
          <w:rFonts w:hint="eastAsia" w:ascii="宋体" w:hAnsi="宋体"/>
          <w:b/>
          <w:bCs/>
        </w:rPr>
      </w:pPr>
      <w:r>
        <w:rPr>
          <w:rFonts w:ascii="宋体" w:hAnsi="宋体"/>
          <w:b/>
          <w:bCs/>
        </w:rPr>
        <w:t>2.制定风险应对优先级</w:t>
      </w:r>
    </w:p>
    <w:p>
      <w:pPr>
        <w:ind w:firstLine="480"/>
        <w:rPr>
          <w:rFonts w:hint="eastAsia" w:ascii="宋体" w:hAnsi="宋体"/>
        </w:rPr>
      </w:pPr>
      <w:r>
        <w:rPr>
          <w:rFonts w:ascii="宋体" w:hAnsi="宋体"/>
        </w:rPr>
        <w:t>高风险事项：立即启动技术规避或获取许可，必要时调整市场进入策略。</w:t>
      </w:r>
    </w:p>
    <w:p>
      <w:pPr>
        <w:ind w:firstLine="480"/>
        <w:rPr>
          <w:rFonts w:hint="eastAsia" w:ascii="宋体" w:hAnsi="宋体"/>
        </w:rPr>
      </w:pPr>
      <w:r>
        <w:rPr>
          <w:rFonts w:ascii="宋体" w:hAnsi="宋体"/>
        </w:rPr>
        <w:t>中风险事项：在产品上市前完成权利冲突解决（如申请专利无效、提交商标异议）。</w:t>
      </w:r>
    </w:p>
    <w:p>
      <w:pPr>
        <w:ind w:firstLine="480"/>
        <w:rPr>
          <w:rFonts w:hint="eastAsia" w:ascii="宋体" w:hAnsi="宋体"/>
        </w:rPr>
      </w:pPr>
      <w:r>
        <w:rPr>
          <w:rFonts w:ascii="宋体" w:hAnsi="宋体"/>
        </w:rPr>
        <w:t>低风险事项：持续监控市场动态，保留研发记录以备抗辩。</w:t>
      </w:r>
    </w:p>
    <w:p>
      <w:pPr>
        <w:ind w:firstLine="482"/>
        <w:rPr>
          <w:rFonts w:hint="eastAsia" w:ascii="宋体" w:hAnsi="宋体"/>
          <w:b/>
          <w:bCs/>
        </w:rPr>
      </w:pPr>
      <w:r>
        <w:rPr>
          <w:rFonts w:ascii="宋体" w:hAnsi="宋体"/>
          <w:b/>
          <w:bCs/>
        </w:rPr>
        <w:t>三、风险控制与合规布局</w:t>
      </w:r>
    </w:p>
    <w:p>
      <w:pPr>
        <w:ind w:firstLine="482"/>
        <w:rPr>
          <w:rFonts w:hint="eastAsia" w:ascii="宋体" w:hAnsi="宋体"/>
          <w:b/>
          <w:bCs/>
        </w:rPr>
      </w:pPr>
      <w:r>
        <w:rPr>
          <w:rFonts w:ascii="宋体" w:hAnsi="宋体"/>
          <w:b/>
          <w:bCs/>
        </w:rPr>
        <w:t>1.知识产权海外布局策略</w:t>
      </w:r>
    </w:p>
    <w:p>
      <w:pPr>
        <w:ind w:firstLine="480"/>
        <w:rPr>
          <w:rFonts w:hint="eastAsia" w:ascii="宋体" w:hAnsi="宋体"/>
        </w:rPr>
      </w:pPr>
      <w:r>
        <w:rPr>
          <w:rFonts w:ascii="宋体" w:hAnsi="宋体"/>
        </w:rPr>
        <w:t>专利布局：</w:t>
      </w:r>
    </w:p>
    <w:p>
      <w:pPr>
        <w:ind w:firstLine="480"/>
        <w:rPr>
          <w:rFonts w:hint="eastAsia" w:ascii="宋体" w:hAnsi="宋体"/>
        </w:rPr>
      </w:pPr>
      <w:r>
        <w:rPr>
          <w:rFonts w:ascii="宋体" w:hAnsi="宋体"/>
        </w:rPr>
        <w:t>通过《专利合作条约》（PCT）或巴黎公约途径申请国际专利，重点布局核心技术和改进技术。</w:t>
      </w:r>
    </w:p>
    <w:p>
      <w:pPr>
        <w:ind w:firstLine="480"/>
        <w:rPr>
          <w:rFonts w:hint="eastAsia" w:ascii="宋体" w:hAnsi="宋体"/>
        </w:rPr>
      </w:pPr>
      <w:r>
        <w:rPr>
          <w:rFonts w:ascii="宋体" w:hAnsi="宋体"/>
        </w:rPr>
        <w:t>示例：中国车企在欧洲申请电动车电池专利时，同步布局快充技术的系列专利，形成专利壁垒。</w:t>
      </w:r>
    </w:p>
    <w:p>
      <w:pPr>
        <w:ind w:firstLine="480"/>
        <w:rPr>
          <w:rFonts w:hint="eastAsia" w:ascii="宋体" w:hAnsi="宋体"/>
        </w:rPr>
      </w:pPr>
      <w:r>
        <w:rPr>
          <w:rFonts w:ascii="宋体" w:hAnsi="宋体"/>
        </w:rPr>
        <w:t>商标先行注册：</w:t>
      </w:r>
    </w:p>
    <w:p>
      <w:pPr>
        <w:ind w:firstLine="480"/>
        <w:rPr>
          <w:rFonts w:hint="eastAsia" w:ascii="宋体" w:hAnsi="宋体"/>
        </w:rPr>
      </w:pPr>
      <w:r>
        <w:rPr>
          <w:rFonts w:ascii="宋体" w:hAnsi="宋体"/>
        </w:rPr>
        <w:t>遵循“注册在先”原则，在产品上市前6-12个月申请商标，覆盖核心类别及关联类别（如第9类电子产品、第35类广告销售）。</w:t>
      </w:r>
    </w:p>
    <w:p>
      <w:pPr>
        <w:ind w:firstLine="480"/>
        <w:rPr>
          <w:rFonts w:hint="eastAsia" w:ascii="宋体" w:hAnsi="宋体"/>
        </w:rPr>
      </w:pPr>
      <w:r>
        <w:rPr>
          <w:rFonts w:ascii="宋体" w:hAnsi="宋体"/>
        </w:rPr>
        <w:t>防御性注册：在目标市场注册近似商标，防止他人恶意抢注（如“华为”在全球多个国家注册“HUAWEI”及图形商标）。</w:t>
      </w:r>
    </w:p>
    <w:p>
      <w:pPr>
        <w:ind w:firstLine="480"/>
        <w:rPr>
          <w:rFonts w:hint="eastAsia" w:ascii="宋体" w:hAnsi="宋体"/>
        </w:rPr>
      </w:pPr>
      <w:r>
        <w:rPr>
          <w:rFonts w:ascii="宋体" w:hAnsi="宋体"/>
        </w:rPr>
        <w:t>版权登记：</w:t>
      </w:r>
    </w:p>
    <w:p>
      <w:pPr>
        <w:ind w:firstLine="480"/>
        <w:rPr>
          <w:rFonts w:hint="eastAsia" w:ascii="宋体" w:hAnsi="宋体"/>
        </w:rPr>
      </w:pPr>
      <w:r>
        <w:rPr>
          <w:rFonts w:ascii="宋体" w:hAnsi="宋体"/>
        </w:rPr>
        <w:t>对软件代码、产品设计图、包装装潢等及时在当地进行版权登记，作为侵权诉讼的初步证据。</w:t>
      </w:r>
    </w:p>
    <w:p>
      <w:pPr>
        <w:ind w:firstLine="482"/>
        <w:rPr>
          <w:rFonts w:hint="eastAsia" w:ascii="宋体" w:hAnsi="宋体"/>
          <w:b/>
          <w:bCs/>
        </w:rPr>
      </w:pPr>
      <w:r>
        <w:rPr>
          <w:rFonts w:ascii="宋体" w:hAnsi="宋体"/>
          <w:b/>
          <w:bCs/>
        </w:rPr>
        <w:t>2.供应链与合作伙伴合规管理</w:t>
      </w:r>
    </w:p>
    <w:p>
      <w:pPr>
        <w:ind w:firstLine="480"/>
        <w:rPr>
          <w:rFonts w:hint="eastAsia" w:ascii="宋体" w:hAnsi="宋体"/>
        </w:rPr>
      </w:pPr>
      <w:r>
        <w:rPr>
          <w:rFonts w:ascii="宋体" w:hAnsi="宋体"/>
        </w:rPr>
        <w:t>供应商审查：</w:t>
      </w:r>
    </w:p>
    <w:p>
      <w:pPr>
        <w:ind w:firstLine="480"/>
        <w:rPr>
          <w:rFonts w:hint="eastAsia" w:ascii="宋体" w:hAnsi="宋体"/>
        </w:rPr>
      </w:pPr>
      <w:r>
        <w:rPr>
          <w:rFonts w:ascii="宋体" w:hAnsi="宋体"/>
        </w:rPr>
        <w:t>要求供应商提供知识产权声明，确保原材料、零部件不侵犯第三方权利（如使用开源软件需遵守GPL协议）。</w:t>
      </w:r>
    </w:p>
    <w:p>
      <w:pPr>
        <w:ind w:firstLine="480"/>
        <w:rPr>
          <w:rFonts w:hint="eastAsia" w:ascii="宋体" w:hAnsi="宋体"/>
        </w:rPr>
      </w:pPr>
      <w:r>
        <w:rPr>
          <w:rFonts w:ascii="宋体" w:hAnsi="宋体"/>
        </w:rPr>
        <w:t>合同条款设计：</w:t>
      </w:r>
    </w:p>
    <w:p>
      <w:pPr>
        <w:ind w:firstLine="480"/>
        <w:rPr>
          <w:rFonts w:hint="eastAsia" w:ascii="宋体" w:hAnsi="宋体"/>
        </w:rPr>
      </w:pPr>
      <w:r>
        <w:rPr>
          <w:rFonts w:ascii="宋体" w:hAnsi="宋体"/>
        </w:rPr>
        <w:t>在采购、经销合同中明确知识产权担保条款，约定侵权赔偿责任归属（如“供应商需承担因专利侵权导致的全部损失”）。</w:t>
      </w:r>
    </w:p>
    <w:p>
      <w:pPr>
        <w:ind w:firstLine="480"/>
        <w:rPr>
          <w:rFonts w:hint="eastAsia" w:ascii="宋体" w:hAnsi="宋体"/>
        </w:rPr>
      </w:pPr>
      <w:r>
        <w:rPr>
          <w:rFonts w:ascii="宋体" w:hAnsi="宋体"/>
        </w:rPr>
        <w:t>跨境电商平台合规：</w:t>
      </w:r>
    </w:p>
    <w:p>
      <w:pPr>
        <w:ind w:firstLine="480"/>
        <w:rPr>
          <w:rFonts w:hint="eastAsia" w:ascii="宋体" w:hAnsi="宋体"/>
        </w:rPr>
      </w:pPr>
      <w:r>
        <w:rPr>
          <w:rFonts w:ascii="宋体" w:hAnsi="宋体"/>
        </w:rPr>
        <w:t>熟悉亚马逊、eBay等平台的知识产权投诉机制（如TRO临时禁令），建立产品上架前的知识产权筛查流程。</w:t>
      </w:r>
    </w:p>
    <w:p>
      <w:pPr>
        <w:ind w:firstLine="482"/>
        <w:rPr>
          <w:rFonts w:hint="eastAsia" w:ascii="宋体" w:hAnsi="宋体"/>
          <w:b/>
          <w:bCs/>
        </w:rPr>
      </w:pPr>
      <w:r>
        <w:rPr>
          <w:rFonts w:ascii="宋体" w:hAnsi="宋体"/>
          <w:b/>
          <w:bCs/>
        </w:rPr>
        <w:t>3.技术规避与自由实施（FTO）方案</w:t>
      </w:r>
    </w:p>
    <w:p>
      <w:pPr>
        <w:ind w:firstLine="480"/>
        <w:rPr>
          <w:rFonts w:hint="eastAsia" w:ascii="宋体" w:hAnsi="宋体"/>
        </w:rPr>
      </w:pPr>
      <w:r>
        <w:rPr>
          <w:rFonts w:ascii="宋体" w:hAnsi="宋体"/>
        </w:rPr>
        <w:t>专利规避设计（DesignAround）：</w:t>
      </w:r>
    </w:p>
    <w:p>
      <w:pPr>
        <w:ind w:firstLine="480"/>
        <w:rPr>
          <w:rFonts w:hint="eastAsia" w:ascii="宋体" w:hAnsi="宋体"/>
        </w:rPr>
      </w:pPr>
      <w:r>
        <w:rPr>
          <w:rFonts w:ascii="宋体" w:hAnsi="宋体"/>
        </w:rPr>
        <w:t>修改侵权技术特征，如替换专利权利要求中的必要技术特征（如将“螺栓连接”改为“卡扣连接”），确保不落入保护范围。</w:t>
      </w:r>
    </w:p>
    <w:p>
      <w:pPr>
        <w:ind w:firstLine="480"/>
        <w:rPr>
          <w:rFonts w:hint="eastAsia" w:ascii="宋体" w:hAnsi="宋体"/>
        </w:rPr>
      </w:pPr>
      <w:r>
        <w:rPr>
          <w:rFonts w:ascii="宋体" w:hAnsi="宋体"/>
        </w:rPr>
        <w:t>获取知识产权许可：</w:t>
      </w:r>
    </w:p>
    <w:p>
      <w:pPr>
        <w:ind w:firstLine="480"/>
        <w:rPr>
          <w:rFonts w:hint="eastAsia" w:ascii="宋体" w:hAnsi="宋体"/>
        </w:rPr>
      </w:pPr>
      <w:r>
        <w:rPr>
          <w:rFonts w:ascii="宋体" w:hAnsi="宋体"/>
        </w:rPr>
        <w:t>通过交叉许可、分许可等方式与权利方合作（如高通与手机厂商的专利许可模式），支付合理许可费降低风险。</w:t>
      </w:r>
    </w:p>
    <w:p>
      <w:pPr>
        <w:ind w:firstLine="480"/>
        <w:rPr>
          <w:rFonts w:hint="eastAsia" w:ascii="宋体" w:hAnsi="宋体"/>
        </w:rPr>
      </w:pPr>
      <w:r>
        <w:rPr>
          <w:rFonts w:ascii="宋体" w:hAnsi="宋体"/>
        </w:rPr>
        <w:t>利用法律例外条款：</w:t>
      </w:r>
    </w:p>
    <w:p>
      <w:pPr>
        <w:ind w:firstLine="480"/>
        <w:rPr>
          <w:rFonts w:hint="eastAsia" w:ascii="宋体" w:hAnsi="宋体"/>
        </w:rPr>
      </w:pPr>
      <w:r>
        <w:rPr>
          <w:rFonts w:ascii="宋体" w:hAnsi="宋体"/>
        </w:rPr>
        <w:t>合理使用（版权）、先用权（专利）、权利用尽（商标）等原则，作为侵权抗辩的法律依据。</w:t>
      </w:r>
    </w:p>
    <w:p>
      <w:pPr>
        <w:ind w:firstLine="482"/>
        <w:rPr>
          <w:rFonts w:hint="eastAsia" w:ascii="宋体" w:hAnsi="宋体"/>
          <w:b/>
          <w:bCs/>
        </w:rPr>
      </w:pPr>
      <w:r>
        <w:rPr>
          <w:rFonts w:ascii="宋体" w:hAnsi="宋体"/>
          <w:b/>
          <w:bCs/>
        </w:rPr>
        <w:t>四、侵权争议应对与救济</w:t>
      </w:r>
    </w:p>
    <w:p>
      <w:pPr>
        <w:ind w:firstLine="482"/>
        <w:rPr>
          <w:rFonts w:hint="eastAsia" w:ascii="宋体" w:hAnsi="宋体"/>
          <w:b/>
          <w:bCs/>
        </w:rPr>
      </w:pPr>
      <w:r>
        <w:rPr>
          <w:rFonts w:ascii="宋体" w:hAnsi="宋体"/>
          <w:b/>
          <w:bCs/>
        </w:rPr>
        <w:t>1.建立侵权预警响应机制</w:t>
      </w:r>
    </w:p>
    <w:p>
      <w:pPr>
        <w:ind w:firstLine="480"/>
        <w:rPr>
          <w:rFonts w:hint="eastAsia" w:ascii="宋体" w:hAnsi="宋体"/>
        </w:rPr>
      </w:pPr>
      <w:r>
        <w:rPr>
          <w:rFonts w:ascii="宋体" w:hAnsi="宋体"/>
        </w:rPr>
        <w:t>监测渠道：</w:t>
      </w:r>
    </w:p>
    <w:p>
      <w:pPr>
        <w:ind w:firstLine="480"/>
        <w:rPr>
          <w:rFonts w:hint="eastAsia" w:ascii="宋体" w:hAnsi="宋体"/>
        </w:rPr>
      </w:pPr>
      <w:r>
        <w:rPr>
          <w:rFonts w:ascii="宋体" w:hAnsi="宋体"/>
        </w:rPr>
        <w:t>定期检索目标市场知识产权数据库，监控竞争对手的新申请动态。</w:t>
      </w:r>
    </w:p>
    <w:p>
      <w:pPr>
        <w:ind w:firstLine="480"/>
        <w:rPr>
          <w:rFonts w:hint="eastAsia" w:ascii="宋体" w:hAnsi="宋体"/>
        </w:rPr>
      </w:pPr>
      <w:r>
        <w:rPr>
          <w:rFonts w:ascii="宋体" w:hAnsi="宋体"/>
        </w:rPr>
        <w:t>委托第三方机构提供侵权预警报告（如LexisNexis、Questel）。</w:t>
      </w:r>
    </w:p>
    <w:p>
      <w:pPr>
        <w:ind w:firstLine="480"/>
        <w:rPr>
          <w:rFonts w:hint="eastAsia" w:ascii="宋体" w:hAnsi="宋体"/>
        </w:rPr>
      </w:pPr>
      <w:r>
        <w:rPr>
          <w:rFonts w:ascii="宋体" w:hAnsi="宋体"/>
        </w:rPr>
        <w:t>应急小组：</w:t>
      </w:r>
    </w:p>
    <w:p>
      <w:pPr>
        <w:ind w:firstLine="480"/>
        <w:rPr>
          <w:rFonts w:hint="eastAsia" w:ascii="宋体" w:hAnsi="宋体"/>
        </w:rPr>
      </w:pPr>
      <w:r>
        <w:rPr>
          <w:rFonts w:ascii="宋体" w:hAnsi="宋体"/>
        </w:rPr>
        <w:t>组建由技术、法务、市场组成的应急团队，制定《侵权争议应对手册》，明确内部沟通流程和外部律师聘用标准。</w:t>
      </w:r>
    </w:p>
    <w:p>
      <w:pPr>
        <w:ind w:firstLine="482"/>
        <w:rPr>
          <w:rFonts w:hint="eastAsia" w:ascii="宋体" w:hAnsi="宋体"/>
          <w:b/>
          <w:bCs/>
        </w:rPr>
      </w:pPr>
      <w:r>
        <w:rPr>
          <w:rFonts w:ascii="宋体" w:hAnsi="宋体"/>
          <w:b/>
          <w:bCs/>
        </w:rPr>
        <w:t>2.争议解决策略选择</w:t>
      </w:r>
    </w:p>
    <w:p>
      <w:pPr>
        <w:ind w:firstLine="480"/>
        <w:rPr>
          <w:rFonts w:hint="eastAsia" w:ascii="宋体" w:hAnsi="宋体"/>
        </w:rPr>
      </w:pPr>
      <w:r>
        <w:rPr>
          <w:rFonts w:ascii="宋体" w:hAnsi="宋体"/>
        </w:rPr>
        <w:t>协商与和解：</w:t>
      </w:r>
    </w:p>
    <w:p>
      <w:pPr>
        <w:ind w:firstLine="480"/>
        <w:rPr>
          <w:rFonts w:hint="eastAsia" w:ascii="宋体" w:hAnsi="宋体"/>
        </w:rPr>
      </w:pPr>
      <w:r>
        <w:rPr>
          <w:rFonts w:ascii="宋体" w:hAnsi="宋体"/>
        </w:rPr>
        <w:t>适用于侵权事实明确但损失较小的案件，通过谈判达成许可协议或赔偿方案，降低诉讼成本。</w:t>
      </w:r>
    </w:p>
    <w:p>
      <w:pPr>
        <w:ind w:firstLine="480"/>
        <w:rPr>
          <w:rFonts w:hint="eastAsia" w:ascii="宋体" w:hAnsi="宋体"/>
        </w:rPr>
      </w:pPr>
      <w:r>
        <w:rPr>
          <w:rFonts w:ascii="宋体" w:hAnsi="宋体"/>
        </w:rPr>
        <w:t>行政程序：</w:t>
      </w:r>
    </w:p>
    <w:p>
      <w:pPr>
        <w:ind w:firstLine="480"/>
        <w:rPr>
          <w:rFonts w:hint="eastAsia" w:ascii="宋体" w:hAnsi="宋体"/>
        </w:rPr>
      </w:pPr>
      <w:r>
        <w:rPr>
          <w:rFonts w:ascii="宋体" w:hAnsi="宋体"/>
        </w:rPr>
        <w:t>利用目标国的知识产权行政救济途径，如美国的USPTO专利审判和上诉委员会（PTAB）可申请专利无效，欧盟知识产权局（EUIPO）可申请商标撤销。</w:t>
      </w:r>
    </w:p>
    <w:p>
      <w:pPr>
        <w:ind w:firstLine="480"/>
        <w:rPr>
          <w:rFonts w:hint="eastAsia" w:ascii="宋体" w:hAnsi="宋体"/>
        </w:rPr>
      </w:pPr>
      <w:r>
        <w:rPr>
          <w:rFonts w:ascii="宋体" w:hAnsi="宋体"/>
        </w:rPr>
        <w:t>司法诉讼：</w:t>
      </w:r>
    </w:p>
    <w:p>
      <w:pPr>
        <w:ind w:firstLine="480"/>
        <w:rPr>
          <w:rFonts w:hint="eastAsia" w:ascii="宋体" w:hAnsi="宋体"/>
        </w:rPr>
      </w:pPr>
      <w:r>
        <w:rPr>
          <w:rFonts w:ascii="宋体" w:hAnsi="宋体"/>
        </w:rPr>
        <w:t>主动发起确认不侵权之诉（如中国企业在美遭遇337调查时，可在深圳中院提起反请求），或积极应诉并提出抗辩理由（如专利无效、现有技术抗辩）。</w:t>
      </w:r>
    </w:p>
    <w:p>
      <w:pPr>
        <w:ind w:firstLine="480"/>
        <w:rPr>
          <w:rFonts w:hint="eastAsia" w:ascii="宋体" w:hAnsi="宋体"/>
        </w:rPr>
      </w:pPr>
      <w:r>
        <w:rPr>
          <w:rFonts w:ascii="宋体" w:hAnsi="宋体"/>
        </w:rPr>
        <w:t>仲裁与调解：</w:t>
      </w:r>
    </w:p>
    <w:p>
      <w:pPr>
        <w:ind w:firstLine="480"/>
        <w:rPr>
          <w:rFonts w:hint="eastAsia" w:ascii="宋体" w:hAnsi="宋体"/>
        </w:rPr>
      </w:pPr>
      <w:r>
        <w:rPr>
          <w:rFonts w:ascii="宋体" w:hAnsi="宋体"/>
        </w:rPr>
        <w:t>在合同中约定仲裁条款（如选择新加坡国际仲裁中心），通过非诉讼方式解决跨境知识产权纠纷。</w:t>
      </w:r>
    </w:p>
    <w:p>
      <w:pPr>
        <w:ind w:firstLine="482"/>
        <w:rPr>
          <w:rFonts w:hint="eastAsia" w:ascii="宋体" w:hAnsi="宋体"/>
          <w:b/>
          <w:bCs/>
        </w:rPr>
      </w:pPr>
      <w:r>
        <w:rPr>
          <w:rFonts w:ascii="宋体" w:hAnsi="宋体"/>
          <w:b/>
          <w:bCs/>
        </w:rPr>
        <w:t>3.证据保全与抗辩准备</w:t>
      </w:r>
    </w:p>
    <w:p>
      <w:pPr>
        <w:ind w:firstLine="480"/>
        <w:rPr>
          <w:rFonts w:hint="eastAsia" w:ascii="宋体" w:hAnsi="宋体"/>
        </w:rPr>
      </w:pPr>
      <w:r>
        <w:rPr>
          <w:rFonts w:ascii="宋体" w:hAnsi="宋体"/>
        </w:rPr>
        <w:t>证据收集：</w:t>
      </w:r>
    </w:p>
    <w:p>
      <w:pPr>
        <w:ind w:firstLine="480"/>
        <w:rPr>
          <w:rFonts w:hint="eastAsia" w:ascii="宋体" w:hAnsi="宋体"/>
        </w:rPr>
      </w:pPr>
      <w:r>
        <w:rPr>
          <w:rFonts w:ascii="宋体" w:hAnsi="宋体"/>
        </w:rPr>
        <w:t>侵权对比证据：技术特征比对表、商标近似度分析报告。</w:t>
      </w:r>
    </w:p>
    <w:p>
      <w:pPr>
        <w:ind w:firstLine="480"/>
        <w:rPr>
          <w:rFonts w:hint="eastAsia" w:ascii="宋体" w:hAnsi="宋体"/>
        </w:rPr>
      </w:pPr>
      <w:r>
        <w:rPr>
          <w:rFonts w:ascii="宋体" w:hAnsi="宋体"/>
        </w:rPr>
        <w:t>权利稳定性证据：专利检索报告、商标使用证据（如销售合同、广告宣传）。</w:t>
      </w:r>
    </w:p>
    <w:p>
      <w:pPr>
        <w:ind w:firstLine="480"/>
        <w:rPr>
          <w:rFonts w:hint="eastAsia" w:ascii="宋体" w:hAnsi="宋体"/>
        </w:rPr>
      </w:pPr>
      <w:r>
        <w:rPr>
          <w:rFonts w:ascii="宋体" w:hAnsi="宋体"/>
        </w:rPr>
        <w:t>在先使用证据：研发记录、产品原型、早期销售发票等。</w:t>
      </w:r>
    </w:p>
    <w:p>
      <w:pPr>
        <w:ind w:firstLine="480"/>
        <w:rPr>
          <w:rFonts w:hint="eastAsia" w:ascii="宋体" w:hAnsi="宋体"/>
        </w:rPr>
      </w:pPr>
      <w:r>
        <w:rPr>
          <w:rFonts w:ascii="宋体" w:hAnsi="宋体"/>
        </w:rPr>
        <w:t>核心抗辩理由：</w:t>
      </w:r>
    </w:p>
    <w:p>
      <w:pPr>
        <w:ind w:firstLine="480"/>
        <w:rPr>
          <w:rFonts w:hint="eastAsia" w:ascii="宋体" w:hAnsi="宋体"/>
        </w:rPr>
      </w:pPr>
      <w:r>
        <w:rPr>
          <w:rFonts w:ascii="宋体" w:hAnsi="宋体"/>
        </w:rPr>
        <w:t>专利：现有技术/设计抗辩、专利权无效、禁止反悔原则。</w:t>
      </w:r>
    </w:p>
    <w:p>
      <w:pPr>
        <w:ind w:firstLine="480"/>
        <w:rPr>
          <w:rFonts w:hint="eastAsia" w:ascii="宋体" w:hAnsi="宋体"/>
        </w:rPr>
      </w:pPr>
      <w:r>
        <w:rPr>
          <w:rFonts w:ascii="宋体" w:hAnsi="宋体"/>
        </w:rPr>
        <w:t>商标：非商标性使用、合理使用（如描述性使用）、在先权利抗辩。</w:t>
      </w:r>
    </w:p>
    <w:p>
      <w:pPr>
        <w:ind w:firstLine="480"/>
        <w:rPr>
          <w:rFonts w:hint="eastAsia" w:ascii="宋体" w:hAnsi="宋体"/>
        </w:rPr>
      </w:pPr>
      <w:r>
        <w:rPr>
          <w:rFonts w:ascii="宋体" w:hAnsi="宋体"/>
        </w:rPr>
        <w:t>版权：独立创作、合理使用（如新闻报道、学术研究）。</w:t>
      </w:r>
    </w:p>
    <w:p>
      <w:pPr>
        <w:ind w:firstLine="482"/>
        <w:rPr>
          <w:rFonts w:hint="eastAsia" w:ascii="宋体" w:hAnsi="宋体"/>
          <w:b/>
          <w:bCs/>
        </w:rPr>
      </w:pPr>
      <w:r>
        <w:rPr>
          <w:rFonts w:ascii="宋体" w:hAnsi="宋体"/>
          <w:b/>
          <w:bCs/>
        </w:rPr>
        <w:t>五、持续监控与体系优化</w:t>
      </w:r>
    </w:p>
    <w:p>
      <w:pPr>
        <w:ind w:firstLine="482"/>
        <w:rPr>
          <w:rFonts w:hint="eastAsia" w:ascii="宋体" w:hAnsi="宋体"/>
          <w:b/>
          <w:bCs/>
        </w:rPr>
      </w:pPr>
      <w:r>
        <w:rPr>
          <w:rFonts w:ascii="宋体" w:hAnsi="宋体"/>
          <w:b/>
          <w:bCs/>
        </w:rPr>
        <w:t>1.知识产权动态管理</w:t>
      </w:r>
    </w:p>
    <w:p>
      <w:pPr>
        <w:ind w:firstLine="480"/>
        <w:rPr>
          <w:rFonts w:hint="eastAsia" w:ascii="宋体" w:hAnsi="宋体"/>
        </w:rPr>
      </w:pPr>
      <w:r>
        <w:rPr>
          <w:rFonts w:ascii="宋体" w:hAnsi="宋体"/>
        </w:rPr>
        <w:t>定期复核：</w:t>
      </w:r>
    </w:p>
    <w:p>
      <w:pPr>
        <w:ind w:firstLine="480"/>
        <w:rPr>
          <w:rFonts w:hint="eastAsia" w:ascii="宋体" w:hAnsi="宋体"/>
        </w:rPr>
      </w:pPr>
      <w:r>
        <w:rPr>
          <w:rFonts w:ascii="宋体" w:hAnsi="宋体"/>
        </w:rPr>
        <w:t>每年更新知识产权资产清单，评估海外专利/商标的维持成本与商业价值，适时放弃非核心权利。</w:t>
      </w:r>
    </w:p>
    <w:p>
      <w:pPr>
        <w:ind w:firstLine="480"/>
        <w:rPr>
          <w:rFonts w:hint="eastAsia" w:ascii="宋体" w:hAnsi="宋体"/>
        </w:rPr>
      </w:pPr>
      <w:r>
        <w:rPr>
          <w:rFonts w:ascii="宋体" w:hAnsi="宋体"/>
        </w:rPr>
        <w:t>市场反馈机制：</w:t>
      </w:r>
    </w:p>
    <w:p>
      <w:pPr>
        <w:ind w:firstLine="480"/>
        <w:rPr>
          <w:rFonts w:hint="eastAsia" w:ascii="宋体" w:hAnsi="宋体"/>
        </w:rPr>
      </w:pPr>
      <w:r>
        <w:rPr>
          <w:rFonts w:ascii="宋体" w:hAnsi="宋体"/>
        </w:rPr>
        <w:t>建立客户投诉渠道，及时收集市场中关于产品侵权的反馈信息（如经销商报告竞争对手的侵权指控）。</w:t>
      </w:r>
    </w:p>
    <w:p>
      <w:pPr>
        <w:ind w:firstLine="482"/>
        <w:rPr>
          <w:rFonts w:hint="eastAsia" w:ascii="宋体" w:hAnsi="宋体"/>
          <w:b/>
          <w:bCs/>
        </w:rPr>
      </w:pPr>
      <w:r>
        <w:rPr>
          <w:rFonts w:ascii="宋体" w:hAnsi="宋体"/>
          <w:b/>
          <w:bCs/>
        </w:rPr>
        <w:t>2.合规培训与文化建设</w:t>
      </w:r>
    </w:p>
    <w:p>
      <w:pPr>
        <w:ind w:firstLine="480"/>
        <w:rPr>
          <w:rFonts w:hint="eastAsia" w:ascii="宋体" w:hAnsi="宋体"/>
        </w:rPr>
      </w:pPr>
      <w:r>
        <w:rPr>
          <w:rFonts w:ascii="宋体" w:hAnsi="宋体"/>
        </w:rPr>
        <w:t>内部培训：</w:t>
      </w:r>
    </w:p>
    <w:p>
      <w:pPr>
        <w:ind w:firstLine="480"/>
        <w:rPr>
          <w:rFonts w:hint="eastAsia" w:ascii="宋体" w:hAnsi="宋体"/>
        </w:rPr>
      </w:pPr>
      <w:r>
        <w:rPr>
          <w:rFonts w:ascii="宋体" w:hAnsi="宋体"/>
        </w:rPr>
        <w:t>定期组织海外知识产权法律培训，重点针对研发、采购、市场部门（如“如何避免在产品宣传中使用他人商标”）。</w:t>
      </w:r>
    </w:p>
    <w:p>
      <w:pPr>
        <w:ind w:firstLine="480"/>
        <w:rPr>
          <w:rFonts w:hint="eastAsia" w:ascii="宋体" w:hAnsi="宋体"/>
        </w:rPr>
      </w:pPr>
      <w:r>
        <w:rPr>
          <w:rFonts w:ascii="宋体" w:hAnsi="宋体"/>
        </w:rPr>
        <w:t>案例复盘：</w:t>
      </w:r>
    </w:p>
    <w:p>
      <w:pPr>
        <w:ind w:firstLine="480"/>
        <w:rPr>
          <w:rFonts w:hint="eastAsia" w:ascii="宋体" w:hAnsi="宋体"/>
        </w:rPr>
      </w:pPr>
      <w:r>
        <w:rPr>
          <w:rFonts w:ascii="宋体" w:hAnsi="宋体"/>
        </w:rPr>
        <w:t>分析行业典型侵权案例（如苹果vs三星专利诉讼），总结风险点并纳入企业合规指引。</w:t>
      </w:r>
    </w:p>
    <w:p>
      <w:pPr>
        <w:ind w:firstLine="482"/>
        <w:rPr>
          <w:rFonts w:hint="eastAsia" w:ascii="宋体" w:hAnsi="宋体"/>
          <w:b/>
          <w:bCs/>
        </w:rPr>
      </w:pPr>
      <w:r>
        <w:rPr>
          <w:rFonts w:ascii="宋体" w:hAnsi="宋体"/>
          <w:b/>
          <w:bCs/>
        </w:rPr>
        <w:t>3.体系迭代与技术赋能</w:t>
      </w:r>
    </w:p>
    <w:p>
      <w:pPr>
        <w:ind w:firstLine="480"/>
        <w:rPr>
          <w:rFonts w:hint="eastAsia" w:ascii="宋体" w:hAnsi="宋体"/>
        </w:rPr>
      </w:pPr>
      <w:r>
        <w:rPr>
          <w:rFonts w:ascii="宋体" w:hAnsi="宋体"/>
        </w:rPr>
        <w:t>引入AI工具：</w:t>
      </w:r>
    </w:p>
    <w:p>
      <w:pPr>
        <w:ind w:firstLine="480"/>
        <w:rPr>
          <w:rFonts w:hint="eastAsia" w:ascii="宋体" w:hAnsi="宋体"/>
        </w:rPr>
      </w:pPr>
      <w:r>
        <w:rPr>
          <w:rFonts w:ascii="宋体" w:hAnsi="宋体"/>
        </w:rPr>
        <w:t>使用知识产权大数据分析工具（如PatSnap、OrbitIntelligence）进行侵权预警和FTO分析，提升检索效率。</w:t>
      </w:r>
    </w:p>
    <w:p>
      <w:pPr>
        <w:ind w:firstLine="480"/>
        <w:rPr>
          <w:rFonts w:hint="eastAsia" w:ascii="宋体" w:hAnsi="宋体"/>
        </w:rPr>
      </w:pPr>
      <w:r>
        <w:rPr>
          <w:rFonts w:ascii="宋体" w:hAnsi="宋体"/>
        </w:rPr>
        <w:t>参与行业联盟：</w:t>
      </w:r>
    </w:p>
    <w:p>
      <w:pPr>
        <w:ind w:firstLine="480"/>
        <w:rPr>
          <w:rFonts w:hint="eastAsia" w:ascii="宋体" w:hAnsi="宋体"/>
        </w:rPr>
      </w:pPr>
      <w:r>
        <w:rPr>
          <w:rFonts w:ascii="宋体" w:hAnsi="宋体"/>
        </w:rPr>
        <w:t>加入国际知识产权保护联盟（如美国知识产权所有者协会IPO），获取政策动态和行业支持。</w:t>
      </w:r>
    </w:p>
    <w:p>
      <w:pPr>
        <w:ind w:firstLine="480"/>
      </w:pPr>
    </w:p>
    <w:p>
      <w:pPr>
        <w:ind w:firstLine="480"/>
      </w:pPr>
    </w:p>
    <w:sectPr>
      <w:footerReference r:id="rId12"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91E2C8D-5A9A-4B18-ADEB-4D8E1AD8BCE7}"/>
  </w:font>
  <w:font w:name="黑体">
    <w:panose1 w:val="02010609060101010101"/>
    <w:charset w:val="86"/>
    <w:family w:val="auto"/>
    <w:pitch w:val="default"/>
    <w:sig w:usb0="800002BF" w:usb1="38CF7CFA" w:usb2="00000016" w:usb3="00000000" w:csb0="00040001" w:csb1="00000000"/>
    <w:embedRegular r:id="rId2" w:fontKey="{5E58AA33-16EF-4536-B480-B4BE8E1F543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338DE69A-36BD-4FD2-B994-5534950CF7FE}"/>
  </w:font>
  <w:font w:name="Helvetica">
    <w:altName w:val="Arial"/>
    <w:panose1 w:val="020B0604020202020204"/>
    <w:charset w:val="00"/>
    <w:family w:val="swiss"/>
    <w:pitch w:val="default"/>
    <w:sig w:usb0="00000000" w:usb1="00000000" w:usb2="00000009" w:usb3="00000000" w:csb0="000001FF" w:csb1="00000000"/>
    <w:embedRegular r:id="rId4" w:fontKey="{3F658053-03E9-4AF7-B367-F924642D30D1}"/>
  </w:font>
  <w:font w:name="楷体">
    <w:panose1 w:val="02010609060101010101"/>
    <w:charset w:val="86"/>
    <w:family w:val="modern"/>
    <w:pitch w:val="default"/>
    <w:sig w:usb0="800002BF" w:usb1="38CF7CFA" w:usb2="00000016" w:usb3="00000000" w:csb0="00040001" w:csb1="00000000"/>
    <w:embedRegular r:id="rId5" w:fontKey="{63224C91-9CF3-4287-B9F2-2EBDE5BE5D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8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8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8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8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8210381"/>
    </w:sdtPr>
    <w:sdtContent>
      <w:p>
        <w:pPr>
          <w:pStyle w:val="12"/>
          <w:ind w:firstLine="480"/>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90D0D0"/>
    <w:multiLevelType w:val="singleLevel"/>
    <w:tmpl w:val="3290D0D0"/>
    <w:lvl w:ilvl="0" w:tentative="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RjNjg4ZDc1YjEyNzE3NDU0N2JiYTkyMzI3OWJlZjIifQ=="/>
  </w:docVars>
  <w:rsids>
    <w:rsidRoot w:val="004A41A3"/>
    <w:rsid w:val="00000CB6"/>
    <w:rsid w:val="000021D2"/>
    <w:rsid w:val="000041A6"/>
    <w:rsid w:val="0000502F"/>
    <w:rsid w:val="00007053"/>
    <w:rsid w:val="000113DF"/>
    <w:rsid w:val="00012241"/>
    <w:rsid w:val="0001290A"/>
    <w:rsid w:val="00013BBD"/>
    <w:rsid w:val="000141D6"/>
    <w:rsid w:val="0001434E"/>
    <w:rsid w:val="0001612B"/>
    <w:rsid w:val="00017E98"/>
    <w:rsid w:val="0002065F"/>
    <w:rsid w:val="0002193A"/>
    <w:rsid w:val="00025047"/>
    <w:rsid w:val="00025F19"/>
    <w:rsid w:val="000261E2"/>
    <w:rsid w:val="00026F39"/>
    <w:rsid w:val="000270BA"/>
    <w:rsid w:val="00030D6A"/>
    <w:rsid w:val="000317CE"/>
    <w:rsid w:val="00036635"/>
    <w:rsid w:val="000401A1"/>
    <w:rsid w:val="000419C6"/>
    <w:rsid w:val="000428DA"/>
    <w:rsid w:val="00043522"/>
    <w:rsid w:val="00045A42"/>
    <w:rsid w:val="000466EA"/>
    <w:rsid w:val="0004775C"/>
    <w:rsid w:val="00047F83"/>
    <w:rsid w:val="000506E4"/>
    <w:rsid w:val="0005105E"/>
    <w:rsid w:val="000517F8"/>
    <w:rsid w:val="0005263D"/>
    <w:rsid w:val="000528B0"/>
    <w:rsid w:val="0005334C"/>
    <w:rsid w:val="0005451A"/>
    <w:rsid w:val="000555D5"/>
    <w:rsid w:val="00055E5E"/>
    <w:rsid w:val="00055F57"/>
    <w:rsid w:val="00056891"/>
    <w:rsid w:val="00056D2D"/>
    <w:rsid w:val="00060B44"/>
    <w:rsid w:val="00062826"/>
    <w:rsid w:val="000635F4"/>
    <w:rsid w:val="00063DBA"/>
    <w:rsid w:val="000641A0"/>
    <w:rsid w:val="0006511A"/>
    <w:rsid w:val="00066E19"/>
    <w:rsid w:val="00072A2E"/>
    <w:rsid w:val="000747F0"/>
    <w:rsid w:val="00077863"/>
    <w:rsid w:val="00077A9B"/>
    <w:rsid w:val="000814C0"/>
    <w:rsid w:val="000830DC"/>
    <w:rsid w:val="0008360E"/>
    <w:rsid w:val="00083F0B"/>
    <w:rsid w:val="0008658B"/>
    <w:rsid w:val="00086838"/>
    <w:rsid w:val="000876E2"/>
    <w:rsid w:val="00087E2E"/>
    <w:rsid w:val="0009031C"/>
    <w:rsid w:val="000946C1"/>
    <w:rsid w:val="0009581D"/>
    <w:rsid w:val="00097CA1"/>
    <w:rsid w:val="000A21B9"/>
    <w:rsid w:val="000A4090"/>
    <w:rsid w:val="000A61E1"/>
    <w:rsid w:val="000A6CC4"/>
    <w:rsid w:val="000A7D47"/>
    <w:rsid w:val="000B10DA"/>
    <w:rsid w:val="000B1322"/>
    <w:rsid w:val="000B1B4A"/>
    <w:rsid w:val="000B2984"/>
    <w:rsid w:val="000B43D6"/>
    <w:rsid w:val="000B48D7"/>
    <w:rsid w:val="000B56D8"/>
    <w:rsid w:val="000B6573"/>
    <w:rsid w:val="000B6FFA"/>
    <w:rsid w:val="000C024B"/>
    <w:rsid w:val="000C094B"/>
    <w:rsid w:val="000C2839"/>
    <w:rsid w:val="000C31DB"/>
    <w:rsid w:val="000C3523"/>
    <w:rsid w:val="000C47E0"/>
    <w:rsid w:val="000C61FE"/>
    <w:rsid w:val="000C64F2"/>
    <w:rsid w:val="000D0425"/>
    <w:rsid w:val="000D05A6"/>
    <w:rsid w:val="000D34CA"/>
    <w:rsid w:val="000D354B"/>
    <w:rsid w:val="000D3717"/>
    <w:rsid w:val="000D45AB"/>
    <w:rsid w:val="000D4B28"/>
    <w:rsid w:val="000D67DC"/>
    <w:rsid w:val="000D7757"/>
    <w:rsid w:val="000E007B"/>
    <w:rsid w:val="000E191A"/>
    <w:rsid w:val="000E5913"/>
    <w:rsid w:val="000E6904"/>
    <w:rsid w:val="000E6D7F"/>
    <w:rsid w:val="000E7A51"/>
    <w:rsid w:val="000F023B"/>
    <w:rsid w:val="000F054A"/>
    <w:rsid w:val="000F0610"/>
    <w:rsid w:val="000F0F82"/>
    <w:rsid w:val="000F7642"/>
    <w:rsid w:val="001005D7"/>
    <w:rsid w:val="00101835"/>
    <w:rsid w:val="00101AF3"/>
    <w:rsid w:val="00101B42"/>
    <w:rsid w:val="0010268D"/>
    <w:rsid w:val="001032B0"/>
    <w:rsid w:val="00103ADD"/>
    <w:rsid w:val="00105994"/>
    <w:rsid w:val="00105C8F"/>
    <w:rsid w:val="001060C5"/>
    <w:rsid w:val="0010615A"/>
    <w:rsid w:val="00107D4D"/>
    <w:rsid w:val="001119AC"/>
    <w:rsid w:val="00114A7B"/>
    <w:rsid w:val="00114D47"/>
    <w:rsid w:val="00114D82"/>
    <w:rsid w:val="00115EAC"/>
    <w:rsid w:val="001168B4"/>
    <w:rsid w:val="00117719"/>
    <w:rsid w:val="00117FC6"/>
    <w:rsid w:val="00122531"/>
    <w:rsid w:val="0012423A"/>
    <w:rsid w:val="00130627"/>
    <w:rsid w:val="00132C69"/>
    <w:rsid w:val="0013398D"/>
    <w:rsid w:val="00134D56"/>
    <w:rsid w:val="0013639A"/>
    <w:rsid w:val="001366CF"/>
    <w:rsid w:val="00136FDF"/>
    <w:rsid w:val="001379E8"/>
    <w:rsid w:val="00140586"/>
    <w:rsid w:val="001406F6"/>
    <w:rsid w:val="001421CE"/>
    <w:rsid w:val="00142A0F"/>
    <w:rsid w:val="001442E6"/>
    <w:rsid w:val="00146547"/>
    <w:rsid w:val="00146FBE"/>
    <w:rsid w:val="00152077"/>
    <w:rsid w:val="001529ED"/>
    <w:rsid w:val="00152C7C"/>
    <w:rsid w:val="001558C9"/>
    <w:rsid w:val="001576C5"/>
    <w:rsid w:val="001576E2"/>
    <w:rsid w:val="00157F74"/>
    <w:rsid w:val="00160285"/>
    <w:rsid w:val="001605FC"/>
    <w:rsid w:val="00160ACD"/>
    <w:rsid w:val="00160D15"/>
    <w:rsid w:val="00162810"/>
    <w:rsid w:val="00163D1C"/>
    <w:rsid w:val="00165BE5"/>
    <w:rsid w:val="00166B89"/>
    <w:rsid w:val="001707D0"/>
    <w:rsid w:val="001717D3"/>
    <w:rsid w:val="00173AE8"/>
    <w:rsid w:val="00174841"/>
    <w:rsid w:val="00176349"/>
    <w:rsid w:val="001765F6"/>
    <w:rsid w:val="001836F3"/>
    <w:rsid w:val="001837C0"/>
    <w:rsid w:val="0018785C"/>
    <w:rsid w:val="00191A43"/>
    <w:rsid w:val="00192DB2"/>
    <w:rsid w:val="00192EF0"/>
    <w:rsid w:val="00193137"/>
    <w:rsid w:val="00193BDB"/>
    <w:rsid w:val="001955B3"/>
    <w:rsid w:val="0019750F"/>
    <w:rsid w:val="001A2731"/>
    <w:rsid w:val="001A2FAE"/>
    <w:rsid w:val="001A3099"/>
    <w:rsid w:val="001A433E"/>
    <w:rsid w:val="001A4A3B"/>
    <w:rsid w:val="001A4D1E"/>
    <w:rsid w:val="001A4FD1"/>
    <w:rsid w:val="001A7385"/>
    <w:rsid w:val="001A7851"/>
    <w:rsid w:val="001B056B"/>
    <w:rsid w:val="001B10D9"/>
    <w:rsid w:val="001B1F4D"/>
    <w:rsid w:val="001B1F79"/>
    <w:rsid w:val="001B2737"/>
    <w:rsid w:val="001B6633"/>
    <w:rsid w:val="001B75AB"/>
    <w:rsid w:val="001B763C"/>
    <w:rsid w:val="001B780F"/>
    <w:rsid w:val="001B7832"/>
    <w:rsid w:val="001C0A44"/>
    <w:rsid w:val="001C0C04"/>
    <w:rsid w:val="001C1541"/>
    <w:rsid w:val="001C290F"/>
    <w:rsid w:val="001C3098"/>
    <w:rsid w:val="001C3141"/>
    <w:rsid w:val="001C408A"/>
    <w:rsid w:val="001C5113"/>
    <w:rsid w:val="001C54A1"/>
    <w:rsid w:val="001C6DF4"/>
    <w:rsid w:val="001C7D66"/>
    <w:rsid w:val="001D0214"/>
    <w:rsid w:val="001D0E92"/>
    <w:rsid w:val="001D19E7"/>
    <w:rsid w:val="001D2013"/>
    <w:rsid w:val="001D2053"/>
    <w:rsid w:val="001D4998"/>
    <w:rsid w:val="001D65F2"/>
    <w:rsid w:val="001E01BF"/>
    <w:rsid w:val="001E3395"/>
    <w:rsid w:val="001E382B"/>
    <w:rsid w:val="001E4543"/>
    <w:rsid w:val="001E56AE"/>
    <w:rsid w:val="001E59CD"/>
    <w:rsid w:val="001E6589"/>
    <w:rsid w:val="001E7285"/>
    <w:rsid w:val="001E74D6"/>
    <w:rsid w:val="001F0A2D"/>
    <w:rsid w:val="001F0F66"/>
    <w:rsid w:val="001F1A82"/>
    <w:rsid w:val="001F1CA9"/>
    <w:rsid w:val="001F2F32"/>
    <w:rsid w:val="001F592A"/>
    <w:rsid w:val="001F5FC7"/>
    <w:rsid w:val="001F6195"/>
    <w:rsid w:val="001F70E1"/>
    <w:rsid w:val="001F762F"/>
    <w:rsid w:val="0020038B"/>
    <w:rsid w:val="00203009"/>
    <w:rsid w:val="00204AB0"/>
    <w:rsid w:val="002069C6"/>
    <w:rsid w:val="00206F85"/>
    <w:rsid w:val="00206FEE"/>
    <w:rsid w:val="0021099B"/>
    <w:rsid w:val="00214B9C"/>
    <w:rsid w:val="00214F6E"/>
    <w:rsid w:val="00216A94"/>
    <w:rsid w:val="00217A75"/>
    <w:rsid w:val="00220626"/>
    <w:rsid w:val="002214F8"/>
    <w:rsid w:val="0022259A"/>
    <w:rsid w:val="00223917"/>
    <w:rsid w:val="00223DDE"/>
    <w:rsid w:val="0022444D"/>
    <w:rsid w:val="00225378"/>
    <w:rsid w:val="002256E1"/>
    <w:rsid w:val="0022585B"/>
    <w:rsid w:val="00226E9E"/>
    <w:rsid w:val="00227507"/>
    <w:rsid w:val="00233D2E"/>
    <w:rsid w:val="002344AD"/>
    <w:rsid w:val="002351CE"/>
    <w:rsid w:val="002362AC"/>
    <w:rsid w:val="00237435"/>
    <w:rsid w:val="002377F2"/>
    <w:rsid w:val="00240634"/>
    <w:rsid w:val="00243A63"/>
    <w:rsid w:val="00243F72"/>
    <w:rsid w:val="0024451A"/>
    <w:rsid w:val="002500C4"/>
    <w:rsid w:val="00250EAF"/>
    <w:rsid w:val="00253E44"/>
    <w:rsid w:val="00254984"/>
    <w:rsid w:val="00256DB2"/>
    <w:rsid w:val="00257D4D"/>
    <w:rsid w:val="00260FEB"/>
    <w:rsid w:val="00261EBB"/>
    <w:rsid w:val="00263268"/>
    <w:rsid w:val="00263338"/>
    <w:rsid w:val="00263F35"/>
    <w:rsid w:val="00264AAD"/>
    <w:rsid w:val="00265CF3"/>
    <w:rsid w:val="00265E53"/>
    <w:rsid w:val="002724FA"/>
    <w:rsid w:val="002742B9"/>
    <w:rsid w:val="00274B12"/>
    <w:rsid w:val="00275776"/>
    <w:rsid w:val="00277135"/>
    <w:rsid w:val="002819B1"/>
    <w:rsid w:val="00282AC4"/>
    <w:rsid w:val="00283A64"/>
    <w:rsid w:val="002851A9"/>
    <w:rsid w:val="00286D02"/>
    <w:rsid w:val="00290C6C"/>
    <w:rsid w:val="00294D24"/>
    <w:rsid w:val="0029513F"/>
    <w:rsid w:val="002955CA"/>
    <w:rsid w:val="002A0A34"/>
    <w:rsid w:val="002A0CFF"/>
    <w:rsid w:val="002A1C07"/>
    <w:rsid w:val="002A2993"/>
    <w:rsid w:val="002A2CFD"/>
    <w:rsid w:val="002A3C05"/>
    <w:rsid w:val="002A45B1"/>
    <w:rsid w:val="002A57BB"/>
    <w:rsid w:val="002A63E9"/>
    <w:rsid w:val="002A7336"/>
    <w:rsid w:val="002B220C"/>
    <w:rsid w:val="002B2902"/>
    <w:rsid w:val="002B380B"/>
    <w:rsid w:val="002B5B16"/>
    <w:rsid w:val="002B68E4"/>
    <w:rsid w:val="002B70B1"/>
    <w:rsid w:val="002C0E18"/>
    <w:rsid w:val="002C1AAF"/>
    <w:rsid w:val="002C333F"/>
    <w:rsid w:val="002C4AB4"/>
    <w:rsid w:val="002C508F"/>
    <w:rsid w:val="002C60A1"/>
    <w:rsid w:val="002C60AA"/>
    <w:rsid w:val="002C64F3"/>
    <w:rsid w:val="002D5503"/>
    <w:rsid w:val="002E1105"/>
    <w:rsid w:val="002E1C32"/>
    <w:rsid w:val="002E20E8"/>
    <w:rsid w:val="002E2CF3"/>
    <w:rsid w:val="002E33B7"/>
    <w:rsid w:val="002E3B41"/>
    <w:rsid w:val="002E3BEF"/>
    <w:rsid w:val="002E3E37"/>
    <w:rsid w:val="002E4A23"/>
    <w:rsid w:val="002E4FDB"/>
    <w:rsid w:val="002F3572"/>
    <w:rsid w:val="002F422F"/>
    <w:rsid w:val="002F7283"/>
    <w:rsid w:val="00300CEE"/>
    <w:rsid w:val="00301C66"/>
    <w:rsid w:val="00305CE7"/>
    <w:rsid w:val="00306E5A"/>
    <w:rsid w:val="0030797F"/>
    <w:rsid w:val="003105C3"/>
    <w:rsid w:val="003106A3"/>
    <w:rsid w:val="00317E59"/>
    <w:rsid w:val="00320A9D"/>
    <w:rsid w:val="00321ACE"/>
    <w:rsid w:val="00322FB0"/>
    <w:rsid w:val="003252E1"/>
    <w:rsid w:val="00326827"/>
    <w:rsid w:val="00326E58"/>
    <w:rsid w:val="0033139A"/>
    <w:rsid w:val="0033230E"/>
    <w:rsid w:val="00340C25"/>
    <w:rsid w:val="003426B2"/>
    <w:rsid w:val="00342D34"/>
    <w:rsid w:val="00344744"/>
    <w:rsid w:val="00344C73"/>
    <w:rsid w:val="0034700C"/>
    <w:rsid w:val="00350B66"/>
    <w:rsid w:val="0035141B"/>
    <w:rsid w:val="00351D28"/>
    <w:rsid w:val="0035243D"/>
    <w:rsid w:val="00353050"/>
    <w:rsid w:val="00353DDB"/>
    <w:rsid w:val="003565EB"/>
    <w:rsid w:val="003569FF"/>
    <w:rsid w:val="003579CB"/>
    <w:rsid w:val="00357AEA"/>
    <w:rsid w:val="00360434"/>
    <w:rsid w:val="00365963"/>
    <w:rsid w:val="0036613B"/>
    <w:rsid w:val="003662A9"/>
    <w:rsid w:val="003673CD"/>
    <w:rsid w:val="003710C1"/>
    <w:rsid w:val="00373A43"/>
    <w:rsid w:val="00373F86"/>
    <w:rsid w:val="00376FBC"/>
    <w:rsid w:val="003815BB"/>
    <w:rsid w:val="003816D7"/>
    <w:rsid w:val="00382B1A"/>
    <w:rsid w:val="0038583F"/>
    <w:rsid w:val="0038774B"/>
    <w:rsid w:val="00387B9B"/>
    <w:rsid w:val="003904D4"/>
    <w:rsid w:val="00390979"/>
    <w:rsid w:val="0039097F"/>
    <w:rsid w:val="0039146E"/>
    <w:rsid w:val="003933E4"/>
    <w:rsid w:val="0039490C"/>
    <w:rsid w:val="00394977"/>
    <w:rsid w:val="0039660B"/>
    <w:rsid w:val="003971E5"/>
    <w:rsid w:val="003A1F35"/>
    <w:rsid w:val="003A240D"/>
    <w:rsid w:val="003A29F3"/>
    <w:rsid w:val="003A3821"/>
    <w:rsid w:val="003A449C"/>
    <w:rsid w:val="003A4EB5"/>
    <w:rsid w:val="003B1FB5"/>
    <w:rsid w:val="003B374C"/>
    <w:rsid w:val="003B5BE8"/>
    <w:rsid w:val="003C00F4"/>
    <w:rsid w:val="003C0234"/>
    <w:rsid w:val="003C2D59"/>
    <w:rsid w:val="003C2E90"/>
    <w:rsid w:val="003C5B1A"/>
    <w:rsid w:val="003C60F6"/>
    <w:rsid w:val="003C6586"/>
    <w:rsid w:val="003C6DF3"/>
    <w:rsid w:val="003C755D"/>
    <w:rsid w:val="003D24BE"/>
    <w:rsid w:val="003D2A63"/>
    <w:rsid w:val="003D407C"/>
    <w:rsid w:val="003D653E"/>
    <w:rsid w:val="003D6F8A"/>
    <w:rsid w:val="003E2678"/>
    <w:rsid w:val="003E2845"/>
    <w:rsid w:val="003E2D27"/>
    <w:rsid w:val="003E50E8"/>
    <w:rsid w:val="003E669D"/>
    <w:rsid w:val="003E6803"/>
    <w:rsid w:val="003E77AB"/>
    <w:rsid w:val="003E7BC3"/>
    <w:rsid w:val="003E7D53"/>
    <w:rsid w:val="003E7FE3"/>
    <w:rsid w:val="003F27BC"/>
    <w:rsid w:val="003F60F9"/>
    <w:rsid w:val="00402D65"/>
    <w:rsid w:val="0040419F"/>
    <w:rsid w:val="00405499"/>
    <w:rsid w:val="0040556F"/>
    <w:rsid w:val="00405C04"/>
    <w:rsid w:val="00412342"/>
    <w:rsid w:val="00413278"/>
    <w:rsid w:val="004146C2"/>
    <w:rsid w:val="00415B38"/>
    <w:rsid w:val="004201A7"/>
    <w:rsid w:val="0042487A"/>
    <w:rsid w:val="004249C6"/>
    <w:rsid w:val="00424DED"/>
    <w:rsid w:val="00424F08"/>
    <w:rsid w:val="00424F52"/>
    <w:rsid w:val="00425103"/>
    <w:rsid w:val="004257F6"/>
    <w:rsid w:val="00426A6E"/>
    <w:rsid w:val="0042711B"/>
    <w:rsid w:val="00431EB3"/>
    <w:rsid w:val="00432573"/>
    <w:rsid w:val="00432AD7"/>
    <w:rsid w:val="00433413"/>
    <w:rsid w:val="00433DBD"/>
    <w:rsid w:val="00436238"/>
    <w:rsid w:val="004367E8"/>
    <w:rsid w:val="004417E3"/>
    <w:rsid w:val="00441FCE"/>
    <w:rsid w:val="0044290E"/>
    <w:rsid w:val="00442D21"/>
    <w:rsid w:val="00443134"/>
    <w:rsid w:val="00445E73"/>
    <w:rsid w:val="00446D27"/>
    <w:rsid w:val="00447DC3"/>
    <w:rsid w:val="00452D7E"/>
    <w:rsid w:val="00453D4A"/>
    <w:rsid w:val="00455AA2"/>
    <w:rsid w:val="00456FB8"/>
    <w:rsid w:val="004572FD"/>
    <w:rsid w:val="0046003F"/>
    <w:rsid w:val="004649DB"/>
    <w:rsid w:val="00470D83"/>
    <w:rsid w:val="00471EE0"/>
    <w:rsid w:val="0047495B"/>
    <w:rsid w:val="00474F36"/>
    <w:rsid w:val="00480E2E"/>
    <w:rsid w:val="0048281D"/>
    <w:rsid w:val="004849EE"/>
    <w:rsid w:val="00484C24"/>
    <w:rsid w:val="00486433"/>
    <w:rsid w:val="004918BB"/>
    <w:rsid w:val="00494FA6"/>
    <w:rsid w:val="00495DC0"/>
    <w:rsid w:val="00497C33"/>
    <w:rsid w:val="00497ED2"/>
    <w:rsid w:val="004A01B6"/>
    <w:rsid w:val="004A0BDF"/>
    <w:rsid w:val="004A28C1"/>
    <w:rsid w:val="004A3206"/>
    <w:rsid w:val="004A35D6"/>
    <w:rsid w:val="004A3FA7"/>
    <w:rsid w:val="004A41A3"/>
    <w:rsid w:val="004A41B2"/>
    <w:rsid w:val="004A421C"/>
    <w:rsid w:val="004A4C08"/>
    <w:rsid w:val="004A62C3"/>
    <w:rsid w:val="004A6C8A"/>
    <w:rsid w:val="004A7D2E"/>
    <w:rsid w:val="004B3DAC"/>
    <w:rsid w:val="004B6755"/>
    <w:rsid w:val="004B7E8F"/>
    <w:rsid w:val="004C0A55"/>
    <w:rsid w:val="004C2132"/>
    <w:rsid w:val="004C5438"/>
    <w:rsid w:val="004C62CD"/>
    <w:rsid w:val="004C6436"/>
    <w:rsid w:val="004D130B"/>
    <w:rsid w:val="004D1FA7"/>
    <w:rsid w:val="004D2E5B"/>
    <w:rsid w:val="004D3D61"/>
    <w:rsid w:val="004D4580"/>
    <w:rsid w:val="004D5197"/>
    <w:rsid w:val="004D6636"/>
    <w:rsid w:val="004D7C34"/>
    <w:rsid w:val="004E063E"/>
    <w:rsid w:val="004E25B9"/>
    <w:rsid w:val="004E2640"/>
    <w:rsid w:val="004E31FB"/>
    <w:rsid w:val="004E419E"/>
    <w:rsid w:val="004E46CB"/>
    <w:rsid w:val="004E6D88"/>
    <w:rsid w:val="004E78C4"/>
    <w:rsid w:val="004E7B14"/>
    <w:rsid w:val="004F1306"/>
    <w:rsid w:val="004F1D17"/>
    <w:rsid w:val="004F1F9C"/>
    <w:rsid w:val="004F3E39"/>
    <w:rsid w:val="004F4069"/>
    <w:rsid w:val="004F478B"/>
    <w:rsid w:val="004F5308"/>
    <w:rsid w:val="004F5E35"/>
    <w:rsid w:val="004F6E6A"/>
    <w:rsid w:val="00501A7F"/>
    <w:rsid w:val="005022BD"/>
    <w:rsid w:val="00503094"/>
    <w:rsid w:val="005075CF"/>
    <w:rsid w:val="0051519C"/>
    <w:rsid w:val="005153C9"/>
    <w:rsid w:val="00516308"/>
    <w:rsid w:val="00516593"/>
    <w:rsid w:val="005171C2"/>
    <w:rsid w:val="00517985"/>
    <w:rsid w:val="00517EF5"/>
    <w:rsid w:val="00517F5F"/>
    <w:rsid w:val="00520C57"/>
    <w:rsid w:val="0052324D"/>
    <w:rsid w:val="00523BAA"/>
    <w:rsid w:val="00524192"/>
    <w:rsid w:val="00524482"/>
    <w:rsid w:val="005262E3"/>
    <w:rsid w:val="00527509"/>
    <w:rsid w:val="005279DF"/>
    <w:rsid w:val="0053112F"/>
    <w:rsid w:val="00531621"/>
    <w:rsid w:val="005320EC"/>
    <w:rsid w:val="0053263D"/>
    <w:rsid w:val="00533071"/>
    <w:rsid w:val="005340B6"/>
    <w:rsid w:val="00541065"/>
    <w:rsid w:val="0054181A"/>
    <w:rsid w:val="00541EBD"/>
    <w:rsid w:val="0054321D"/>
    <w:rsid w:val="00544027"/>
    <w:rsid w:val="0054643B"/>
    <w:rsid w:val="00547F2B"/>
    <w:rsid w:val="00547F30"/>
    <w:rsid w:val="00553DB8"/>
    <w:rsid w:val="00554B1C"/>
    <w:rsid w:val="005553C8"/>
    <w:rsid w:val="00555415"/>
    <w:rsid w:val="00556339"/>
    <w:rsid w:val="005573DA"/>
    <w:rsid w:val="00561A80"/>
    <w:rsid w:val="00561C72"/>
    <w:rsid w:val="00563C46"/>
    <w:rsid w:val="005663AC"/>
    <w:rsid w:val="005663ED"/>
    <w:rsid w:val="00567849"/>
    <w:rsid w:val="00570AFE"/>
    <w:rsid w:val="005711AC"/>
    <w:rsid w:val="00572C2E"/>
    <w:rsid w:val="005737E1"/>
    <w:rsid w:val="00573C9F"/>
    <w:rsid w:val="00574657"/>
    <w:rsid w:val="00574F2C"/>
    <w:rsid w:val="0058231D"/>
    <w:rsid w:val="005835CD"/>
    <w:rsid w:val="005840D1"/>
    <w:rsid w:val="0058464F"/>
    <w:rsid w:val="005851C0"/>
    <w:rsid w:val="005854EE"/>
    <w:rsid w:val="005859EF"/>
    <w:rsid w:val="00585A0E"/>
    <w:rsid w:val="005870CB"/>
    <w:rsid w:val="0058719B"/>
    <w:rsid w:val="005876CF"/>
    <w:rsid w:val="00590F50"/>
    <w:rsid w:val="00592D06"/>
    <w:rsid w:val="005934A3"/>
    <w:rsid w:val="005941B7"/>
    <w:rsid w:val="00594936"/>
    <w:rsid w:val="00594F45"/>
    <w:rsid w:val="00595336"/>
    <w:rsid w:val="005953F7"/>
    <w:rsid w:val="005A0076"/>
    <w:rsid w:val="005A050A"/>
    <w:rsid w:val="005A05F3"/>
    <w:rsid w:val="005A0E1E"/>
    <w:rsid w:val="005A2A36"/>
    <w:rsid w:val="005A5222"/>
    <w:rsid w:val="005A6BD9"/>
    <w:rsid w:val="005B26C0"/>
    <w:rsid w:val="005B3168"/>
    <w:rsid w:val="005B4239"/>
    <w:rsid w:val="005B4521"/>
    <w:rsid w:val="005B6088"/>
    <w:rsid w:val="005C000C"/>
    <w:rsid w:val="005C0D7B"/>
    <w:rsid w:val="005C112D"/>
    <w:rsid w:val="005C679D"/>
    <w:rsid w:val="005D106D"/>
    <w:rsid w:val="005D1262"/>
    <w:rsid w:val="005D186F"/>
    <w:rsid w:val="005D23A9"/>
    <w:rsid w:val="005D2906"/>
    <w:rsid w:val="005D3296"/>
    <w:rsid w:val="005D3D96"/>
    <w:rsid w:val="005D3F2A"/>
    <w:rsid w:val="005D4164"/>
    <w:rsid w:val="005D4A8A"/>
    <w:rsid w:val="005D63F6"/>
    <w:rsid w:val="005D6A81"/>
    <w:rsid w:val="005D6B54"/>
    <w:rsid w:val="005D6C25"/>
    <w:rsid w:val="005D7D9D"/>
    <w:rsid w:val="005E03B3"/>
    <w:rsid w:val="005E1EA8"/>
    <w:rsid w:val="005E2093"/>
    <w:rsid w:val="005E3DBD"/>
    <w:rsid w:val="005E4581"/>
    <w:rsid w:val="005E6F8F"/>
    <w:rsid w:val="005E7C0D"/>
    <w:rsid w:val="005F07BE"/>
    <w:rsid w:val="005F1F09"/>
    <w:rsid w:val="005F40E7"/>
    <w:rsid w:val="005F6CA5"/>
    <w:rsid w:val="005F7D4B"/>
    <w:rsid w:val="006006FA"/>
    <w:rsid w:val="006010A7"/>
    <w:rsid w:val="006014B7"/>
    <w:rsid w:val="00602963"/>
    <w:rsid w:val="00610742"/>
    <w:rsid w:val="00611D56"/>
    <w:rsid w:val="006127ED"/>
    <w:rsid w:val="0061565B"/>
    <w:rsid w:val="00615B5A"/>
    <w:rsid w:val="00615CBB"/>
    <w:rsid w:val="006168E4"/>
    <w:rsid w:val="00616FF3"/>
    <w:rsid w:val="006214D4"/>
    <w:rsid w:val="00621ECC"/>
    <w:rsid w:val="00622205"/>
    <w:rsid w:val="006228BD"/>
    <w:rsid w:val="00622B66"/>
    <w:rsid w:val="00622F0A"/>
    <w:rsid w:val="00623B60"/>
    <w:rsid w:val="00632BA1"/>
    <w:rsid w:val="006340CD"/>
    <w:rsid w:val="00634E94"/>
    <w:rsid w:val="00635652"/>
    <w:rsid w:val="00637297"/>
    <w:rsid w:val="00640B1B"/>
    <w:rsid w:val="00642629"/>
    <w:rsid w:val="00642EEA"/>
    <w:rsid w:val="00643E2E"/>
    <w:rsid w:val="006448FC"/>
    <w:rsid w:val="00651613"/>
    <w:rsid w:val="00651CA0"/>
    <w:rsid w:val="00652537"/>
    <w:rsid w:val="0065283E"/>
    <w:rsid w:val="00653305"/>
    <w:rsid w:val="00654AF4"/>
    <w:rsid w:val="00655949"/>
    <w:rsid w:val="00657901"/>
    <w:rsid w:val="00657FB9"/>
    <w:rsid w:val="00660054"/>
    <w:rsid w:val="006612A2"/>
    <w:rsid w:val="00661E4B"/>
    <w:rsid w:val="00661F74"/>
    <w:rsid w:val="00662472"/>
    <w:rsid w:val="006626E1"/>
    <w:rsid w:val="00665FA4"/>
    <w:rsid w:val="00667D22"/>
    <w:rsid w:val="006701C3"/>
    <w:rsid w:val="00672D21"/>
    <w:rsid w:val="00677038"/>
    <w:rsid w:val="00677733"/>
    <w:rsid w:val="00677E2F"/>
    <w:rsid w:val="0068063B"/>
    <w:rsid w:val="00681167"/>
    <w:rsid w:val="00681410"/>
    <w:rsid w:val="0068188B"/>
    <w:rsid w:val="00682624"/>
    <w:rsid w:val="00682F0D"/>
    <w:rsid w:val="006831F2"/>
    <w:rsid w:val="006855C7"/>
    <w:rsid w:val="00686BAC"/>
    <w:rsid w:val="006873B8"/>
    <w:rsid w:val="006920A8"/>
    <w:rsid w:val="006944F4"/>
    <w:rsid w:val="006964B2"/>
    <w:rsid w:val="00696D78"/>
    <w:rsid w:val="006973B4"/>
    <w:rsid w:val="006A2F0E"/>
    <w:rsid w:val="006A34C2"/>
    <w:rsid w:val="006A50E5"/>
    <w:rsid w:val="006A59ED"/>
    <w:rsid w:val="006A6D2D"/>
    <w:rsid w:val="006A7286"/>
    <w:rsid w:val="006B0AB4"/>
    <w:rsid w:val="006B1F18"/>
    <w:rsid w:val="006B35F1"/>
    <w:rsid w:val="006B4A28"/>
    <w:rsid w:val="006B65A3"/>
    <w:rsid w:val="006B7F9A"/>
    <w:rsid w:val="006C1134"/>
    <w:rsid w:val="006C181A"/>
    <w:rsid w:val="006C2949"/>
    <w:rsid w:val="006C2A14"/>
    <w:rsid w:val="006C552B"/>
    <w:rsid w:val="006C5A40"/>
    <w:rsid w:val="006D0001"/>
    <w:rsid w:val="006D04EA"/>
    <w:rsid w:val="006D1535"/>
    <w:rsid w:val="006D153A"/>
    <w:rsid w:val="006D18DB"/>
    <w:rsid w:val="006D34F8"/>
    <w:rsid w:val="006D5F7C"/>
    <w:rsid w:val="006E2896"/>
    <w:rsid w:val="006E308D"/>
    <w:rsid w:val="006E3299"/>
    <w:rsid w:val="006E3B4B"/>
    <w:rsid w:val="006E47D4"/>
    <w:rsid w:val="006E54DD"/>
    <w:rsid w:val="006E5677"/>
    <w:rsid w:val="006E5EB4"/>
    <w:rsid w:val="006E6A0F"/>
    <w:rsid w:val="006E7E8E"/>
    <w:rsid w:val="006E7F43"/>
    <w:rsid w:val="006F1190"/>
    <w:rsid w:val="006F32E1"/>
    <w:rsid w:val="006F591E"/>
    <w:rsid w:val="006F5F4A"/>
    <w:rsid w:val="0070327B"/>
    <w:rsid w:val="00704AB8"/>
    <w:rsid w:val="00704F0D"/>
    <w:rsid w:val="00705593"/>
    <w:rsid w:val="00705688"/>
    <w:rsid w:val="00706C5B"/>
    <w:rsid w:val="00710940"/>
    <w:rsid w:val="007112E8"/>
    <w:rsid w:val="007162F8"/>
    <w:rsid w:val="00716BD9"/>
    <w:rsid w:val="007175CE"/>
    <w:rsid w:val="00717963"/>
    <w:rsid w:val="007201D2"/>
    <w:rsid w:val="00721F3C"/>
    <w:rsid w:val="0072208B"/>
    <w:rsid w:val="00723401"/>
    <w:rsid w:val="0072390C"/>
    <w:rsid w:val="007276C8"/>
    <w:rsid w:val="00727C6F"/>
    <w:rsid w:val="00734F37"/>
    <w:rsid w:val="00735DE5"/>
    <w:rsid w:val="007362CA"/>
    <w:rsid w:val="00736A9D"/>
    <w:rsid w:val="00737E13"/>
    <w:rsid w:val="00740F0B"/>
    <w:rsid w:val="00741F96"/>
    <w:rsid w:val="00742F91"/>
    <w:rsid w:val="0074541B"/>
    <w:rsid w:val="00746C9E"/>
    <w:rsid w:val="00750892"/>
    <w:rsid w:val="007514D3"/>
    <w:rsid w:val="007523CD"/>
    <w:rsid w:val="00754483"/>
    <w:rsid w:val="00754C83"/>
    <w:rsid w:val="00756173"/>
    <w:rsid w:val="00757039"/>
    <w:rsid w:val="007577F5"/>
    <w:rsid w:val="00757C23"/>
    <w:rsid w:val="00757E2A"/>
    <w:rsid w:val="00761E6A"/>
    <w:rsid w:val="00763672"/>
    <w:rsid w:val="00764F35"/>
    <w:rsid w:val="0076550B"/>
    <w:rsid w:val="007673CA"/>
    <w:rsid w:val="007703FC"/>
    <w:rsid w:val="00772C09"/>
    <w:rsid w:val="00773428"/>
    <w:rsid w:val="00774F25"/>
    <w:rsid w:val="007756EB"/>
    <w:rsid w:val="00775B10"/>
    <w:rsid w:val="007766E3"/>
    <w:rsid w:val="00781182"/>
    <w:rsid w:val="00781403"/>
    <w:rsid w:val="00781AB0"/>
    <w:rsid w:val="007872FE"/>
    <w:rsid w:val="00792790"/>
    <w:rsid w:val="00793665"/>
    <w:rsid w:val="00794269"/>
    <w:rsid w:val="007951E7"/>
    <w:rsid w:val="00795716"/>
    <w:rsid w:val="00797E3C"/>
    <w:rsid w:val="007A0D60"/>
    <w:rsid w:val="007A1F6F"/>
    <w:rsid w:val="007A22D8"/>
    <w:rsid w:val="007A339F"/>
    <w:rsid w:val="007A5B21"/>
    <w:rsid w:val="007A64B5"/>
    <w:rsid w:val="007B04CD"/>
    <w:rsid w:val="007B083D"/>
    <w:rsid w:val="007B678B"/>
    <w:rsid w:val="007B7759"/>
    <w:rsid w:val="007C209A"/>
    <w:rsid w:val="007C3A6E"/>
    <w:rsid w:val="007C4C7E"/>
    <w:rsid w:val="007D0B1B"/>
    <w:rsid w:val="007D1713"/>
    <w:rsid w:val="007D38A1"/>
    <w:rsid w:val="007D7393"/>
    <w:rsid w:val="007E11E9"/>
    <w:rsid w:val="007E51D0"/>
    <w:rsid w:val="007E62A9"/>
    <w:rsid w:val="007F0853"/>
    <w:rsid w:val="007F5737"/>
    <w:rsid w:val="007F603B"/>
    <w:rsid w:val="00800126"/>
    <w:rsid w:val="00800F4B"/>
    <w:rsid w:val="00801203"/>
    <w:rsid w:val="00801CC4"/>
    <w:rsid w:val="00803734"/>
    <w:rsid w:val="008045E6"/>
    <w:rsid w:val="00804E19"/>
    <w:rsid w:val="00804FAC"/>
    <w:rsid w:val="0080580E"/>
    <w:rsid w:val="008079BB"/>
    <w:rsid w:val="00810027"/>
    <w:rsid w:val="00810587"/>
    <w:rsid w:val="00810D0D"/>
    <w:rsid w:val="00810E17"/>
    <w:rsid w:val="00811836"/>
    <w:rsid w:val="0081228A"/>
    <w:rsid w:val="008133BC"/>
    <w:rsid w:val="0081432A"/>
    <w:rsid w:val="00817BEE"/>
    <w:rsid w:val="008206DF"/>
    <w:rsid w:val="008217A6"/>
    <w:rsid w:val="00825773"/>
    <w:rsid w:val="00825D87"/>
    <w:rsid w:val="008273DC"/>
    <w:rsid w:val="00830126"/>
    <w:rsid w:val="00833C06"/>
    <w:rsid w:val="00834233"/>
    <w:rsid w:val="00836B45"/>
    <w:rsid w:val="00837019"/>
    <w:rsid w:val="00837616"/>
    <w:rsid w:val="008410EF"/>
    <w:rsid w:val="00841BDA"/>
    <w:rsid w:val="00844285"/>
    <w:rsid w:val="00845016"/>
    <w:rsid w:val="0084627A"/>
    <w:rsid w:val="00846F3F"/>
    <w:rsid w:val="008473EF"/>
    <w:rsid w:val="00850533"/>
    <w:rsid w:val="00850558"/>
    <w:rsid w:val="0085130C"/>
    <w:rsid w:val="008527AE"/>
    <w:rsid w:val="0085327D"/>
    <w:rsid w:val="00853420"/>
    <w:rsid w:val="00853BCE"/>
    <w:rsid w:val="00855040"/>
    <w:rsid w:val="00855536"/>
    <w:rsid w:val="00856E33"/>
    <w:rsid w:val="00857CA3"/>
    <w:rsid w:val="00860900"/>
    <w:rsid w:val="00861529"/>
    <w:rsid w:val="008615BE"/>
    <w:rsid w:val="00862801"/>
    <w:rsid w:val="00862A13"/>
    <w:rsid w:val="00864222"/>
    <w:rsid w:val="008646E2"/>
    <w:rsid w:val="008658E0"/>
    <w:rsid w:val="008660F6"/>
    <w:rsid w:val="00866ABA"/>
    <w:rsid w:val="00870F7C"/>
    <w:rsid w:val="00871433"/>
    <w:rsid w:val="00872229"/>
    <w:rsid w:val="008734B5"/>
    <w:rsid w:val="00873E18"/>
    <w:rsid w:val="00874562"/>
    <w:rsid w:val="00875161"/>
    <w:rsid w:val="00876D9B"/>
    <w:rsid w:val="00876FE9"/>
    <w:rsid w:val="008805D5"/>
    <w:rsid w:val="00880C2C"/>
    <w:rsid w:val="008821B7"/>
    <w:rsid w:val="008824B2"/>
    <w:rsid w:val="0088776A"/>
    <w:rsid w:val="008912EF"/>
    <w:rsid w:val="0089172C"/>
    <w:rsid w:val="0089227E"/>
    <w:rsid w:val="0089319F"/>
    <w:rsid w:val="00894A15"/>
    <w:rsid w:val="0089778B"/>
    <w:rsid w:val="008A298B"/>
    <w:rsid w:val="008A2B95"/>
    <w:rsid w:val="008A7984"/>
    <w:rsid w:val="008A7AFD"/>
    <w:rsid w:val="008B3215"/>
    <w:rsid w:val="008B32CB"/>
    <w:rsid w:val="008B3498"/>
    <w:rsid w:val="008B35DA"/>
    <w:rsid w:val="008B4F2D"/>
    <w:rsid w:val="008B5282"/>
    <w:rsid w:val="008B5C34"/>
    <w:rsid w:val="008B639D"/>
    <w:rsid w:val="008B7ECD"/>
    <w:rsid w:val="008B7F1D"/>
    <w:rsid w:val="008C1A9B"/>
    <w:rsid w:val="008C2C00"/>
    <w:rsid w:val="008C34E6"/>
    <w:rsid w:val="008C4353"/>
    <w:rsid w:val="008C6026"/>
    <w:rsid w:val="008C7CC0"/>
    <w:rsid w:val="008D05B9"/>
    <w:rsid w:val="008D1464"/>
    <w:rsid w:val="008D1F6C"/>
    <w:rsid w:val="008D4316"/>
    <w:rsid w:val="008D4A14"/>
    <w:rsid w:val="008D6905"/>
    <w:rsid w:val="008D6E95"/>
    <w:rsid w:val="008E30DC"/>
    <w:rsid w:val="008F02DC"/>
    <w:rsid w:val="008F0E1D"/>
    <w:rsid w:val="008F2BBA"/>
    <w:rsid w:val="008F7DF9"/>
    <w:rsid w:val="008F7FF5"/>
    <w:rsid w:val="00903166"/>
    <w:rsid w:val="00904CAD"/>
    <w:rsid w:val="00906B04"/>
    <w:rsid w:val="0091042C"/>
    <w:rsid w:val="00911995"/>
    <w:rsid w:val="009119DF"/>
    <w:rsid w:val="009126C0"/>
    <w:rsid w:val="00917AD9"/>
    <w:rsid w:val="0092109F"/>
    <w:rsid w:val="00922D0D"/>
    <w:rsid w:val="00924741"/>
    <w:rsid w:val="00924CFD"/>
    <w:rsid w:val="00926756"/>
    <w:rsid w:val="009319A2"/>
    <w:rsid w:val="00932DE2"/>
    <w:rsid w:val="00934877"/>
    <w:rsid w:val="009405CC"/>
    <w:rsid w:val="00940FEC"/>
    <w:rsid w:val="00941930"/>
    <w:rsid w:val="00942753"/>
    <w:rsid w:val="00943364"/>
    <w:rsid w:val="00943FD3"/>
    <w:rsid w:val="00945627"/>
    <w:rsid w:val="00950CD5"/>
    <w:rsid w:val="00951CA6"/>
    <w:rsid w:val="00952539"/>
    <w:rsid w:val="00953029"/>
    <w:rsid w:val="009557FF"/>
    <w:rsid w:val="009601A6"/>
    <w:rsid w:val="0096130C"/>
    <w:rsid w:val="00961A29"/>
    <w:rsid w:val="009622A1"/>
    <w:rsid w:val="00963E0E"/>
    <w:rsid w:val="00965E7E"/>
    <w:rsid w:val="009675E5"/>
    <w:rsid w:val="00971482"/>
    <w:rsid w:val="009751CE"/>
    <w:rsid w:val="00980C37"/>
    <w:rsid w:val="00981493"/>
    <w:rsid w:val="00981835"/>
    <w:rsid w:val="00986B6E"/>
    <w:rsid w:val="00986E70"/>
    <w:rsid w:val="00987B6D"/>
    <w:rsid w:val="00987D26"/>
    <w:rsid w:val="00992146"/>
    <w:rsid w:val="0099255F"/>
    <w:rsid w:val="00993343"/>
    <w:rsid w:val="00993AD0"/>
    <w:rsid w:val="00994474"/>
    <w:rsid w:val="009966EB"/>
    <w:rsid w:val="00997972"/>
    <w:rsid w:val="009A2EA0"/>
    <w:rsid w:val="009A4E6B"/>
    <w:rsid w:val="009A7BF4"/>
    <w:rsid w:val="009B0224"/>
    <w:rsid w:val="009B17C3"/>
    <w:rsid w:val="009B3A9B"/>
    <w:rsid w:val="009B666B"/>
    <w:rsid w:val="009B70FB"/>
    <w:rsid w:val="009B7BD0"/>
    <w:rsid w:val="009C36DF"/>
    <w:rsid w:val="009C3B27"/>
    <w:rsid w:val="009C3E4D"/>
    <w:rsid w:val="009C426A"/>
    <w:rsid w:val="009C436A"/>
    <w:rsid w:val="009C5F24"/>
    <w:rsid w:val="009D109C"/>
    <w:rsid w:val="009D2F3E"/>
    <w:rsid w:val="009D36ED"/>
    <w:rsid w:val="009D532E"/>
    <w:rsid w:val="009E062B"/>
    <w:rsid w:val="009E0AF7"/>
    <w:rsid w:val="009E0CF9"/>
    <w:rsid w:val="009E1299"/>
    <w:rsid w:val="009E4656"/>
    <w:rsid w:val="009E4AFC"/>
    <w:rsid w:val="009E5592"/>
    <w:rsid w:val="009E6C84"/>
    <w:rsid w:val="009F3148"/>
    <w:rsid w:val="009F407F"/>
    <w:rsid w:val="009F431D"/>
    <w:rsid w:val="009F6C65"/>
    <w:rsid w:val="009F6EF7"/>
    <w:rsid w:val="00A01294"/>
    <w:rsid w:val="00A02815"/>
    <w:rsid w:val="00A03F4D"/>
    <w:rsid w:val="00A04B33"/>
    <w:rsid w:val="00A04DD4"/>
    <w:rsid w:val="00A054A6"/>
    <w:rsid w:val="00A05FA7"/>
    <w:rsid w:val="00A06FD8"/>
    <w:rsid w:val="00A07D52"/>
    <w:rsid w:val="00A13422"/>
    <w:rsid w:val="00A14D8D"/>
    <w:rsid w:val="00A15E8F"/>
    <w:rsid w:val="00A16BAB"/>
    <w:rsid w:val="00A16D0E"/>
    <w:rsid w:val="00A1705A"/>
    <w:rsid w:val="00A177B0"/>
    <w:rsid w:val="00A213F2"/>
    <w:rsid w:val="00A22405"/>
    <w:rsid w:val="00A23475"/>
    <w:rsid w:val="00A25921"/>
    <w:rsid w:val="00A305AA"/>
    <w:rsid w:val="00A316C0"/>
    <w:rsid w:val="00A32718"/>
    <w:rsid w:val="00A3330A"/>
    <w:rsid w:val="00A33A84"/>
    <w:rsid w:val="00A33ABC"/>
    <w:rsid w:val="00A3781C"/>
    <w:rsid w:val="00A446A3"/>
    <w:rsid w:val="00A44B97"/>
    <w:rsid w:val="00A44E44"/>
    <w:rsid w:val="00A467F7"/>
    <w:rsid w:val="00A47349"/>
    <w:rsid w:val="00A5092B"/>
    <w:rsid w:val="00A517F7"/>
    <w:rsid w:val="00A51955"/>
    <w:rsid w:val="00A5335F"/>
    <w:rsid w:val="00A53801"/>
    <w:rsid w:val="00A54762"/>
    <w:rsid w:val="00A561AB"/>
    <w:rsid w:val="00A56416"/>
    <w:rsid w:val="00A60057"/>
    <w:rsid w:val="00A60862"/>
    <w:rsid w:val="00A60867"/>
    <w:rsid w:val="00A61939"/>
    <w:rsid w:val="00A62761"/>
    <w:rsid w:val="00A62A86"/>
    <w:rsid w:val="00A6348B"/>
    <w:rsid w:val="00A63AF6"/>
    <w:rsid w:val="00A63BFE"/>
    <w:rsid w:val="00A71AE7"/>
    <w:rsid w:val="00A71DEC"/>
    <w:rsid w:val="00A71DF2"/>
    <w:rsid w:val="00A72AD0"/>
    <w:rsid w:val="00A72C66"/>
    <w:rsid w:val="00A736A1"/>
    <w:rsid w:val="00A74903"/>
    <w:rsid w:val="00A74B1A"/>
    <w:rsid w:val="00A778AA"/>
    <w:rsid w:val="00A813C1"/>
    <w:rsid w:val="00A81A4F"/>
    <w:rsid w:val="00A83BDE"/>
    <w:rsid w:val="00A8423A"/>
    <w:rsid w:val="00A84990"/>
    <w:rsid w:val="00A84DEC"/>
    <w:rsid w:val="00A852B2"/>
    <w:rsid w:val="00A85E27"/>
    <w:rsid w:val="00A869C8"/>
    <w:rsid w:val="00A86F99"/>
    <w:rsid w:val="00A87924"/>
    <w:rsid w:val="00A87B4E"/>
    <w:rsid w:val="00A923AA"/>
    <w:rsid w:val="00A92A44"/>
    <w:rsid w:val="00A92EF5"/>
    <w:rsid w:val="00A932A9"/>
    <w:rsid w:val="00A9370F"/>
    <w:rsid w:val="00A94F2E"/>
    <w:rsid w:val="00A9682A"/>
    <w:rsid w:val="00A979E9"/>
    <w:rsid w:val="00AA0A6F"/>
    <w:rsid w:val="00AA0F9D"/>
    <w:rsid w:val="00AA3108"/>
    <w:rsid w:val="00AA494D"/>
    <w:rsid w:val="00AB0042"/>
    <w:rsid w:val="00AB3E3B"/>
    <w:rsid w:val="00AB42A3"/>
    <w:rsid w:val="00AB4944"/>
    <w:rsid w:val="00AB50BC"/>
    <w:rsid w:val="00AB5D58"/>
    <w:rsid w:val="00AB5E71"/>
    <w:rsid w:val="00AB61CC"/>
    <w:rsid w:val="00AB77B5"/>
    <w:rsid w:val="00AC06E2"/>
    <w:rsid w:val="00AC1AF2"/>
    <w:rsid w:val="00AC5708"/>
    <w:rsid w:val="00AC7CBA"/>
    <w:rsid w:val="00AD0400"/>
    <w:rsid w:val="00AD148C"/>
    <w:rsid w:val="00AD5CB1"/>
    <w:rsid w:val="00AD74CD"/>
    <w:rsid w:val="00AD7A6F"/>
    <w:rsid w:val="00AE084F"/>
    <w:rsid w:val="00AE1359"/>
    <w:rsid w:val="00AE176A"/>
    <w:rsid w:val="00AE1B3E"/>
    <w:rsid w:val="00AE423D"/>
    <w:rsid w:val="00AE7196"/>
    <w:rsid w:val="00AE7A05"/>
    <w:rsid w:val="00AE7E69"/>
    <w:rsid w:val="00AF1CEC"/>
    <w:rsid w:val="00AF305B"/>
    <w:rsid w:val="00AF4717"/>
    <w:rsid w:val="00AF54E4"/>
    <w:rsid w:val="00AF6365"/>
    <w:rsid w:val="00AF7C43"/>
    <w:rsid w:val="00B01222"/>
    <w:rsid w:val="00B01E2B"/>
    <w:rsid w:val="00B0385B"/>
    <w:rsid w:val="00B0536D"/>
    <w:rsid w:val="00B101E9"/>
    <w:rsid w:val="00B10A0F"/>
    <w:rsid w:val="00B121AF"/>
    <w:rsid w:val="00B126B4"/>
    <w:rsid w:val="00B138BF"/>
    <w:rsid w:val="00B151AC"/>
    <w:rsid w:val="00B15753"/>
    <w:rsid w:val="00B16733"/>
    <w:rsid w:val="00B17663"/>
    <w:rsid w:val="00B17818"/>
    <w:rsid w:val="00B17F50"/>
    <w:rsid w:val="00B20D30"/>
    <w:rsid w:val="00B226C5"/>
    <w:rsid w:val="00B2390C"/>
    <w:rsid w:val="00B260B2"/>
    <w:rsid w:val="00B266C7"/>
    <w:rsid w:val="00B274BC"/>
    <w:rsid w:val="00B27744"/>
    <w:rsid w:val="00B27AF7"/>
    <w:rsid w:val="00B334AB"/>
    <w:rsid w:val="00B35291"/>
    <w:rsid w:val="00B35F2B"/>
    <w:rsid w:val="00B379DA"/>
    <w:rsid w:val="00B40152"/>
    <w:rsid w:val="00B42CA3"/>
    <w:rsid w:val="00B44483"/>
    <w:rsid w:val="00B44F6D"/>
    <w:rsid w:val="00B46573"/>
    <w:rsid w:val="00B47658"/>
    <w:rsid w:val="00B52551"/>
    <w:rsid w:val="00B52644"/>
    <w:rsid w:val="00B5336B"/>
    <w:rsid w:val="00B55173"/>
    <w:rsid w:val="00B55392"/>
    <w:rsid w:val="00B56065"/>
    <w:rsid w:val="00B572BB"/>
    <w:rsid w:val="00B5752F"/>
    <w:rsid w:val="00B60071"/>
    <w:rsid w:val="00B61FDE"/>
    <w:rsid w:val="00B62540"/>
    <w:rsid w:val="00B62F5C"/>
    <w:rsid w:val="00B6391A"/>
    <w:rsid w:val="00B6494F"/>
    <w:rsid w:val="00B66418"/>
    <w:rsid w:val="00B66A7E"/>
    <w:rsid w:val="00B67457"/>
    <w:rsid w:val="00B676D1"/>
    <w:rsid w:val="00B73312"/>
    <w:rsid w:val="00B73324"/>
    <w:rsid w:val="00B754E2"/>
    <w:rsid w:val="00B761C1"/>
    <w:rsid w:val="00B7625B"/>
    <w:rsid w:val="00B76B2D"/>
    <w:rsid w:val="00B77223"/>
    <w:rsid w:val="00B7764A"/>
    <w:rsid w:val="00B80A18"/>
    <w:rsid w:val="00B80DAA"/>
    <w:rsid w:val="00B816A9"/>
    <w:rsid w:val="00B8234C"/>
    <w:rsid w:val="00B82660"/>
    <w:rsid w:val="00B8490F"/>
    <w:rsid w:val="00B911B0"/>
    <w:rsid w:val="00B92181"/>
    <w:rsid w:val="00B92EC7"/>
    <w:rsid w:val="00B953F5"/>
    <w:rsid w:val="00B962E4"/>
    <w:rsid w:val="00B96685"/>
    <w:rsid w:val="00B96D90"/>
    <w:rsid w:val="00B9781F"/>
    <w:rsid w:val="00BA0941"/>
    <w:rsid w:val="00BA340C"/>
    <w:rsid w:val="00BA353E"/>
    <w:rsid w:val="00BA7DDD"/>
    <w:rsid w:val="00BA7E94"/>
    <w:rsid w:val="00BB4717"/>
    <w:rsid w:val="00BB4C34"/>
    <w:rsid w:val="00BB5439"/>
    <w:rsid w:val="00BB6211"/>
    <w:rsid w:val="00BB7792"/>
    <w:rsid w:val="00BC0965"/>
    <w:rsid w:val="00BC0DAD"/>
    <w:rsid w:val="00BC265E"/>
    <w:rsid w:val="00BC33EE"/>
    <w:rsid w:val="00BC374B"/>
    <w:rsid w:val="00BC5946"/>
    <w:rsid w:val="00BD3A16"/>
    <w:rsid w:val="00BD61F4"/>
    <w:rsid w:val="00BD7DEA"/>
    <w:rsid w:val="00BE2BCB"/>
    <w:rsid w:val="00BE3967"/>
    <w:rsid w:val="00BE3E91"/>
    <w:rsid w:val="00BE590B"/>
    <w:rsid w:val="00BE5D9E"/>
    <w:rsid w:val="00BE6BD0"/>
    <w:rsid w:val="00BE7449"/>
    <w:rsid w:val="00BE78FA"/>
    <w:rsid w:val="00BF15FD"/>
    <w:rsid w:val="00BF490D"/>
    <w:rsid w:val="00BF6356"/>
    <w:rsid w:val="00BF6984"/>
    <w:rsid w:val="00BF7582"/>
    <w:rsid w:val="00C00527"/>
    <w:rsid w:val="00C0068E"/>
    <w:rsid w:val="00C0197C"/>
    <w:rsid w:val="00C02328"/>
    <w:rsid w:val="00C04289"/>
    <w:rsid w:val="00C054A4"/>
    <w:rsid w:val="00C10A87"/>
    <w:rsid w:val="00C112F5"/>
    <w:rsid w:val="00C13E55"/>
    <w:rsid w:val="00C17C73"/>
    <w:rsid w:val="00C2002B"/>
    <w:rsid w:val="00C2054F"/>
    <w:rsid w:val="00C210AE"/>
    <w:rsid w:val="00C23C14"/>
    <w:rsid w:val="00C25246"/>
    <w:rsid w:val="00C279CA"/>
    <w:rsid w:val="00C3272F"/>
    <w:rsid w:val="00C337B8"/>
    <w:rsid w:val="00C355A7"/>
    <w:rsid w:val="00C35716"/>
    <w:rsid w:val="00C36E29"/>
    <w:rsid w:val="00C3737B"/>
    <w:rsid w:val="00C37645"/>
    <w:rsid w:val="00C422ED"/>
    <w:rsid w:val="00C4377C"/>
    <w:rsid w:val="00C43D94"/>
    <w:rsid w:val="00C441DC"/>
    <w:rsid w:val="00C44307"/>
    <w:rsid w:val="00C44A04"/>
    <w:rsid w:val="00C47037"/>
    <w:rsid w:val="00C505AF"/>
    <w:rsid w:val="00C52922"/>
    <w:rsid w:val="00C55A9D"/>
    <w:rsid w:val="00C60EDA"/>
    <w:rsid w:val="00C6181A"/>
    <w:rsid w:val="00C63D2D"/>
    <w:rsid w:val="00C6554F"/>
    <w:rsid w:val="00C67CFB"/>
    <w:rsid w:val="00C710DB"/>
    <w:rsid w:val="00C7129A"/>
    <w:rsid w:val="00C73302"/>
    <w:rsid w:val="00C73741"/>
    <w:rsid w:val="00C73DC1"/>
    <w:rsid w:val="00C743EA"/>
    <w:rsid w:val="00C74B55"/>
    <w:rsid w:val="00C74C3A"/>
    <w:rsid w:val="00C76345"/>
    <w:rsid w:val="00C76714"/>
    <w:rsid w:val="00C84547"/>
    <w:rsid w:val="00C848FD"/>
    <w:rsid w:val="00C84914"/>
    <w:rsid w:val="00C85BB7"/>
    <w:rsid w:val="00C91280"/>
    <w:rsid w:val="00C93595"/>
    <w:rsid w:val="00C935F3"/>
    <w:rsid w:val="00C94891"/>
    <w:rsid w:val="00C94E12"/>
    <w:rsid w:val="00C95441"/>
    <w:rsid w:val="00C974E4"/>
    <w:rsid w:val="00CA4D7B"/>
    <w:rsid w:val="00CA64D6"/>
    <w:rsid w:val="00CA676F"/>
    <w:rsid w:val="00CA6B9B"/>
    <w:rsid w:val="00CA7C9B"/>
    <w:rsid w:val="00CB0F2E"/>
    <w:rsid w:val="00CB32D8"/>
    <w:rsid w:val="00CB3384"/>
    <w:rsid w:val="00CB60F9"/>
    <w:rsid w:val="00CB6E98"/>
    <w:rsid w:val="00CB7BFE"/>
    <w:rsid w:val="00CC056B"/>
    <w:rsid w:val="00CC1D2E"/>
    <w:rsid w:val="00CC4D39"/>
    <w:rsid w:val="00CC586B"/>
    <w:rsid w:val="00CC7233"/>
    <w:rsid w:val="00CD173F"/>
    <w:rsid w:val="00CD2B63"/>
    <w:rsid w:val="00CD3002"/>
    <w:rsid w:val="00CD32F5"/>
    <w:rsid w:val="00CD3FFA"/>
    <w:rsid w:val="00CD473C"/>
    <w:rsid w:val="00CD571D"/>
    <w:rsid w:val="00CD61D0"/>
    <w:rsid w:val="00CE102E"/>
    <w:rsid w:val="00CE18B9"/>
    <w:rsid w:val="00CE1A7E"/>
    <w:rsid w:val="00CE3E30"/>
    <w:rsid w:val="00CE66A1"/>
    <w:rsid w:val="00CE7ADE"/>
    <w:rsid w:val="00CE7FCD"/>
    <w:rsid w:val="00CF0762"/>
    <w:rsid w:val="00CF1880"/>
    <w:rsid w:val="00CF264A"/>
    <w:rsid w:val="00CF2823"/>
    <w:rsid w:val="00CF2AAF"/>
    <w:rsid w:val="00CF4C52"/>
    <w:rsid w:val="00CF6729"/>
    <w:rsid w:val="00CF78B0"/>
    <w:rsid w:val="00D03447"/>
    <w:rsid w:val="00D03A06"/>
    <w:rsid w:val="00D04C38"/>
    <w:rsid w:val="00D04D07"/>
    <w:rsid w:val="00D062D9"/>
    <w:rsid w:val="00D072D8"/>
    <w:rsid w:val="00D12EA8"/>
    <w:rsid w:val="00D13498"/>
    <w:rsid w:val="00D14543"/>
    <w:rsid w:val="00D16F1E"/>
    <w:rsid w:val="00D17E78"/>
    <w:rsid w:val="00D202C8"/>
    <w:rsid w:val="00D20B5F"/>
    <w:rsid w:val="00D22846"/>
    <w:rsid w:val="00D23627"/>
    <w:rsid w:val="00D309AB"/>
    <w:rsid w:val="00D30F7E"/>
    <w:rsid w:val="00D36A43"/>
    <w:rsid w:val="00D36EA2"/>
    <w:rsid w:val="00D4068A"/>
    <w:rsid w:val="00D43928"/>
    <w:rsid w:val="00D43D31"/>
    <w:rsid w:val="00D45F90"/>
    <w:rsid w:val="00D47101"/>
    <w:rsid w:val="00D477CC"/>
    <w:rsid w:val="00D5073C"/>
    <w:rsid w:val="00D515C2"/>
    <w:rsid w:val="00D5310D"/>
    <w:rsid w:val="00D53239"/>
    <w:rsid w:val="00D53ACD"/>
    <w:rsid w:val="00D54F8A"/>
    <w:rsid w:val="00D56AC5"/>
    <w:rsid w:val="00D61B32"/>
    <w:rsid w:val="00D62ED4"/>
    <w:rsid w:val="00D635DB"/>
    <w:rsid w:val="00D66060"/>
    <w:rsid w:val="00D66491"/>
    <w:rsid w:val="00D70562"/>
    <w:rsid w:val="00D70607"/>
    <w:rsid w:val="00D76827"/>
    <w:rsid w:val="00D769FC"/>
    <w:rsid w:val="00D77365"/>
    <w:rsid w:val="00D8383E"/>
    <w:rsid w:val="00D84323"/>
    <w:rsid w:val="00D84843"/>
    <w:rsid w:val="00D8796B"/>
    <w:rsid w:val="00D90A1A"/>
    <w:rsid w:val="00D90E23"/>
    <w:rsid w:val="00D91A5F"/>
    <w:rsid w:val="00D933E2"/>
    <w:rsid w:val="00D93545"/>
    <w:rsid w:val="00D947F6"/>
    <w:rsid w:val="00D94A98"/>
    <w:rsid w:val="00DA09F4"/>
    <w:rsid w:val="00DA2FD0"/>
    <w:rsid w:val="00DA3E84"/>
    <w:rsid w:val="00DA5450"/>
    <w:rsid w:val="00DA6A10"/>
    <w:rsid w:val="00DB0581"/>
    <w:rsid w:val="00DB30F6"/>
    <w:rsid w:val="00DB331C"/>
    <w:rsid w:val="00DB3526"/>
    <w:rsid w:val="00DC0017"/>
    <w:rsid w:val="00DC21F0"/>
    <w:rsid w:val="00DC279A"/>
    <w:rsid w:val="00DC2A12"/>
    <w:rsid w:val="00DC435B"/>
    <w:rsid w:val="00DC459A"/>
    <w:rsid w:val="00DC646A"/>
    <w:rsid w:val="00DC719A"/>
    <w:rsid w:val="00DD24BB"/>
    <w:rsid w:val="00DD36EA"/>
    <w:rsid w:val="00DD4185"/>
    <w:rsid w:val="00DD5115"/>
    <w:rsid w:val="00DD5FC0"/>
    <w:rsid w:val="00DD63AD"/>
    <w:rsid w:val="00DD7B29"/>
    <w:rsid w:val="00DE095F"/>
    <w:rsid w:val="00DE196E"/>
    <w:rsid w:val="00DE1FE7"/>
    <w:rsid w:val="00DE22B2"/>
    <w:rsid w:val="00DE22D4"/>
    <w:rsid w:val="00DE4018"/>
    <w:rsid w:val="00DE4F29"/>
    <w:rsid w:val="00DF017F"/>
    <w:rsid w:val="00DF067D"/>
    <w:rsid w:val="00DF440C"/>
    <w:rsid w:val="00DF4AF7"/>
    <w:rsid w:val="00DF5672"/>
    <w:rsid w:val="00DF6D71"/>
    <w:rsid w:val="00E00004"/>
    <w:rsid w:val="00E009AB"/>
    <w:rsid w:val="00E0199F"/>
    <w:rsid w:val="00E05F7B"/>
    <w:rsid w:val="00E066EA"/>
    <w:rsid w:val="00E06CE5"/>
    <w:rsid w:val="00E1075D"/>
    <w:rsid w:val="00E133E0"/>
    <w:rsid w:val="00E13D9B"/>
    <w:rsid w:val="00E14285"/>
    <w:rsid w:val="00E14C5F"/>
    <w:rsid w:val="00E15FA7"/>
    <w:rsid w:val="00E16DEF"/>
    <w:rsid w:val="00E175F0"/>
    <w:rsid w:val="00E22782"/>
    <w:rsid w:val="00E22C17"/>
    <w:rsid w:val="00E23E19"/>
    <w:rsid w:val="00E24541"/>
    <w:rsid w:val="00E26562"/>
    <w:rsid w:val="00E267DC"/>
    <w:rsid w:val="00E269A7"/>
    <w:rsid w:val="00E273FA"/>
    <w:rsid w:val="00E27E71"/>
    <w:rsid w:val="00E31281"/>
    <w:rsid w:val="00E32749"/>
    <w:rsid w:val="00E339A3"/>
    <w:rsid w:val="00E33F47"/>
    <w:rsid w:val="00E33F56"/>
    <w:rsid w:val="00E34DA5"/>
    <w:rsid w:val="00E40880"/>
    <w:rsid w:val="00E4563E"/>
    <w:rsid w:val="00E45C3C"/>
    <w:rsid w:val="00E478C0"/>
    <w:rsid w:val="00E518AC"/>
    <w:rsid w:val="00E521F2"/>
    <w:rsid w:val="00E5299C"/>
    <w:rsid w:val="00E534B1"/>
    <w:rsid w:val="00E539EC"/>
    <w:rsid w:val="00E552F9"/>
    <w:rsid w:val="00E55ECA"/>
    <w:rsid w:val="00E57B62"/>
    <w:rsid w:val="00E613D2"/>
    <w:rsid w:val="00E61D69"/>
    <w:rsid w:val="00E62C3F"/>
    <w:rsid w:val="00E640AF"/>
    <w:rsid w:val="00E65076"/>
    <w:rsid w:val="00E6534F"/>
    <w:rsid w:val="00E668AD"/>
    <w:rsid w:val="00E67089"/>
    <w:rsid w:val="00E67A1E"/>
    <w:rsid w:val="00E70F29"/>
    <w:rsid w:val="00E7249B"/>
    <w:rsid w:val="00E72B5A"/>
    <w:rsid w:val="00E736A2"/>
    <w:rsid w:val="00E73890"/>
    <w:rsid w:val="00E7498F"/>
    <w:rsid w:val="00E74DC7"/>
    <w:rsid w:val="00E75311"/>
    <w:rsid w:val="00E75F37"/>
    <w:rsid w:val="00E76CBA"/>
    <w:rsid w:val="00E808D9"/>
    <w:rsid w:val="00E8131C"/>
    <w:rsid w:val="00E81B5E"/>
    <w:rsid w:val="00E84644"/>
    <w:rsid w:val="00E85AEC"/>
    <w:rsid w:val="00E87046"/>
    <w:rsid w:val="00E92E5C"/>
    <w:rsid w:val="00E940D0"/>
    <w:rsid w:val="00E95012"/>
    <w:rsid w:val="00E96AD5"/>
    <w:rsid w:val="00EA1469"/>
    <w:rsid w:val="00EA20D3"/>
    <w:rsid w:val="00EA30FE"/>
    <w:rsid w:val="00EA616E"/>
    <w:rsid w:val="00EB06B1"/>
    <w:rsid w:val="00EB2311"/>
    <w:rsid w:val="00EB30AD"/>
    <w:rsid w:val="00EB3C5C"/>
    <w:rsid w:val="00EB5568"/>
    <w:rsid w:val="00EB565D"/>
    <w:rsid w:val="00EC0A10"/>
    <w:rsid w:val="00EC2287"/>
    <w:rsid w:val="00EC2C50"/>
    <w:rsid w:val="00EC2CCC"/>
    <w:rsid w:val="00EC3036"/>
    <w:rsid w:val="00ED05AD"/>
    <w:rsid w:val="00ED14EF"/>
    <w:rsid w:val="00ED24D8"/>
    <w:rsid w:val="00ED3ADB"/>
    <w:rsid w:val="00ED3DB2"/>
    <w:rsid w:val="00ED608F"/>
    <w:rsid w:val="00ED614D"/>
    <w:rsid w:val="00ED7424"/>
    <w:rsid w:val="00ED7F1C"/>
    <w:rsid w:val="00EE564A"/>
    <w:rsid w:val="00EE61BB"/>
    <w:rsid w:val="00EE7620"/>
    <w:rsid w:val="00EF168E"/>
    <w:rsid w:val="00EF1C25"/>
    <w:rsid w:val="00EF3171"/>
    <w:rsid w:val="00EF3BF8"/>
    <w:rsid w:val="00EF46FB"/>
    <w:rsid w:val="00EF587F"/>
    <w:rsid w:val="00EF59F6"/>
    <w:rsid w:val="00EF7D08"/>
    <w:rsid w:val="00F02E83"/>
    <w:rsid w:val="00F05CD1"/>
    <w:rsid w:val="00F06A36"/>
    <w:rsid w:val="00F071B0"/>
    <w:rsid w:val="00F100FF"/>
    <w:rsid w:val="00F11DE6"/>
    <w:rsid w:val="00F1285F"/>
    <w:rsid w:val="00F1322C"/>
    <w:rsid w:val="00F13620"/>
    <w:rsid w:val="00F15953"/>
    <w:rsid w:val="00F15B43"/>
    <w:rsid w:val="00F178E9"/>
    <w:rsid w:val="00F17BCB"/>
    <w:rsid w:val="00F17CE0"/>
    <w:rsid w:val="00F21C17"/>
    <w:rsid w:val="00F22853"/>
    <w:rsid w:val="00F2299D"/>
    <w:rsid w:val="00F23973"/>
    <w:rsid w:val="00F25612"/>
    <w:rsid w:val="00F263D7"/>
    <w:rsid w:val="00F267A3"/>
    <w:rsid w:val="00F26DB2"/>
    <w:rsid w:val="00F311F3"/>
    <w:rsid w:val="00F31988"/>
    <w:rsid w:val="00F31CE9"/>
    <w:rsid w:val="00F31F7E"/>
    <w:rsid w:val="00F3293B"/>
    <w:rsid w:val="00F33DD1"/>
    <w:rsid w:val="00F33E69"/>
    <w:rsid w:val="00F34452"/>
    <w:rsid w:val="00F3652C"/>
    <w:rsid w:val="00F4184D"/>
    <w:rsid w:val="00F42280"/>
    <w:rsid w:val="00F427C0"/>
    <w:rsid w:val="00F42EA6"/>
    <w:rsid w:val="00F4529C"/>
    <w:rsid w:val="00F4628C"/>
    <w:rsid w:val="00F5070F"/>
    <w:rsid w:val="00F50B21"/>
    <w:rsid w:val="00F5107D"/>
    <w:rsid w:val="00F514BD"/>
    <w:rsid w:val="00F516E4"/>
    <w:rsid w:val="00F534D7"/>
    <w:rsid w:val="00F538F5"/>
    <w:rsid w:val="00F54AE5"/>
    <w:rsid w:val="00F554E9"/>
    <w:rsid w:val="00F62441"/>
    <w:rsid w:val="00F626D5"/>
    <w:rsid w:val="00F633FA"/>
    <w:rsid w:val="00F63FFA"/>
    <w:rsid w:val="00F64BB3"/>
    <w:rsid w:val="00F701C6"/>
    <w:rsid w:val="00F70578"/>
    <w:rsid w:val="00F71602"/>
    <w:rsid w:val="00F717C5"/>
    <w:rsid w:val="00F722CA"/>
    <w:rsid w:val="00F72BFC"/>
    <w:rsid w:val="00F77993"/>
    <w:rsid w:val="00F81170"/>
    <w:rsid w:val="00F81BC9"/>
    <w:rsid w:val="00F81C6E"/>
    <w:rsid w:val="00F842FA"/>
    <w:rsid w:val="00F84D5E"/>
    <w:rsid w:val="00F87094"/>
    <w:rsid w:val="00F90ABA"/>
    <w:rsid w:val="00F90C19"/>
    <w:rsid w:val="00F95915"/>
    <w:rsid w:val="00F96DB1"/>
    <w:rsid w:val="00F96FE6"/>
    <w:rsid w:val="00FA0FD7"/>
    <w:rsid w:val="00FA20E1"/>
    <w:rsid w:val="00FA4181"/>
    <w:rsid w:val="00FA4CB6"/>
    <w:rsid w:val="00FA6F9A"/>
    <w:rsid w:val="00FA777A"/>
    <w:rsid w:val="00FA7850"/>
    <w:rsid w:val="00FB1022"/>
    <w:rsid w:val="00FB1714"/>
    <w:rsid w:val="00FB1F58"/>
    <w:rsid w:val="00FB49C0"/>
    <w:rsid w:val="00FB4A84"/>
    <w:rsid w:val="00FB5554"/>
    <w:rsid w:val="00FB63E1"/>
    <w:rsid w:val="00FB7E64"/>
    <w:rsid w:val="00FC06B6"/>
    <w:rsid w:val="00FC2AA9"/>
    <w:rsid w:val="00FC3144"/>
    <w:rsid w:val="00FC3B92"/>
    <w:rsid w:val="00FC3F67"/>
    <w:rsid w:val="00FC5600"/>
    <w:rsid w:val="00FC7CD1"/>
    <w:rsid w:val="00FC7D42"/>
    <w:rsid w:val="00FD03C2"/>
    <w:rsid w:val="00FD1175"/>
    <w:rsid w:val="00FD354D"/>
    <w:rsid w:val="00FD3951"/>
    <w:rsid w:val="00FD62DF"/>
    <w:rsid w:val="00FD75A2"/>
    <w:rsid w:val="00FE0C7F"/>
    <w:rsid w:val="00FE21D2"/>
    <w:rsid w:val="00FE25EB"/>
    <w:rsid w:val="00FE2E38"/>
    <w:rsid w:val="00FE3A14"/>
    <w:rsid w:val="00FE3B23"/>
    <w:rsid w:val="00FE74D3"/>
    <w:rsid w:val="00FF02A1"/>
    <w:rsid w:val="00FF0C83"/>
    <w:rsid w:val="00FF32D5"/>
    <w:rsid w:val="00FF507C"/>
    <w:rsid w:val="00FF6AFE"/>
    <w:rsid w:val="00FF6DD4"/>
    <w:rsid w:val="00FF6EFD"/>
    <w:rsid w:val="0120458E"/>
    <w:rsid w:val="0123584C"/>
    <w:rsid w:val="01344155"/>
    <w:rsid w:val="016B5DC7"/>
    <w:rsid w:val="016D5B82"/>
    <w:rsid w:val="01730929"/>
    <w:rsid w:val="01871C62"/>
    <w:rsid w:val="018D1A7A"/>
    <w:rsid w:val="01973B44"/>
    <w:rsid w:val="019E656A"/>
    <w:rsid w:val="01D24A1F"/>
    <w:rsid w:val="01D67404"/>
    <w:rsid w:val="01E22B2A"/>
    <w:rsid w:val="022D245A"/>
    <w:rsid w:val="023615AF"/>
    <w:rsid w:val="02443CCC"/>
    <w:rsid w:val="02512FE5"/>
    <w:rsid w:val="025D11B8"/>
    <w:rsid w:val="027C00D5"/>
    <w:rsid w:val="02864952"/>
    <w:rsid w:val="028D43DC"/>
    <w:rsid w:val="02A525AF"/>
    <w:rsid w:val="02FE44DC"/>
    <w:rsid w:val="03231B33"/>
    <w:rsid w:val="03525A9E"/>
    <w:rsid w:val="035953D9"/>
    <w:rsid w:val="0365642C"/>
    <w:rsid w:val="03810EC7"/>
    <w:rsid w:val="038500F8"/>
    <w:rsid w:val="03BB23AE"/>
    <w:rsid w:val="03D10AC9"/>
    <w:rsid w:val="03E215EA"/>
    <w:rsid w:val="03E870E6"/>
    <w:rsid w:val="04115E30"/>
    <w:rsid w:val="04234BC1"/>
    <w:rsid w:val="04446205"/>
    <w:rsid w:val="04471852"/>
    <w:rsid w:val="04495324"/>
    <w:rsid w:val="04600486"/>
    <w:rsid w:val="04722D72"/>
    <w:rsid w:val="04794607"/>
    <w:rsid w:val="04A24CDA"/>
    <w:rsid w:val="04A74974"/>
    <w:rsid w:val="04DB2E9B"/>
    <w:rsid w:val="04DF5F2E"/>
    <w:rsid w:val="04E3295A"/>
    <w:rsid w:val="04ED605E"/>
    <w:rsid w:val="05256CC5"/>
    <w:rsid w:val="053E377B"/>
    <w:rsid w:val="054516BB"/>
    <w:rsid w:val="05485881"/>
    <w:rsid w:val="055C16CF"/>
    <w:rsid w:val="05C943F5"/>
    <w:rsid w:val="06020E53"/>
    <w:rsid w:val="06262701"/>
    <w:rsid w:val="06316315"/>
    <w:rsid w:val="06320D53"/>
    <w:rsid w:val="063F4ED6"/>
    <w:rsid w:val="06545260"/>
    <w:rsid w:val="065C7F61"/>
    <w:rsid w:val="06616D34"/>
    <w:rsid w:val="06FC6923"/>
    <w:rsid w:val="070936BE"/>
    <w:rsid w:val="072E2CF9"/>
    <w:rsid w:val="072F42FD"/>
    <w:rsid w:val="07380A73"/>
    <w:rsid w:val="073D0CEA"/>
    <w:rsid w:val="073E6B0C"/>
    <w:rsid w:val="07467658"/>
    <w:rsid w:val="074B1659"/>
    <w:rsid w:val="07520F45"/>
    <w:rsid w:val="0758727E"/>
    <w:rsid w:val="076170CE"/>
    <w:rsid w:val="076448E5"/>
    <w:rsid w:val="07723B19"/>
    <w:rsid w:val="0781151E"/>
    <w:rsid w:val="07821687"/>
    <w:rsid w:val="079B1D8D"/>
    <w:rsid w:val="07AE658A"/>
    <w:rsid w:val="07C763C8"/>
    <w:rsid w:val="07D57174"/>
    <w:rsid w:val="07E44D05"/>
    <w:rsid w:val="07E60A2C"/>
    <w:rsid w:val="07EC72B0"/>
    <w:rsid w:val="07FB307F"/>
    <w:rsid w:val="07FE2B6F"/>
    <w:rsid w:val="08114650"/>
    <w:rsid w:val="082E197B"/>
    <w:rsid w:val="082F7E1D"/>
    <w:rsid w:val="085025D0"/>
    <w:rsid w:val="08546A41"/>
    <w:rsid w:val="08695763"/>
    <w:rsid w:val="088E7FC1"/>
    <w:rsid w:val="08AB4A00"/>
    <w:rsid w:val="08C3758B"/>
    <w:rsid w:val="08D36477"/>
    <w:rsid w:val="090F50F0"/>
    <w:rsid w:val="091A3A51"/>
    <w:rsid w:val="091C32AD"/>
    <w:rsid w:val="093C07E0"/>
    <w:rsid w:val="09640C9C"/>
    <w:rsid w:val="09672D14"/>
    <w:rsid w:val="09CA3103"/>
    <w:rsid w:val="09E5410E"/>
    <w:rsid w:val="0A0D119F"/>
    <w:rsid w:val="0A275576"/>
    <w:rsid w:val="0A7740C9"/>
    <w:rsid w:val="0A800E2A"/>
    <w:rsid w:val="0A8E121A"/>
    <w:rsid w:val="0B064CAC"/>
    <w:rsid w:val="0B0D3FDC"/>
    <w:rsid w:val="0B0D58E7"/>
    <w:rsid w:val="0B203C13"/>
    <w:rsid w:val="0B381EF4"/>
    <w:rsid w:val="0B56100C"/>
    <w:rsid w:val="0B5D570A"/>
    <w:rsid w:val="0B7953C0"/>
    <w:rsid w:val="0B8E3C27"/>
    <w:rsid w:val="0BB52F3C"/>
    <w:rsid w:val="0BBE4333"/>
    <w:rsid w:val="0BC62CE6"/>
    <w:rsid w:val="0BF311AC"/>
    <w:rsid w:val="0C0E7CC4"/>
    <w:rsid w:val="0C1269F3"/>
    <w:rsid w:val="0C6D0460"/>
    <w:rsid w:val="0C7854BF"/>
    <w:rsid w:val="0C850098"/>
    <w:rsid w:val="0C931B6B"/>
    <w:rsid w:val="0CAE14FB"/>
    <w:rsid w:val="0CC55A09"/>
    <w:rsid w:val="0CD66DEE"/>
    <w:rsid w:val="0CE560AB"/>
    <w:rsid w:val="0D067A7F"/>
    <w:rsid w:val="0D166265"/>
    <w:rsid w:val="0D1C3F75"/>
    <w:rsid w:val="0D4B0C5A"/>
    <w:rsid w:val="0D5E20F0"/>
    <w:rsid w:val="0D7929BD"/>
    <w:rsid w:val="0D8E6ED3"/>
    <w:rsid w:val="0D98311E"/>
    <w:rsid w:val="0DB401FC"/>
    <w:rsid w:val="0DD405FA"/>
    <w:rsid w:val="0DDC2E90"/>
    <w:rsid w:val="0DDF3E69"/>
    <w:rsid w:val="0DE14AC5"/>
    <w:rsid w:val="0DE56F32"/>
    <w:rsid w:val="0DE97CF3"/>
    <w:rsid w:val="0DEA7663"/>
    <w:rsid w:val="0DED3C4D"/>
    <w:rsid w:val="0E1D52CC"/>
    <w:rsid w:val="0E3452A8"/>
    <w:rsid w:val="0E361BD5"/>
    <w:rsid w:val="0E815637"/>
    <w:rsid w:val="0E927B6D"/>
    <w:rsid w:val="0E945877"/>
    <w:rsid w:val="0E997665"/>
    <w:rsid w:val="0E9E2ED6"/>
    <w:rsid w:val="0EA025EA"/>
    <w:rsid w:val="0EA10664"/>
    <w:rsid w:val="0EB524A1"/>
    <w:rsid w:val="0EE20AF5"/>
    <w:rsid w:val="0EF05B84"/>
    <w:rsid w:val="0EFD6575"/>
    <w:rsid w:val="0F1D3577"/>
    <w:rsid w:val="0F1E7D65"/>
    <w:rsid w:val="0F393540"/>
    <w:rsid w:val="0F607BF1"/>
    <w:rsid w:val="0F713C26"/>
    <w:rsid w:val="0FB769FE"/>
    <w:rsid w:val="0FC131DB"/>
    <w:rsid w:val="0FCB4B18"/>
    <w:rsid w:val="0FCD6C98"/>
    <w:rsid w:val="0FE350D9"/>
    <w:rsid w:val="0FED089C"/>
    <w:rsid w:val="101449A8"/>
    <w:rsid w:val="10260EB5"/>
    <w:rsid w:val="102A7E93"/>
    <w:rsid w:val="102E7B2D"/>
    <w:rsid w:val="10305890"/>
    <w:rsid w:val="10534DBE"/>
    <w:rsid w:val="1068327B"/>
    <w:rsid w:val="107875A7"/>
    <w:rsid w:val="107C343E"/>
    <w:rsid w:val="107E130A"/>
    <w:rsid w:val="107E311B"/>
    <w:rsid w:val="10846AB0"/>
    <w:rsid w:val="108F6A5A"/>
    <w:rsid w:val="1090632E"/>
    <w:rsid w:val="10CD1330"/>
    <w:rsid w:val="10EE711E"/>
    <w:rsid w:val="1104733D"/>
    <w:rsid w:val="11246C48"/>
    <w:rsid w:val="112D6151"/>
    <w:rsid w:val="113B1DB1"/>
    <w:rsid w:val="114B532C"/>
    <w:rsid w:val="11513438"/>
    <w:rsid w:val="116F3D82"/>
    <w:rsid w:val="117F4DC6"/>
    <w:rsid w:val="11A23ED5"/>
    <w:rsid w:val="11A951BA"/>
    <w:rsid w:val="11B44BC1"/>
    <w:rsid w:val="11B5429E"/>
    <w:rsid w:val="11CF52F1"/>
    <w:rsid w:val="11D23466"/>
    <w:rsid w:val="11DD7458"/>
    <w:rsid w:val="11E00626"/>
    <w:rsid w:val="11F0774E"/>
    <w:rsid w:val="11F356FC"/>
    <w:rsid w:val="121865DB"/>
    <w:rsid w:val="121A3792"/>
    <w:rsid w:val="122406E6"/>
    <w:rsid w:val="125D115D"/>
    <w:rsid w:val="12676A72"/>
    <w:rsid w:val="127001C5"/>
    <w:rsid w:val="12743D24"/>
    <w:rsid w:val="1299596E"/>
    <w:rsid w:val="12AD766B"/>
    <w:rsid w:val="12B02CB8"/>
    <w:rsid w:val="12E13849"/>
    <w:rsid w:val="130C2011"/>
    <w:rsid w:val="13135EB3"/>
    <w:rsid w:val="13186B1A"/>
    <w:rsid w:val="13256969"/>
    <w:rsid w:val="133A6411"/>
    <w:rsid w:val="13526B64"/>
    <w:rsid w:val="1356385F"/>
    <w:rsid w:val="135E2728"/>
    <w:rsid w:val="136B189B"/>
    <w:rsid w:val="136E6014"/>
    <w:rsid w:val="137327C2"/>
    <w:rsid w:val="13816B66"/>
    <w:rsid w:val="13914897"/>
    <w:rsid w:val="13B44698"/>
    <w:rsid w:val="13BD743A"/>
    <w:rsid w:val="13C62793"/>
    <w:rsid w:val="13C7650B"/>
    <w:rsid w:val="141334FE"/>
    <w:rsid w:val="142B4CEC"/>
    <w:rsid w:val="142E0338"/>
    <w:rsid w:val="142E4FE1"/>
    <w:rsid w:val="14551D69"/>
    <w:rsid w:val="14944DC5"/>
    <w:rsid w:val="14A27358"/>
    <w:rsid w:val="14B4083D"/>
    <w:rsid w:val="14EC3D9C"/>
    <w:rsid w:val="14FF6828"/>
    <w:rsid w:val="1508619E"/>
    <w:rsid w:val="15162BEE"/>
    <w:rsid w:val="153D4E60"/>
    <w:rsid w:val="159468C1"/>
    <w:rsid w:val="15966195"/>
    <w:rsid w:val="15AD3329"/>
    <w:rsid w:val="15B14FB4"/>
    <w:rsid w:val="15BB7172"/>
    <w:rsid w:val="15E02697"/>
    <w:rsid w:val="15FD1B1A"/>
    <w:rsid w:val="160718C9"/>
    <w:rsid w:val="161D2A08"/>
    <w:rsid w:val="161D5A46"/>
    <w:rsid w:val="162639BD"/>
    <w:rsid w:val="16277178"/>
    <w:rsid w:val="16285FB7"/>
    <w:rsid w:val="163A32E0"/>
    <w:rsid w:val="165D3284"/>
    <w:rsid w:val="165E3157"/>
    <w:rsid w:val="166A7255"/>
    <w:rsid w:val="166B3108"/>
    <w:rsid w:val="16730284"/>
    <w:rsid w:val="16832189"/>
    <w:rsid w:val="16A1695E"/>
    <w:rsid w:val="16B56AEF"/>
    <w:rsid w:val="16B5744C"/>
    <w:rsid w:val="16DC1E6E"/>
    <w:rsid w:val="16DF4937"/>
    <w:rsid w:val="16F9480D"/>
    <w:rsid w:val="1700546C"/>
    <w:rsid w:val="170835D7"/>
    <w:rsid w:val="171750B3"/>
    <w:rsid w:val="17436FA2"/>
    <w:rsid w:val="17654F9E"/>
    <w:rsid w:val="176E0FB5"/>
    <w:rsid w:val="17866628"/>
    <w:rsid w:val="17877D4B"/>
    <w:rsid w:val="17A662EF"/>
    <w:rsid w:val="17A74C5B"/>
    <w:rsid w:val="17B21108"/>
    <w:rsid w:val="17C446F6"/>
    <w:rsid w:val="17CB527B"/>
    <w:rsid w:val="17E31439"/>
    <w:rsid w:val="17FB319C"/>
    <w:rsid w:val="180371D8"/>
    <w:rsid w:val="18371378"/>
    <w:rsid w:val="18583BD5"/>
    <w:rsid w:val="18891FE1"/>
    <w:rsid w:val="189424AD"/>
    <w:rsid w:val="189528B8"/>
    <w:rsid w:val="18975EDC"/>
    <w:rsid w:val="18B3705E"/>
    <w:rsid w:val="18C20978"/>
    <w:rsid w:val="18CA565E"/>
    <w:rsid w:val="18DE1C10"/>
    <w:rsid w:val="19012763"/>
    <w:rsid w:val="191028D5"/>
    <w:rsid w:val="195645B9"/>
    <w:rsid w:val="19874772"/>
    <w:rsid w:val="199A62E5"/>
    <w:rsid w:val="19A127A0"/>
    <w:rsid w:val="19A5109C"/>
    <w:rsid w:val="19CF7EC7"/>
    <w:rsid w:val="19D76817"/>
    <w:rsid w:val="19DA1D21"/>
    <w:rsid w:val="1A16770C"/>
    <w:rsid w:val="1A18265E"/>
    <w:rsid w:val="1A634E7B"/>
    <w:rsid w:val="1A75317D"/>
    <w:rsid w:val="1A763EBB"/>
    <w:rsid w:val="1A846F04"/>
    <w:rsid w:val="1B007FF8"/>
    <w:rsid w:val="1B0C272C"/>
    <w:rsid w:val="1B207ACA"/>
    <w:rsid w:val="1B282AD5"/>
    <w:rsid w:val="1B3B17AF"/>
    <w:rsid w:val="1B402B95"/>
    <w:rsid w:val="1B4B7E14"/>
    <w:rsid w:val="1B570201"/>
    <w:rsid w:val="1B5A3198"/>
    <w:rsid w:val="1B624471"/>
    <w:rsid w:val="1B656D35"/>
    <w:rsid w:val="1B691D43"/>
    <w:rsid w:val="1B7A0ECD"/>
    <w:rsid w:val="1B8D762B"/>
    <w:rsid w:val="1B982D24"/>
    <w:rsid w:val="1BA829C9"/>
    <w:rsid w:val="1BF360C5"/>
    <w:rsid w:val="1BFC2ACA"/>
    <w:rsid w:val="1C1E0055"/>
    <w:rsid w:val="1C832B8E"/>
    <w:rsid w:val="1C83719E"/>
    <w:rsid w:val="1C850D11"/>
    <w:rsid w:val="1CCF7F31"/>
    <w:rsid w:val="1CDF2BC5"/>
    <w:rsid w:val="1CE85BD6"/>
    <w:rsid w:val="1CF6749F"/>
    <w:rsid w:val="1D5672EA"/>
    <w:rsid w:val="1D5822F8"/>
    <w:rsid w:val="1D7A076C"/>
    <w:rsid w:val="1D7C2114"/>
    <w:rsid w:val="1DBA6D7A"/>
    <w:rsid w:val="1DD77A96"/>
    <w:rsid w:val="1DDD668B"/>
    <w:rsid w:val="1DE31C89"/>
    <w:rsid w:val="1DEA1774"/>
    <w:rsid w:val="1DF43770"/>
    <w:rsid w:val="1DF925E3"/>
    <w:rsid w:val="1E26179C"/>
    <w:rsid w:val="1E2D044C"/>
    <w:rsid w:val="1E7E4CFC"/>
    <w:rsid w:val="1E8B628E"/>
    <w:rsid w:val="1E9F255E"/>
    <w:rsid w:val="1EBD4C0C"/>
    <w:rsid w:val="1ECD28C9"/>
    <w:rsid w:val="1EF5217E"/>
    <w:rsid w:val="1EFB2182"/>
    <w:rsid w:val="1EFE45E9"/>
    <w:rsid w:val="1F023DD8"/>
    <w:rsid w:val="1F1F369F"/>
    <w:rsid w:val="1F8A0129"/>
    <w:rsid w:val="1FAA11BB"/>
    <w:rsid w:val="1FB63CEA"/>
    <w:rsid w:val="1FB84B14"/>
    <w:rsid w:val="1FCB730A"/>
    <w:rsid w:val="1FCD6C57"/>
    <w:rsid w:val="1FE20E19"/>
    <w:rsid w:val="1FFA4EF4"/>
    <w:rsid w:val="2003041B"/>
    <w:rsid w:val="20472ECD"/>
    <w:rsid w:val="20481800"/>
    <w:rsid w:val="208D5077"/>
    <w:rsid w:val="20AA34B3"/>
    <w:rsid w:val="20AA5700"/>
    <w:rsid w:val="20AD0837"/>
    <w:rsid w:val="20B03F37"/>
    <w:rsid w:val="20B71B63"/>
    <w:rsid w:val="20D14047"/>
    <w:rsid w:val="20E76E47"/>
    <w:rsid w:val="20F927A9"/>
    <w:rsid w:val="20FE7C24"/>
    <w:rsid w:val="21117017"/>
    <w:rsid w:val="213845A4"/>
    <w:rsid w:val="213A5FD8"/>
    <w:rsid w:val="213C22E6"/>
    <w:rsid w:val="214366E1"/>
    <w:rsid w:val="214644A7"/>
    <w:rsid w:val="214A112B"/>
    <w:rsid w:val="2150290B"/>
    <w:rsid w:val="2156503C"/>
    <w:rsid w:val="21762311"/>
    <w:rsid w:val="21843C8D"/>
    <w:rsid w:val="2188552B"/>
    <w:rsid w:val="21986917"/>
    <w:rsid w:val="21B5664C"/>
    <w:rsid w:val="21D03533"/>
    <w:rsid w:val="21FF73D1"/>
    <w:rsid w:val="220E23F4"/>
    <w:rsid w:val="22106FC4"/>
    <w:rsid w:val="22137BA5"/>
    <w:rsid w:val="22222E58"/>
    <w:rsid w:val="2228092A"/>
    <w:rsid w:val="22280F08"/>
    <w:rsid w:val="223223E5"/>
    <w:rsid w:val="226135BA"/>
    <w:rsid w:val="227930C6"/>
    <w:rsid w:val="22983747"/>
    <w:rsid w:val="22BC0E97"/>
    <w:rsid w:val="22C85FA2"/>
    <w:rsid w:val="22CC5CB1"/>
    <w:rsid w:val="22DD30F4"/>
    <w:rsid w:val="23A777BF"/>
    <w:rsid w:val="23B07E0C"/>
    <w:rsid w:val="23C5525C"/>
    <w:rsid w:val="23CB5F17"/>
    <w:rsid w:val="23F726D9"/>
    <w:rsid w:val="241023E4"/>
    <w:rsid w:val="241526D3"/>
    <w:rsid w:val="241A2687"/>
    <w:rsid w:val="24291491"/>
    <w:rsid w:val="243F3F38"/>
    <w:rsid w:val="24493D40"/>
    <w:rsid w:val="246E29A5"/>
    <w:rsid w:val="249543F8"/>
    <w:rsid w:val="24A309CE"/>
    <w:rsid w:val="24AD7057"/>
    <w:rsid w:val="24D613E4"/>
    <w:rsid w:val="24D665AE"/>
    <w:rsid w:val="24E011DB"/>
    <w:rsid w:val="24FC5B51"/>
    <w:rsid w:val="25000AC4"/>
    <w:rsid w:val="251956B6"/>
    <w:rsid w:val="25697043"/>
    <w:rsid w:val="25803E00"/>
    <w:rsid w:val="258B55EA"/>
    <w:rsid w:val="25A466EB"/>
    <w:rsid w:val="25A72383"/>
    <w:rsid w:val="25E4680A"/>
    <w:rsid w:val="25EA0D48"/>
    <w:rsid w:val="25EF404C"/>
    <w:rsid w:val="25F40E00"/>
    <w:rsid w:val="261C05D2"/>
    <w:rsid w:val="262F241A"/>
    <w:rsid w:val="263E265D"/>
    <w:rsid w:val="26494F24"/>
    <w:rsid w:val="26667B92"/>
    <w:rsid w:val="26737853"/>
    <w:rsid w:val="26760D12"/>
    <w:rsid w:val="26781860"/>
    <w:rsid w:val="26924F6F"/>
    <w:rsid w:val="26A1141B"/>
    <w:rsid w:val="26AA6753"/>
    <w:rsid w:val="26AE2448"/>
    <w:rsid w:val="26C2212C"/>
    <w:rsid w:val="26F471BF"/>
    <w:rsid w:val="271E31B6"/>
    <w:rsid w:val="27313F6F"/>
    <w:rsid w:val="273B2412"/>
    <w:rsid w:val="27567F28"/>
    <w:rsid w:val="27721C50"/>
    <w:rsid w:val="277976C4"/>
    <w:rsid w:val="27967B31"/>
    <w:rsid w:val="27C9075F"/>
    <w:rsid w:val="27C93AA6"/>
    <w:rsid w:val="27D536CF"/>
    <w:rsid w:val="28040CA5"/>
    <w:rsid w:val="2810627B"/>
    <w:rsid w:val="28163D05"/>
    <w:rsid w:val="281C4C20"/>
    <w:rsid w:val="28496CB3"/>
    <w:rsid w:val="2868457E"/>
    <w:rsid w:val="28795BCE"/>
    <w:rsid w:val="287B5482"/>
    <w:rsid w:val="28CB0887"/>
    <w:rsid w:val="28FC1D3A"/>
    <w:rsid w:val="28FD4B60"/>
    <w:rsid w:val="290A2CCA"/>
    <w:rsid w:val="29280F05"/>
    <w:rsid w:val="29287145"/>
    <w:rsid w:val="29331B12"/>
    <w:rsid w:val="293B0155"/>
    <w:rsid w:val="29995DFC"/>
    <w:rsid w:val="29A21B12"/>
    <w:rsid w:val="29A57D37"/>
    <w:rsid w:val="29EE439A"/>
    <w:rsid w:val="2A092F82"/>
    <w:rsid w:val="2A1247A9"/>
    <w:rsid w:val="2A3D090A"/>
    <w:rsid w:val="2A431C41"/>
    <w:rsid w:val="2A5E77FA"/>
    <w:rsid w:val="2A685EFA"/>
    <w:rsid w:val="2A7163E3"/>
    <w:rsid w:val="2A86136E"/>
    <w:rsid w:val="2A8B3AE2"/>
    <w:rsid w:val="2A8D3BB3"/>
    <w:rsid w:val="2ADC4216"/>
    <w:rsid w:val="2AE13EFE"/>
    <w:rsid w:val="2AEA1E9F"/>
    <w:rsid w:val="2B10080C"/>
    <w:rsid w:val="2B137F45"/>
    <w:rsid w:val="2B2A5F61"/>
    <w:rsid w:val="2B4708B7"/>
    <w:rsid w:val="2B4C75CA"/>
    <w:rsid w:val="2B5C4F65"/>
    <w:rsid w:val="2B6A3015"/>
    <w:rsid w:val="2B6B3925"/>
    <w:rsid w:val="2B801CC8"/>
    <w:rsid w:val="2BA016C4"/>
    <w:rsid w:val="2BE55033"/>
    <w:rsid w:val="2BE912BD"/>
    <w:rsid w:val="2C081230"/>
    <w:rsid w:val="2C0E0D23"/>
    <w:rsid w:val="2C2B2BD5"/>
    <w:rsid w:val="2C2E6CCF"/>
    <w:rsid w:val="2C455133"/>
    <w:rsid w:val="2C477D91"/>
    <w:rsid w:val="2C510117"/>
    <w:rsid w:val="2C661BAD"/>
    <w:rsid w:val="2C8948DB"/>
    <w:rsid w:val="2C9D172B"/>
    <w:rsid w:val="2CD46F8B"/>
    <w:rsid w:val="2CD86C3B"/>
    <w:rsid w:val="2CD9317D"/>
    <w:rsid w:val="2CD9476B"/>
    <w:rsid w:val="2D1B08F7"/>
    <w:rsid w:val="2D1B49DC"/>
    <w:rsid w:val="2D231C09"/>
    <w:rsid w:val="2D4A4429"/>
    <w:rsid w:val="2D4C621B"/>
    <w:rsid w:val="2D595F63"/>
    <w:rsid w:val="2D60735C"/>
    <w:rsid w:val="2D656C47"/>
    <w:rsid w:val="2D7E3BF3"/>
    <w:rsid w:val="2D8C7BF1"/>
    <w:rsid w:val="2DA84CAB"/>
    <w:rsid w:val="2DC81675"/>
    <w:rsid w:val="2DE23238"/>
    <w:rsid w:val="2DEA172A"/>
    <w:rsid w:val="2DFB52D7"/>
    <w:rsid w:val="2E1367B4"/>
    <w:rsid w:val="2E405590"/>
    <w:rsid w:val="2E4C2089"/>
    <w:rsid w:val="2E506BDD"/>
    <w:rsid w:val="2E777914"/>
    <w:rsid w:val="2E923B03"/>
    <w:rsid w:val="2E9B6172"/>
    <w:rsid w:val="2ED24231"/>
    <w:rsid w:val="2ED27DE6"/>
    <w:rsid w:val="2EDA7AD7"/>
    <w:rsid w:val="2F655CA2"/>
    <w:rsid w:val="2F9977AD"/>
    <w:rsid w:val="2FAF0127"/>
    <w:rsid w:val="2FC04DBC"/>
    <w:rsid w:val="2FDC6082"/>
    <w:rsid w:val="2FF050B4"/>
    <w:rsid w:val="3014229F"/>
    <w:rsid w:val="302256EA"/>
    <w:rsid w:val="302F3016"/>
    <w:rsid w:val="30466CDD"/>
    <w:rsid w:val="3098505F"/>
    <w:rsid w:val="309B09CB"/>
    <w:rsid w:val="30B2070C"/>
    <w:rsid w:val="30B31E99"/>
    <w:rsid w:val="30F4495A"/>
    <w:rsid w:val="30F46157"/>
    <w:rsid w:val="30FE079D"/>
    <w:rsid w:val="31120BF9"/>
    <w:rsid w:val="31181CFC"/>
    <w:rsid w:val="31311361"/>
    <w:rsid w:val="313774ED"/>
    <w:rsid w:val="3163566D"/>
    <w:rsid w:val="318A3E34"/>
    <w:rsid w:val="31973209"/>
    <w:rsid w:val="31A67124"/>
    <w:rsid w:val="31BB32E3"/>
    <w:rsid w:val="31C003CA"/>
    <w:rsid w:val="31D976DD"/>
    <w:rsid w:val="31E21F25"/>
    <w:rsid w:val="321D3A6E"/>
    <w:rsid w:val="3225030F"/>
    <w:rsid w:val="32375E20"/>
    <w:rsid w:val="323E39E4"/>
    <w:rsid w:val="324059AE"/>
    <w:rsid w:val="3242154F"/>
    <w:rsid w:val="3245403D"/>
    <w:rsid w:val="3247275C"/>
    <w:rsid w:val="3255578E"/>
    <w:rsid w:val="32641206"/>
    <w:rsid w:val="327317FF"/>
    <w:rsid w:val="32742BBE"/>
    <w:rsid w:val="32877139"/>
    <w:rsid w:val="32892EB1"/>
    <w:rsid w:val="32980FDB"/>
    <w:rsid w:val="329830F5"/>
    <w:rsid w:val="32DE6113"/>
    <w:rsid w:val="330C04E6"/>
    <w:rsid w:val="33193672"/>
    <w:rsid w:val="333C1CA5"/>
    <w:rsid w:val="334B5857"/>
    <w:rsid w:val="33782ED8"/>
    <w:rsid w:val="339E473B"/>
    <w:rsid w:val="33AF7EF3"/>
    <w:rsid w:val="33C540F2"/>
    <w:rsid w:val="33E23337"/>
    <w:rsid w:val="33FF3D76"/>
    <w:rsid w:val="344F78A4"/>
    <w:rsid w:val="34636D8D"/>
    <w:rsid w:val="34637732"/>
    <w:rsid w:val="347A00FD"/>
    <w:rsid w:val="349E2F7E"/>
    <w:rsid w:val="34CC3529"/>
    <w:rsid w:val="34D5506F"/>
    <w:rsid w:val="34D73ACD"/>
    <w:rsid w:val="34E2623D"/>
    <w:rsid w:val="34E73EBF"/>
    <w:rsid w:val="34EA1491"/>
    <w:rsid w:val="35417A73"/>
    <w:rsid w:val="354707EA"/>
    <w:rsid w:val="35534836"/>
    <w:rsid w:val="356F1F2E"/>
    <w:rsid w:val="35AE4CC6"/>
    <w:rsid w:val="35B51D8E"/>
    <w:rsid w:val="35C95DA5"/>
    <w:rsid w:val="35D00DF7"/>
    <w:rsid w:val="35D170DF"/>
    <w:rsid w:val="35DB1101"/>
    <w:rsid w:val="35FD0BE5"/>
    <w:rsid w:val="360867E3"/>
    <w:rsid w:val="360D3368"/>
    <w:rsid w:val="36102D5C"/>
    <w:rsid w:val="361401E0"/>
    <w:rsid w:val="36151F71"/>
    <w:rsid w:val="361613EB"/>
    <w:rsid w:val="36171BD2"/>
    <w:rsid w:val="362058DB"/>
    <w:rsid w:val="36271315"/>
    <w:rsid w:val="36297C03"/>
    <w:rsid w:val="36346565"/>
    <w:rsid w:val="363B5D79"/>
    <w:rsid w:val="365A4E18"/>
    <w:rsid w:val="36621565"/>
    <w:rsid w:val="36816D77"/>
    <w:rsid w:val="36955374"/>
    <w:rsid w:val="36AC53C0"/>
    <w:rsid w:val="36AD7CBC"/>
    <w:rsid w:val="36B44275"/>
    <w:rsid w:val="36C6479B"/>
    <w:rsid w:val="36CC2A13"/>
    <w:rsid w:val="36DB4C4F"/>
    <w:rsid w:val="36F32FEF"/>
    <w:rsid w:val="370445C3"/>
    <w:rsid w:val="37425F4A"/>
    <w:rsid w:val="375D3E2A"/>
    <w:rsid w:val="37697A46"/>
    <w:rsid w:val="376B01B2"/>
    <w:rsid w:val="376C68FE"/>
    <w:rsid w:val="37954CDD"/>
    <w:rsid w:val="37A147F9"/>
    <w:rsid w:val="37DF5322"/>
    <w:rsid w:val="380F3E59"/>
    <w:rsid w:val="3816097A"/>
    <w:rsid w:val="38237904"/>
    <w:rsid w:val="38264F60"/>
    <w:rsid w:val="38611A4F"/>
    <w:rsid w:val="38A61D2C"/>
    <w:rsid w:val="38B04AB1"/>
    <w:rsid w:val="38BE03B9"/>
    <w:rsid w:val="38C22C79"/>
    <w:rsid w:val="38DF10FF"/>
    <w:rsid w:val="38EC7B0C"/>
    <w:rsid w:val="38FD5546"/>
    <w:rsid w:val="391377C3"/>
    <w:rsid w:val="39235A32"/>
    <w:rsid w:val="39341D74"/>
    <w:rsid w:val="393578EF"/>
    <w:rsid w:val="393957B3"/>
    <w:rsid w:val="395B25B8"/>
    <w:rsid w:val="396F7DBF"/>
    <w:rsid w:val="39830E0A"/>
    <w:rsid w:val="398375D4"/>
    <w:rsid w:val="39932868"/>
    <w:rsid w:val="39A93E39"/>
    <w:rsid w:val="39B50A30"/>
    <w:rsid w:val="3A013C75"/>
    <w:rsid w:val="3A5C7C4F"/>
    <w:rsid w:val="3A884383"/>
    <w:rsid w:val="3A9446F3"/>
    <w:rsid w:val="3AC525ED"/>
    <w:rsid w:val="3AD45179"/>
    <w:rsid w:val="3AEE6DE3"/>
    <w:rsid w:val="3AFB6916"/>
    <w:rsid w:val="3AFE66F8"/>
    <w:rsid w:val="3B4007CD"/>
    <w:rsid w:val="3B481480"/>
    <w:rsid w:val="3B5F00A2"/>
    <w:rsid w:val="3B75456D"/>
    <w:rsid w:val="3BA7799B"/>
    <w:rsid w:val="3BA945C4"/>
    <w:rsid w:val="3BAD4232"/>
    <w:rsid w:val="3BB31BC5"/>
    <w:rsid w:val="3BB32D4D"/>
    <w:rsid w:val="3BDD673F"/>
    <w:rsid w:val="3C1F03E3"/>
    <w:rsid w:val="3C3247FE"/>
    <w:rsid w:val="3C6201CC"/>
    <w:rsid w:val="3C686F62"/>
    <w:rsid w:val="3C7216BE"/>
    <w:rsid w:val="3C764CFE"/>
    <w:rsid w:val="3C820A8A"/>
    <w:rsid w:val="3C8256AA"/>
    <w:rsid w:val="3C9630FC"/>
    <w:rsid w:val="3C9C243F"/>
    <w:rsid w:val="3CA71192"/>
    <w:rsid w:val="3CC87977"/>
    <w:rsid w:val="3CDC7196"/>
    <w:rsid w:val="3CDD590D"/>
    <w:rsid w:val="3D6405FF"/>
    <w:rsid w:val="3D6A1B1F"/>
    <w:rsid w:val="3D7F40CC"/>
    <w:rsid w:val="3D9B65E3"/>
    <w:rsid w:val="3DA3007C"/>
    <w:rsid w:val="3DAD7410"/>
    <w:rsid w:val="3DB9375A"/>
    <w:rsid w:val="3DBE3CBE"/>
    <w:rsid w:val="3DD510C9"/>
    <w:rsid w:val="3E021D6A"/>
    <w:rsid w:val="3E2241BA"/>
    <w:rsid w:val="3E23065E"/>
    <w:rsid w:val="3E36391C"/>
    <w:rsid w:val="3E893F2C"/>
    <w:rsid w:val="3ED13DE1"/>
    <w:rsid w:val="3ED82604"/>
    <w:rsid w:val="3EE572D4"/>
    <w:rsid w:val="3EE93BD8"/>
    <w:rsid w:val="3EF176CD"/>
    <w:rsid w:val="3EF20030"/>
    <w:rsid w:val="3EF20610"/>
    <w:rsid w:val="3F214472"/>
    <w:rsid w:val="3F5D7BA0"/>
    <w:rsid w:val="3F78269E"/>
    <w:rsid w:val="3F9212CC"/>
    <w:rsid w:val="3FAC01DF"/>
    <w:rsid w:val="3FB05F21"/>
    <w:rsid w:val="3FC3349F"/>
    <w:rsid w:val="3FFF2919"/>
    <w:rsid w:val="40153FD6"/>
    <w:rsid w:val="402856A0"/>
    <w:rsid w:val="40460634"/>
    <w:rsid w:val="40A84E4B"/>
    <w:rsid w:val="41184A02"/>
    <w:rsid w:val="41270465"/>
    <w:rsid w:val="415A5382"/>
    <w:rsid w:val="41970774"/>
    <w:rsid w:val="41C77552"/>
    <w:rsid w:val="41E653B2"/>
    <w:rsid w:val="41FB3B6D"/>
    <w:rsid w:val="41FF0A9A"/>
    <w:rsid w:val="42042555"/>
    <w:rsid w:val="422E312E"/>
    <w:rsid w:val="42471D33"/>
    <w:rsid w:val="42521512"/>
    <w:rsid w:val="426F101A"/>
    <w:rsid w:val="42772AAB"/>
    <w:rsid w:val="427C3412"/>
    <w:rsid w:val="42847BFD"/>
    <w:rsid w:val="42A25548"/>
    <w:rsid w:val="42AA2C03"/>
    <w:rsid w:val="42D30E89"/>
    <w:rsid w:val="42D40179"/>
    <w:rsid w:val="42E17A8C"/>
    <w:rsid w:val="42F56341"/>
    <w:rsid w:val="430E5EC9"/>
    <w:rsid w:val="432865F2"/>
    <w:rsid w:val="434D1CD9"/>
    <w:rsid w:val="43557572"/>
    <w:rsid w:val="436D4711"/>
    <w:rsid w:val="4373683C"/>
    <w:rsid w:val="43785E61"/>
    <w:rsid w:val="43A46D2C"/>
    <w:rsid w:val="43B148EA"/>
    <w:rsid w:val="43B808F8"/>
    <w:rsid w:val="43C15F14"/>
    <w:rsid w:val="43D578B3"/>
    <w:rsid w:val="43E6390E"/>
    <w:rsid w:val="43FE0AB1"/>
    <w:rsid w:val="442F0B9B"/>
    <w:rsid w:val="44520715"/>
    <w:rsid w:val="44896EAF"/>
    <w:rsid w:val="44B965C5"/>
    <w:rsid w:val="44E73A68"/>
    <w:rsid w:val="450045E1"/>
    <w:rsid w:val="45113714"/>
    <w:rsid w:val="4523785F"/>
    <w:rsid w:val="4529115C"/>
    <w:rsid w:val="455D41F1"/>
    <w:rsid w:val="4560436C"/>
    <w:rsid w:val="456344FE"/>
    <w:rsid w:val="45777EED"/>
    <w:rsid w:val="457B2BDC"/>
    <w:rsid w:val="45875897"/>
    <w:rsid w:val="458B54AD"/>
    <w:rsid w:val="45A63E41"/>
    <w:rsid w:val="45B01E02"/>
    <w:rsid w:val="45BC7331"/>
    <w:rsid w:val="45BE227A"/>
    <w:rsid w:val="45CE5891"/>
    <w:rsid w:val="45D30076"/>
    <w:rsid w:val="45D3296A"/>
    <w:rsid w:val="45D82E3F"/>
    <w:rsid w:val="45EF0901"/>
    <w:rsid w:val="46315F44"/>
    <w:rsid w:val="46384BFA"/>
    <w:rsid w:val="4648427E"/>
    <w:rsid w:val="4654512D"/>
    <w:rsid w:val="465F5FAB"/>
    <w:rsid w:val="467771DC"/>
    <w:rsid w:val="467D28D5"/>
    <w:rsid w:val="46971BE9"/>
    <w:rsid w:val="469D2F78"/>
    <w:rsid w:val="46BE5B83"/>
    <w:rsid w:val="46D5626E"/>
    <w:rsid w:val="46D85D5E"/>
    <w:rsid w:val="46F829AC"/>
    <w:rsid w:val="47050398"/>
    <w:rsid w:val="47117503"/>
    <w:rsid w:val="47172429"/>
    <w:rsid w:val="472B0583"/>
    <w:rsid w:val="4743767B"/>
    <w:rsid w:val="47837AA8"/>
    <w:rsid w:val="478F0B12"/>
    <w:rsid w:val="478F3FCD"/>
    <w:rsid w:val="47A81BD4"/>
    <w:rsid w:val="47B02837"/>
    <w:rsid w:val="47DC48C4"/>
    <w:rsid w:val="480A0A97"/>
    <w:rsid w:val="486271EA"/>
    <w:rsid w:val="48936512"/>
    <w:rsid w:val="48A974DA"/>
    <w:rsid w:val="48B96D0E"/>
    <w:rsid w:val="48BE52E4"/>
    <w:rsid w:val="48DD3AFF"/>
    <w:rsid w:val="48E677CC"/>
    <w:rsid w:val="48F90270"/>
    <w:rsid w:val="49065E19"/>
    <w:rsid w:val="490B41C9"/>
    <w:rsid w:val="49303C2F"/>
    <w:rsid w:val="493A6C69"/>
    <w:rsid w:val="49474DCA"/>
    <w:rsid w:val="495A711F"/>
    <w:rsid w:val="496F0653"/>
    <w:rsid w:val="49755AE6"/>
    <w:rsid w:val="49C1095E"/>
    <w:rsid w:val="4A321C93"/>
    <w:rsid w:val="4A3860E9"/>
    <w:rsid w:val="4A443E36"/>
    <w:rsid w:val="4A4A5D0B"/>
    <w:rsid w:val="4A4F3873"/>
    <w:rsid w:val="4A5F66D8"/>
    <w:rsid w:val="4A657908"/>
    <w:rsid w:val="4A991E77"/>
    <w:rsid w:val="4AA53F4C"/>
    <w:rsid w:val="4ABB6FBF"/>
    <w:rsid w:val="4AC9495B"/>
    <w:rsid w:val="4ACE4BEE"/>
    <w:rsid w:val="4AD36F68"/>
    <w:rsid w:val="4AE44C97"/>
    <w:rsid w:val="4B124922"/>
    <w:rsid w:val="4B243912"/>
    <w:rsid w:val="4B354937"/>
    <w:rsid w:val="4B3861BB"/>
    <w:rsid w:val="4B4B4D69"/>
    <w:rsid w:val="4B5300A9"/>
    <w:rsid w:val="4B5D303A"/>
    <w:rsid w:val="4B971D44"/>
    <w:rsid w:val="4B9C55AC"/>
    <w:rsid w:val="4BA07421"/>
    <w:rsid w:val="4BCF1B14"/>
    <w:rsid w:val="4BDA712C"/>
    <w:rsid w:val="4BDF29A8"/>
    <w:rsid w:val="4C172E84"/>
    <w:rsid w:val="4C3677AE"/>
    <w:rsid w:val="4C384FBA"/>
    <w:rsid w:val="4C4A70B8"/>
    <w:rsid w:val="4C8122B9"/>
    <w:rsid w:val="4C824103"/>
    <w:rsid w:val="4CE6712F"/>
    <w:rsid w:val="4CEA2347"/>
    <w:rsid w:val="4CEC2563"/>
    <w:rsid w:val="4CFD11B7"/>
    <w:rsid w:val="4D021F5B"/>
    <w:rsid w:val="4D0E4287"/>
    <w:rsid w:val="4D110309"/>
    <w:rsid w:val="4D162E6C"/>
    <w:rsid w:val="4D224CD8"/>
    <w:rsid w:val="4D5B4FF3"/>
    <w:rsid w:val="4D673998"/>
    <w:rsid w:val="4D776F2D"/>
    <w:rsid w:val="4D812CAB"/>
    <w:rsid w:val="4DA120FC"/>
    <w:rsid w:val="4DA96AAF"/>
    <w:rsid w:val="4DAF5A31"/>
    <w:rsid w:val="4DC63EE1"/>
    <w:rsid w:val="4DCF1B2D"/>
    <w:rsid w:val="4E004662"/>
    <w:rsid w:val="4E0A3BE0"/>
    <w:rsid w:val="4E1E04FA"/>
    <w:rsid w:val="4E246234"/>
    <w:rsid w:val="4E345CD4"/>
    <w:rsid w:val="4E487C6D"/>
    <w:rsid w:val="4E4C27ED"/>
    <w:rsid w:val="4E564699"/>
    <w:rsid w:val="4E5A0AE4"/>
    <w:rsid w:val="4E6A0D7F"/>
    <w:rsid w:val="4E726A98"/>
    <w:rsid w:val="4E787E62"/>
    <w:rsid w:val="4E877144"/>
    <w:rsid w:val="4E8A45A7"/>
    <w:rsid w:val="4E964EE0"/>
    <w:rsid w:val="4EB64A27"/>
    <w:rsid w:val="4EBD4B72"/>
    <w:rsid w:val="4ECF1463"/>
    <w:rsid w:val="4EE55D69"/>
    <w:rsid w:val="4EF25644"/>
    <w:rsid w:val="4F0B69B3"/>
    <w:rsid w:val="4F102B4E"/>
    <w:rsid w:val="4F1F4F36"/>
    <w:rsid w:val="4F395F77"/>
    <w:rsid w:val="4F401BF2"/>
    <w:rsid w:val="4F4B018E"/>
    <w:rsid w:val="4F4C0EBC"/>
    <w:rsid w:val="4F5D57C0"/>
    <w:rsid w:val="4F6E4962"/>
    <w:rsid w:val="4F94365E"/>
    <w:rsid w:val="4F9F07E5"/>
    <w:rsid w:val="4F9F566B"/>
    <w:rsid w:val="4FEB43E2"/>
    <w:rsid w:val="50100316"/>
    <w:rsid w:val="502A687A"/>
    <w:rsid w:val="502E7A20"/>
    <w:rsid w:val="503E6C32"/>
    <w:rsid w:val="504B2EFC"/>
    <w:rsid w:val="50530978"/>
    <w:rsid w:val="50662E41"/>
    <w:rsid w:val="506A511E"/>
    <w:rsid w:val="50896CB7"/>
    <w:rsid w:val="508D5E0B"/>
    <w:rsid w:val="50900492"/>
    <w:rsid w:val="50976F01"/>
    <w:rsid w:val="50A52262"/>
    <w:rsid w:val="50AA076B"/>
    <w:rsid w:val="50B96C00"/>
    <w:rsid w:val="50D13F4A"/>
    <w:rsid w:val="51113646"/>
    <w:rsid w:val="5121535A"/>
    <w:rsid w:val="513A3EFC"/>
    <w:rsid w:val="514300A6"/>
    <w:rsid w:val="51713037"/>
    <w:rsid w:val="517764E1"/>
    <w:rsid w:val="51855925"/>
    <w:rsid w:val="518E3F66"/>
    <w:rsid w:val="51A53D00"/>
    <w:rsid w:val="51AB6379"/>
    <w:rsid w:val="51C13FBE"/>
    <w:rsid w:val="52495C09"/>
    <w:rsid w:val="524A3FB4"/>
    <w:rsid w:val="52654987"/>
    <w:rsid w:val="526776F7"/>
    <w:rsid w:val="528F2803"/>
    <w:rsid w:val="528F544B"/>
    <w:rsid w:val="52EA4A77"/>
    <w:rsid w:val="53083527"/>
    <w:rsid w:val="533232D5"/>
    <w:rsid w:val="533960B0"/>
    <w:rsid w:val="536410A5"/>
    <w:rsid w:val="537813B1"/>
    <w:rsid w:val="53876B42"/>
    <w:rsid w:val="538E0A92"/>
    <w:rsid w:val="53947FA9"/>
    <w:rsid w:val="53960EDE"/>
    <w:rsid w:val="53990623"/>
    <w:rsid w:val="53A46B36"/>
    <w:rsid w:val="53BD4B8C"/>
    <w:rsid w:val="53CB1DAC"/>
    <w:rsid w:val="53DD2C05"/>
    <w:rsid w:val="540278C7"/>
    <w:rsid w:val="541E311C"/>
    <w:rsid w:val="54260CB2"/>
    <w:rsid w:val="543103BC"/>
    <w:rsid w:val="545506C8"/>
    <w:rsid w:val="545C3B2A"/>
    <w:rsid w:val="545D6432"/>
    <w:rsid w:val="546F5739"/>
    <w:rsid w:val="54A41011"/>
    <w:rsid w:val="54AA1609"/>
    <w:rsid w:val="54AD082A"/>
    <w:rsid w:val="54BD4455"/>
    <w:rsid w:val="54D3168A"/>
    <w:rsid w:val="54DC562C"/>
    <w:rsid w:val="54DD16C4"/>
    <w:rsid w:val="54E74C2F"/>
    <w:rsid w:val="54F450A1"/>
    <w:rsid w:val="54FD751D"/>
    <w:rsid w:val="550C3614"/>
    <w:rsid w:val="550C50AE"/>
    <w:rsid w:val="55183D6F"/>
    <w:rsid w:val="5523289A"/>
    <w:rsid w:val="55284606"/>
    <w:rsid w:val="5543547F"/>
    <w:rsid w:val="55471118"/>
    <w:rsid w:val="55494538"/>
    <w:rsid w:val="554C0043"/>
    <w:rsid w:val="556557D9"/>
    <w:rsid w:val="557579E3"/>
    <w:rsid w:val="557A0141"/>
    <w:rsid w:val="55A0213D"/>
    <w:rsid w:val="55BE1F4A"/>
    <w:rsid w:val="55C342F4"/>
    <w:rsid w:val="55D84D24"/>
    <w:rsid w:val="55FB7373"/>
    <w:rsid w:val="56021A4A"/>
    <w:rsid w:val="560B5D2E"/>
    <w:rsid w:val="560D6CB0"/>
    <w:rsid w:val="563A103B"/>
    <w:rsid w:val="563E6C55"/>
    <w:rsid w:val="56405A62"/>
    <w:rsid w:val="56544EC2"/>
    <w:rsid w:val="56557533"/>
    <w:rsid w:val="565E3DEE"/>
    <w:rsid w:val="565F5B54"/>
    <w:rsid w:val="56633896"/>
    <w:rsid w:val="56796828"/>
    <w:rsid w:val="567D5DF1"/>
    <w:rsid w:val="56A837E8"/>
    <w:rsid w:val="56BC6B02"/>
    <w:rsid w:val="56F163E4"/>
    <w:rsid w:val="570B1838"/>
    <w:rsid w:val="57214827"/>
    <w:rsid w:val="574C49E9"/>
    <w:rsid w:val="575D2A5F"/>
    <w:rsid w:val="57672F12"/>
    <w:rsid w:val="57675BA1"/>
    <w:rsid w:val="576912FA"/>
    <w:rsid w:val="576E11A2"/>
    <w:rsid w:val="57D02C64"/>
    <w:rsid w:val="57D66815"/>
    <w:rsid w:val="57E335DF"/>
    <w:rsid w:val="58042049"/>
    <w:rsid w:val="580659DA"/>
    <w:rsid w:val="58102660"/>
    <w:rsid w:val="581C3428"/>
    <w:rsid w:val="58353010"/>
    <w:rsid w:val="584274DB"/>
    <w:rsid w:val="586D0D48"/>
    <w:rsid w:val="589F4975"/>
    <w:rsid w:val="58B61CB9"/>
    <w:rsid w:val="58BB7916"/>
    <w:rsid w:val="58D63D1E"/>
    <w:rsid w:val="58EF5EC9"/>
    <w:rsid w:val="58F22CAF"/>
    <w:rsid w:val="58F36E51"/>
    <w:rsid w:val="58FF717A"/>
    <w:rsid w:val="59024894"/>
    <w:rsid w:val="59043D39"/>
    <w:rsid w:val="59134455"/>
    <w:rsid w:val="592062E6"/>
    <w:rsid w:val="592324F7"/>
    <w:rsid w:val="59275449"/>
    <w:rsid w:val="594E1B92"/>
    <w:rsid w:val="595347AB"/>
    <w:rsid w:val="59550740"/>
    <w:rsid w:val="597638E0"/>
    <w:rsid w:val="59852994"/>
    <w:rsid w:val="599F01C2"/>
    <w:rsid w:val="59A26483"/>
    <w:rsid w:val="59AF6DF2"/>
    <w:rsid w:val="59BE7AFF"/>
    <w:rsid w:val="59C8786B"/>
    <w:rsid w:val="59CF4D9E"/>
    <w:rsid w:val="59D21C58"/>
    <w:rsid w:val="5A1D1FC5"/>
    <w:rsid w:val="5A200E2A"/>
    <w:rsid w:val="5A2E4BB0"/>
    <w:rsid w:val="5A396423"/>
    <w:rsid w:val="5A951B44"/>
    <w:rsid w:val="5A981634"/>
    <w:rsid w:val="5ABD5892"/>
    <w:rsid w:val="5ADA39FB"/>
    <w:rsid w:val="5AE16044"/>
    <w:rsid w:val="5AE2133C"/>
    <w:rsid w:val="5AE34FA5"/>
    <w:rsid w:val="5B16524A"/>
    <w:rsid w:val="5B244687"/>
    <w:rsid w:val="5B35552B"/>
    <w:rsid w:val="5B3C46B5"/>
    <w:rsid w:val="5B3C70CB"/>
    <w:rsid w:val="5B4068B9"/>
    <w:rsid w:val="5B4E6197"/>
    <w:rsid w:val="5B501F0F"/>
    <w:rsid w:val="5B571ABB"/>
    <w:rsid w:val="5B5A153F"/>
    <w:rsid w:val="5B61411C"/>
    <w:rsid w:val="5B661732"/>
    <w:rsid w:val="5BB75A49"/>
    <w:rsid w:val="5BB95D06"/>
    <w:rsid w:val="5BC21A19"/>
    <w:rsid w:val="5BD31C44"/>
    <w:rsid w:val="5BE746CC"/>
    <w:rsid w:val="5BF154A0"/>
    <w:rsid w:val="5C1565FF"/>
    <w:rsid w:val="5C26303A"/>
    <w:rsid w:val="5C3220B6"/>
    <w:rsid w:val="5C48274C"/>
    <w:rsid w:val="5C9F36B8"/>
    <w:rsid w:val="5CA27D08"/>
    <w:rsid w:val="5CE44AD3"/>
    <w:rsid w:val="5CFD7E74"/>
    <w:rsid w:val="5D0134C1"/>
    <w:rsid w:val="5D137173"/>
    <w:rsid w:val="5D155B21"/>
    <w:rsid w:val="5D221689"/>
    <w:rsid w:val="5D2F4949"/>
    <w:rsid w:val="5D350FC0"/>
    <w:rsid w:val="5D795DB7"/>
    <w:rsid w:val="5D8205DF"/>
    <w:rsid w:val="5DBE3EA2"/>
    <w:rsid w:val="5E006ACA"/>
    <w:rsid w:val="5E2733D0"/>
    <w:rsid w:val="5E2C5922"/>
    <w:rsid w:val="5E53715D"/>
    <w:rsid w:val="5E617BB3"/>
    <w:rsid w:val="5E725175"/>
    <w:rsid w:val="5E734DF0"/>
    <w:rsid w:val="5E7C4259"/>
    <w:rsid w:val="5E8C7BB6"/>
    <w:rsid w:val="5EB975B5"/>
    <w:rsid w:val="5EE4309A"/>
    <w:rsid w:val="5EE56833"/>
    <w:rsid w:val="5EF22D7B"/>
    <w:rsid w:val="5F0454EA"/>
    <w:rsid w:val="5F3B7088"/>
    <w:rsid w:val="5F447FDD"/>
    <w:rsid w:val="5F541D0A"/>
    <w:rsid w:val="5F562317"/>
    <w:rsid w:val="5F734CAF"/>
    <w:rsid w:val="5F7F0725"/>
    <w:rsid w:val="5F930DF8"/>
    <w:rsid w:val="5F962C10"/>
    <w:rsid w:val="5FB92779"/>
    <w:rsid w:val="5FC81B31"/>
    <w:rsid w:val="60146320"/>
    <w:rsid w:val="60363EAD"/>
    <w:rsid w:val="60427649"/>
    <w:rsid w:val="604858AA"/>
    <w:rsid w:val="608B5A6C"/>
    <w:rsid w:val="60982C77"/>
    <w:rsid w:val="60A40EB9"/>
    <w:rsid w:val="60B045D1"/>
    <w:rsid w:val="60B427BF"/>
    <w:rsid w:val="60B44395"/>
    <w:rsid w:val="60B97475"/>
    <w:rsid w:val="60D46E4F"/>
    <w:rsid w:val="60D62EB6"/>
    <w:rsid w:val="60E263B8"/>
    <w:rsid w:val="61000F3B"/>
    <w:rsid w:val="610F7448"/>
    <w:rsid w:val="61123A5A"/>
    <w:rsid w:val="61227EAA"/>
    <w:rsid w:val="61387EE8"/>
    <w:rsid w:val="613F0A5C"/>
    <w:rsid w:val="61554981"/>
    <w:rsid w:val="61677EC6"/>
    <w:rsid w:val="616A4EEF"/>
    <w:rsid w:val="619012B7"/>
    <w:rsid w:val="61BE2338"/>
    <w:rsid w:val="62201841"/>
    <w:rsid w:val="62451A52"/>
    <w:rsid w:val="628250A4"/>
    <w:rsid w:val="62DE326F"/>
    <w:rsid w:val="62E73159"/>
    <w:rsid w:val="62EA49F7"/>
    <w:rsid w:val="62F354C1"/>
    <w:rsid w:val="62F441C5"/>
    <w:rsid w:val="634B4390"/>
    <w:rsid w:val="634F59A9"/>
    <w:rsid w:val="635F0E1F"/>
    <w:rsid w:val="636B538A"/>
    <w:rsid w:val="636D0775"/>
    <w:rsid w:val="6377272F"/>
    <w:rsid w:val="638536B6"/>
    <w:rsid w:val="63D062E3"/>
    <w:rsid w:val="642301C1"/>
    <w:rsid w:val="642A0396"/>
    <w:rsid w:val="644D7725"/>
    <w:rsid w:val="644E6E76"/>
    <w:rsid w:val="645D6526"/>
    <w:rsid w:val="645F1B9D"/>
    <w:rsid w:val="64610207"/>
    <w:rsid w:val="64771FA9"/>
    <w:rsid w:val="64793010"/>
    <w:rsid w:val="64841461"/>
    <w:rsid w:val="64A74B3F"/>
    <w:rsid w:val="64AA4E0B"/>
    <w:rsid w:val="64DB0A9B"/>
    <w:rsid w:val="64E54EC3"/>
    <w:rsid w:val="64ED42F7"/>
    <w:rsid w:val="650E75E4"/>
    <w:rsid w:val="651433B0"/>
    <w:rsid w:val="65222FC4"/>
    <w:rsid w:val="652D5FDB"/>
    <w:rsid w:val="6553506E"/>
    <w:rsid w:val="655F79A3"/>
    <w:rsid w:val="65681E73"/>
    <w:rsid w:val="65773730"/>
    <w:rsid w:val="659154C8"/>
    <w:rsid w:val="65985371"/>
    <w:rsid w:val="65B011BE"/>
    <w:rsid w:val="65E47E23"/>
    <w:rsid w:val="65E53413"/>
    <w:rsid w:val="65F71217"/>
    <w:rsid w:val="665F74AA"/>
    <w:rsid w:val="6663687E"/>
    <w:rsid w:val="666D7E19"/>
    <w:rsid w:val="66863C3B"/>
    <w:rsid w:val="66D776F8"/>
    <w:rsid w:val="66DD06E0"/>
    <w:rsid w:val="66F127F8"/>
    <w:rsid w:val="66F63C5D"/>
    <w:rsid w:val="66F86C0B"/>
    <w:rsid w:val="670C55E0"/>
    <w:rsid w:val="670C5884"/>
    <w:rsid w:val="670D624C"/>
    <w:rsid w:val="67242BCD"/>
    <w:rsid w:val="67381478"/>
    <w:rsid w:val="67394B60"/>
    <w:rsid w:val="67424E02"/>
    <w:rsid w:val="674E39C0"/>
    <w:rsid w:val="675F45E9"/>
    <w:rsid w:val="676723DA"/>
    <w:rsid w:val="67A23584"/>
    <w:rsid w:val="67A25996"/>
    <w:rsid w:val="67B93654"/>
    <w:rsid w:val="67D705B1"/>
    <w:rsid w:val="67F02AB0"/>
    <w:rsid w:val="67F67DDC"/>
    <w:rsid w:val="680C723C"/>
    <w:rsid w:val="68102E33"/>
    <w:rsid w:val="681C5D18"/>
    <w:rsid w:val="68791880"/>
    <w:rsid w:val="689C2C37"/>
    <w:rsid w:val="68A11AF9"/>
    <w:rsid w:val="68EC49A5"/>
    <w:rsid w:val="68F61C88"/>
    <w:rsid w:val="68F9502E"/>
    <w:rsid w:val="68FE2FAA"/>
    <w:rsid w:val="690D6182"/>
    <w:rsid w:val="691406ED"/>
    <w:rsid w:val="69330DF7"/>
    <w:rsid w:val="694806C9"/>
    <w:rsid w:val="694E3F32"/>
    <w:rsid w:val="695C2770"/>
    <w:rsid w:val="698536CB"/>
    <w:rsid w:val="698764EA"/>
    <w:rsid w:val="699456BD"/>
    <w:rsid w:val="69EE301F"/>
    <w:rsid w:val="69FF2C61"/>
    <w:rsid w:val="6A076480"/>
    <w:rsid w:val="6A1026F9"/>
    <w:rsid w:val="6A314E58"/>
    <w:rsid w:val="6A436179"/>
    <w:rsid w:val="6A4507D5"/>
    <w:rsid w:val="6A7061D6"/>
    <w:rsid w:val="6A7B065E"/>
    <w:rsid w:val="6A8671A6"/>
    <w:rsid w:val="6A8B2F63"/>
    <w:rsid w:val="6A8F3072"/>
    <w:rsid w:val="6A9570EF"/>
    <w:rsid w:val="6ABC1704"/>
    <w:rsid w:val="6AC02C0D"/>
    <w:rsid w:val="6AC63F9C"/>
    <w:rsid w:val="6AD03A26"/>
    <w:rsid w:val="6AFC79BD"/>
    <w:rsid w:val="6B3C5B9F"/>
    <w:rsid w:val="6B6630F4"/>
    <w:rsid w:val="6B6932A5"/>
    <w:rsid w:val="6B6D2669"/>
    <w:rsid w:val="6B867605"/>
    <w:rsid w:val="6BA31452"/>
    <w:rsid w:val="6BB10FD5"/>
    <w:rsid w:val="6BC229B5"/>
    <w:rsid w:val="6BCD76BE"/>
    <w:rsid w:val="6BDA7CFF"/>
    <w:rsid w:val="6BEC5C84"/>
    <w:rsid w:val="6BEF6070"/>
    <w:rsid w:val="6C0C624A"/>
    <w:rsid w:val="6C1236EB"/>
    <w:rsid w:val="6C231969"/>
    <w:rsid w:val="6C295DED"/>
    <w:rsid w:val="6C6727B2"/>
    <w:rsid w:val="6C7252F8"/>
    <w:rsid w:val="6C7C5FAF"/>
    <w:rsid w:val="6C8247FD"/>
    <w:rsid w:val="6C903EC8"/>
    <w:rsid w:val="6CC90C2D"/>
    <w:rsid w:val="6CCC5D86"/>
    <w:rsid w:val="6CD82036"/>
    <w:rsid w:val="6CDC6F8F"/>
    <w:rsid w:val="6CDC7B2E"/>
    <w:rsid w:val="6CE60925"/>
    <w:rsid w:val="6CF06A9E"/>
    <w:rsid w:val="6CFA2F04"/>
    <w:rsid w:val="6D162FB8"/>
    <w:rsid w:val="6D210722"/>
    <w:rsid w:val="6D2E048C"/>
    <w:rsid w:val="6D3C0545"/>
    <w:rsid w:val="6D54624D"/>
    <w:rsid w:val="6D687008"/>
    <w:rsid w:val="6D6B459B"/>
    <w:rsid w:val="6D7258DD"/>
    <w:rsid w:val="6D7662CE"/>
    <w:rsid w:val="6D7E6441"/>
    <w:rsid w:val="6D863327"/>
    <w:rsid w:val="6D935305"/>
    <w:rsid w:val="6DB2110A"/>
    <w:rsid w:val="6DB6259F"/>
    <w:rsid w:val="6DDB1B0C"/>
    <w:rsid w:val="6E032E11"/>
    <w:rsid w:val="6E08037D"/>
    <w:rsid w:val="6E0B6ED5"/>
    <w:rsid w:val="6E192634"/>
    <w:rsid w:val="6E3B3F7D"/>
    <w:rsid w:val="6E421B8B"/>
    <w:rsid w:val="6E53171A"/>
    <w:rsid w:val="6E535B69"/>
    <w:rsid w:val="6E6536B4"/>
    <w:rsid w:val="6E7F433B"/>
    <w:rsid w:val="6E823952"/>
    <w:rsid w:val="6E83370F"/>
    <w:rsid w:val="6E891568"/>
    <w:rsid w:val="6EB93B02"/>
    <w:rsid w:val="6EC732B4"/>
    <w:rsid w:val="6EE97E30"/>
    <w:rsid w:val="6F311AC2"/>
    <w:rsid w:val="6F451169"/>
    <w:rsid w:val="6F814935"/>
    <w:rsid w:val="6F8C4053"/>
    <w:rsid w:val="6F930E11"/>
    <w:rsid w:val="6FAD7A87"/>
    <w:rsid w:val="6FC14FAF"/>
    <w:rsid w:val="6FD41061"/>
    <w:rsid w:val="6FEF3872"/>
    <w:rsid w:val="70390D6C"/>
    <w:rsid w:val="70740265"/>
    <w:rsid w:val="709646F3"/>
    <w:rsid w:val="70A9288A"/>
    <w:rsid w:val="70C51D39"/>
    <w:rsid w:val="70C745CA"/>
    <w:rsid w:val="70CB40BA"/>
    <w:rsid w:val="70CC398E"/>
    <w:rsid w:val="70D8659F"/>
    <w:rsid w:val="70FC24C5"/>
    <w:rsid w:val="710730EC"/>
    <w:rsid w:val="711579BE"/>
    <w:rsid w:val="715336F2"/>
    <w:rsid w:val="7156642C"/>
    <w:rsid w:val="715C2F64"/>
    <w:rsid w:val="71704C61"/>
    <w:rsid w:val="717604C9"/>
    <w:rsid w:val="71880E18"/>
    <w:rsid w:val="71915F81"/>
    <w:rsid w:val="719630FA"/>
    <w:rsid w:val="719E300E"/>
    <w:rsid w:val="71A21E7B"/>
    <w:rsid w:val="71B132B0"/>
    <w:rsid w:val="71BF2350"/>
    <w:rsid w:val="71C652FE"/>
    <w:rsid w:val="71ED21B3"/>
    <w:rsid w:val="72062ED0"/>
    <w:rsid w:val="72114AAA"/>
    <w:rsid w:val="722515A8"/>
    <w:rsid w:val="724A0812"/>
    <w:rsid w:val="724A52DC"/>
    <w:rsid w:val="724D7FA5"/>
    <w:rsid w:val="72502024"/>
    <w:rsid w:val="7298775E"/>
    <w:rsid w:val="72A8785B"/>
    <w:rsid w:val="72B664E0"/>
    <w:rsid w:val="72CA5614"/>
    <w:rsid w:val="72D02258"/>
    <w:rsid w:val="72D52FCE"/>
    <w:rsid w:val="72E231CE"/>
    <w:rsid w:val="730A7AA7"/>
    <w:rsid w:val="732452B0"/>
    <w:rsid w:val="732D67A7"/>
    <w:rsid w:val="734B749E"/>
    <w:rsid w:val="73575823"/>
    <w:rsid w:val="73607B9C"/>
    <w:rsid w:val="737E0329"/>
    <w:rsid w:val="73816918"/>
    <w:rsid w:val="73894506"/>
    <w:rsid w:val="738E06F6"/>
    <w:rsid w:val="73D747B2"/>
    <w:rsid w:val="73F34921"/>
    <w:rsid w:val="73FD2A9B"/>
    <w:rsid w:val="74192476"/>
    <w:rsid w:val="741C7E24"/>
    <w:rsid w:val="745873A9"/>
    <w:rsid w:val="7463285B"/>
    <w:rsid w:val="748E2EBD"/>
    <w:rsid w:val="74AB0605"/>
    <w:rsid w:val="74B11B3B"/>
    <w:rsid w:val="74BF3F35"/>
    <w:rsid w:val="74C4575A"/>
    <w:rsid w:val="74D43BDC"/>
    <w:rsid w:val="74EF6A0A"/>
    <w:rsid w:val="74F33324"/>
    <w:rsid w:val="75023186"/>
    <w:rsid w:val="752F4586"/>
    <w:rsid w:val="7553284C"/>
    <w:rsid w:val="75581C94"/>
    <w:rsid w:val="75600A65"/>
    <w:rsid w:val="7563387A"/>
    <w:rsid w:val="756A6DEA"/>
    <w:rsid w:val="75750A98"/>
    <w:rsid w:val="759A1D67"/>
    <w:rsid w:val="75A650F5"/>
    <w:rsid w:val="75E672A0"/>
    <w:rsid w:val="760D59D6"/>
    <w:rsid w:val="764A3CD3"/>
    <w:rsid w:val="765042D0"/>
    <w:rsid w:val="766A1C7F"/>
    <w:rsid w:val="76702E8B"/>
    <w:rsid w:val="767F4589"/>
    <w:rsid w:val="76C84BF7"/>
    <w:rsid w:val="76DC2782"/>
    <w:rsid w:val="77171FB8"/>
    <w:rsid w:val="7740651B"/>
    <w:rsid w:val="77453BED"/>
    <w:rsid w:val="774B7FC3"/>
    <w:rsid w:val="77675644"/>
    <w:rsid w:val="77690189"/>
    <w:rsid w:val="776E0DC5"/>
    <w:rsid w:val="77B910C6"/>
    <w:rsid w:val="77BA6851"/>
    <w:rsid w:val="77F261B3"/>
    <w:rsid w:val="78172436"/>
    <w:rsid w:val="78362761"/>
    <w:rsid w:val="78524552"/>
    <w:rsid w:val="786310A3"/>
    <w:rsid w:val="78880775"/>
    <w:rsid w:val="789E7863"/>
    <w:rsid w:val="78A27DF6"/>
    <w:rsid w:val="78D24D05"/>
    <w:rsid w:val="78D9001A"/>
    <w:rsid w:val="78EB02AC"/>
    <w:rsid w:val="78FB47EE"/>
    <w:rsid w:val="79142B24"/>
    <w:rsid w:val="7925297D"/>
    <w:rsid w:val="794B223C"/>
    <w:rsid w:val="795D5ACB"/>
    <w:rsid w:val="796926C2"/>
    <w:rsid w:val="796F7259"/>
    <w:rsid w:val="797161CD"/>
    <w:rsid w:val="799A02D2"/>
    <w:rsid w:val="79DB6678"/>
    <w:rsid w:val="79E41D48"/>
    <w:rsid w:val="79E5262F"/>
    <w:rsid w:val="79FC6F2D"/>
    <w:rsid w:val="7A02374B"/>
    <w:rsid w:val="7A0A15D1"/>
    <w:rsid w:val="7A0E4F5E"/>
    <w:rsid w:val="7A3E3B4E"/>
    <w:rsid w:val="7A6A4943"/>
    <w:rsid w:val="7A94551C"/>
    <w:rsid w:val="7AAB2866"/>
    <w:rsid w:val="7ABE471B"/>
    <w:rsid w:val="7AC16928"/>
    <w:rsid w:val="7ADD6223"/>
    <w:rsid w:val="7B273FF1"/>
    <w:rsid w:val="7B2A7C2F"/>
    <w:rsid w:val="7B51110C"/>
    <w:rsid w:val="7B607549"/>
    <w:rsid w:val="7B7315D6"/>
    <w:rsid w:val="7BB31AED"/>
    <w:rsid w:val="7BE65B58"/>
    <w:rsid w:val="7BF344C5"/>
    <w:rsid w:val="7BFC15CB"/>
    <w:rsid w:val="7C06069C"/>
    <w:rsid w:val="7C191832"/>
    <w:rsid w:val="7C32728E"/>
    <w:rsid w:val="7C4114E7"/>
    <w:rsid w:val="7C440B4F"/>
    <w:rsid w:val="7C462E05"/>
    <w:rsid w:val="7C7C270C"/>
    <w:rsid w:val="7C7C37A5"/>
    <w:rsid w:val="7C93004B"/>
    <w:rsid w:val="7CA76433"/>
    <w:rsid w:val="7CC61BD9"/>
    <w:rsid w:val="7D080444"/>
    <w:rsid w:val="7D5B3360"/>
    <w:rsid w:val="7D636FB6"/>
    <w:rsid w:val="7D6569F7"/>
    <w:rsid w:val="7D7A661D"/>
    <w:rsid w:val="7D883096"/>
    <w:rsid w:val="7D8831F9"/>
    <w:rsid w:val="7D8A1852"/>
    <w:rsid w:val="7D9C3DC9"/>
    <w:rsid w:val="7DA3248E"/>
    <w:rsid w:val="7DC26844"/>
    <w:rsid w:val="7DD00F8E"/>
    <w:rsid w:val="7DF61E58"/>
    <w:rsid w:val="7E046E5D"/>
    <w:rsid w:val="7E14311B"/>
    <w:rsid w:val="7E195778"/>
    <w:rsid w:val="7E312A4C"/>
    <w:rsid w:val="7E41673E"/>
    <w:rsid w:val="7E4B4A8C"/>
    <w:rsid w:val="7E510A0E"/>
    <w:rsid w:val="7E70618F"/>
    <w:rsid w:val="7EA26F5F"/>
    <w:rsid w:val="7EBC78FA"/>
    <w:rsid w:val="7ED26EEB"/>
    <w:rsid w:val="7EDE145C"/>
    <w:rsid w:val="7F0D1E11"/>
    <w:rsid w:val="7F340705"/>
    <w:rsid w:val="7F49540C"/>
    <w:rsid w:val="7F93642B"/>
    <w:rsid w:val="7F9D30C5"/>
    <w:rsid w:val="7F9D5B80"/>
    <w:rsid w:val="7FAD3176"/>
    <w:rsid w:val="7FB06E37"/>
    <w:rsid w:val="7FCF6FF7"/>
    <w:rsid w:val="7FE01204"/>
    <w:rsid w:val="7FEA1C7F"/>
    <w:rsid w:val="7FF177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uiPriority="39" w:name="toc 5"/>
    <w:lsdException w:uiPriority="39" w:name="toc 6"/>
    <w:lsdException w:qFormat="1"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420" w:firstLineChars="200"/>
      <w:jc w:val="both"/>
    </w:pPr>
    <w:rPr>
      <w:rFonts w:ascii="Times New Roman" w:hAnsi="Times New Roman" w:eastAsia="宋体" w:cstheme="minorBidi"/>
      <w:kern w:val="2"/>
      <w:sz w:val="24"/>
      <w:szCs w:val="24"/>
      <w:lang w:val="en-US" w:eastAsia="zh-CN" w:bidi="ar-SA"/>
    </w:rPr>
  </w:style>
  <w:style w:type="paragraph" w:styleId="3">
    <w:name w:val="heading 1"/>
    <w:basedOn w:val="1"/>
    <w:next w:val="1"/>
    <w:link w:val="25"/>
    <w:autoRedefine/>
    <w:qFormat/>
    <w:uiPriority w:val="9"/>
    <w:pPr>
      <w:keepNext/>
      <w:keepLines/>
      <w:spacing w:before="100" w:beforeLines="100" w:after="100" w:afterLines="100"/>
      <w:ind w:firstLine="0" w:firstLineChars="0"/>
      <w:jc w:val="center"/>
      <w:outlineLvl w:val="0"/>
    </w:pPr>
    <w:rPr>
      <w:rFonts w:ascii="黑体" w:hAnsi="黑体" w:eastAsia="黑体"/>
      <w:b/>
      <w:bCs/>
      <w:kern w:val="44"/>
      <w:sz w:val="32"/>
      <w:szCs w:val="44"/>
    </w:rPr>
  </w:style>
  <w:style w:type="paragraph" w:styleId="4">
    <w:name w:val="heading 2"/>
    <w:basedOn w:val="1"/>
    <w:next w:val="1"/>
    <w:link w:val="26"/>
    <w:autoRedefine/>
    <w:unhideWhenUsed/>
    <w:qFormat/>
    <w:uiPriority w:val="9"/>
    <w:pPr>
      <w:keepNext/>
      <w:keepLines/>
      <w:spacing w:before="50" w:beforeLines="50" w:after="50" w:afterLines="50"/>
      <w:outlineLvl w:val="1"/>
    </w:pPr>
    <w:rPr>
      <w:rFonts w:ascii="黑体" w:hAnsi="黑体" w:eastAsia="黑体" w:cstheme="majorBidi"/>
      <w:sz w:val="30"/>
      <w:szCs w:val="32"/>
    </w:rPr>
  </w:style>
  <w:style w:type="paragraph" w:styleId="5">
    <w:name w:val="heading 3"/>
    <w:basedOn w:val="1"/>
    <w:next w:val="1"/>
    <w:link w:val="27"/>
    <w:autoRedefine/>
    <w:unhideWhenUsed/>
    <w:qFormat/>
    <w:uiPriority w:val="9"/>
    <w:pPr>
      <w:keepNext/>
      <w:keepLines/>
      <w:outlineLvl w:val="2"/>
    </w:pPr>
    <w:rPr>
      <w:rFonts w:ascii="黑体" w:hAnsi="黑体" w:eastAsia="黑体"/>
      <w:b/>
      <w:bCs/>
      <w:sz w:val="28"/>
      <w:szCs w:val="32"/>
    </w:rPr>
  </w:style>
  <w:style w:type="paragraph" w:styleId="6">
    <w:name w:val="heading 4"/>
    <w:basedOn w:val="1"/>
    <w:next w:val="1"/>
    <w:link w:val="28"/>
    <w:autoRedefine/>
    <w:unhideWhenUsed/>
    <w:qFormat/>
    <w:uiPriority w:val="9"/>
    <w:pPr>
      <w:keepNext/>
      <w:keepLines/>
      <w:outlineLvl w:val="3"/>
    </w:pPr>
    <w:rPr>
      <w:rFonts w:ascii="黑体" w:hAnsi="黑体" w:eastAsia="黑体" w:cstheme="majorBidi"/>
      <w:b/>
      <w:bCs/>
      <w:szCs w:val="28"/>
    </w:rPr>
  </w:style>
  <w:style w:type="paragraph" w:styleId="7">
    <w:name w:val="heading 5"/>
    <w:basedOn w:val="1"/>
    <w:next w:val="1"/>
    <w:link w:val="29"/>
    <w:autoRedefine/>
    <w:unhideWhenUsed/>
    <w:qFormat/>
    <w:uiPriority w:val="9"/>
    <w:pPr>
      <w:keepNext/>
      <w:keepLines/>
      <w:outlineLvl w:val="4"/>
    </w:pPr>
    <w:rPr>
      <w:rFonts w:ascii="宋体" w:hAnsi="宋体"/>
      <w:b/>
      <w:bCs/>
      <w:szCs w:val="28"/>
    </w:rPr>
  </w:style>
  <w:style w:type="paragraph" w:styleId="8">
    <w:name w:val="heading 6"/>
    <w:basedOn w:val="1"/>
    <w:next w:val="1"/>
    <w:autoRedefine/>
    <w:semiHidden/>
    <w:unhideWhenUsed/>
    <w:qFormat/>
    <w:uiPriority w:val="9"/>
    <w:pPr>
      <w:keepNext/>
      <w:keepLines/>
      <w:ind w:firstLine="480"/>
      <w:outlineLvl w:val="5"/>
    </w:pPr>
    <w:rPr>
      <w:rFonts w:ascii="宋体" w:hAnsi="宋体" w:cs="Times New Roman"/>
      <w:b/>
    </w:rPr>
  </w:style>
  <w:style w:type="character" w:default="1" w:styleId="21">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2">
    <w:name w:val="Body Text Indent 2"/>
    <w:basedOn w:val="1"/>
    <w:next w:val="1"/>
    <w:link w:val="30"/>
    <w:autoRedefine/>
    <w:unhideWhenUsed/>
    <w:qFormat/>
    <w:uiPriority w:val="99"/>
    <w:pPr>
      <w:adjustRightInd w:val="0"/>
      <w:snapToGrid w:val="0"/>
    </w:pPr>
    <w:rPr>
      <w:rFonts w:cs="Times New Roman"/>
    </w:rPr>
  </w:style>
  <w:style w:type="paragraph" w:styleId="9">
    <w:name w:val="toc 7"/>
    <w:basedOn w:val="1"/>
    <w:next w:val="1"/>
    <w:autoRedefine/>
    <w:semiHidden/>
    <w:unhideWhenUsed/>
    <w:qFormat/>
    <w:uiPriority w:val="39"/>
    <w:pPr>
      <w:ind w:left="2520" w:leftChars="1200"/>
    </w:pPr>
  </w:style>
  <w:style w:type="paragraph" w:styleId="10">
    <w:name w:val="annotation text"/>
    <w:basedOn w:val="1"/>
    <w:autoRedefine/>
    <w:unhideWhenUsed/>
    <w:qFormat/>
    <w:uiPriority w:val="99"/>
    <w:pPr>
      <w:jc w:val="left"/>
    </w:pPr>
    <w:rPr>
      <w:rFonts w:ascii="Calibri" w:hAnsi="Calibri"/>
      <w:sz w:val="21"/>
    </w:rPr>
  </w:style>
  <w:style w:type="paragraph" w:styleId="11">
    <w:name w:val="toc 3"/>
    <w:basedOn w:val="1"/>
    <w:next w:val="1"/>
    <w:autoRedefine/>
    <w:unhideWhenUsed/>
    <w:qFormat/>
    <w:uiPriority w:val="39"/>
    <w:pPr>
      <w:ind w:left="840" w:leftChars="400"/>
    </w:pPr>
  </w:style>
  <w:style w:type="paragraph" w:styleId="12">
    <w:name w:val="footer"/>
    <w:basedOn w:val="1"/>
    <w:link w:val="32"/>
    <w:autoRedefine/>
    <w:unhideWhenUsed/>
    <w:qFormat/>
    <w:uiPriority w:val="99"/>
    <w:pPr>
      <w:tabs>
        <w:tab w:val="center" w:pos="4153"/>
        <w:tab w:val="right" w:pos="8306"/>
      </w:tabs>
      <w:snapToGrid w:val="0"/>
      <w:jc w:val="left"/>
    </w:pPr>
    <w:rPr>
      <w:rFonts w:ascii="宋体" w:hAnsi="宋体"/>
      <w:szCs w:val="18"/>
    </w:rPr>
  </w:style>
  <w:style w:type="paragraph" w:styleId="13">
    <w:name w:val="header"/>
    <w:basedOn w:val="1"/>
    <w:link w:val="3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unhideWhenUsed/>
    <w:qFormat/>
    <w:uiPriority w:val="39"/>
  </w:style>
  <w:style w:type="paragraph" w:styleId="15">
    <w:name w:val="toc 4"/>
    <w:basedOn w:val="1"/>
    <w:next w:val="1"/>
    <w:autoRedefine/>
    <w:semiHidden/>
    <w:unhideWhenUsed/>
    <w:qFormat/>
    <w:uiPriority w:val="39"/>
    <w:pPr>
      <w:ind w:left="1260" w:leftChars="600"/>
    </w:pPr>
  </w:style>
  <w:style w:type="paragraph" w:styleId="16">
    <w:name w:val="table of figures"/>
    <w:basedOn w:val="1"/>
    <w:next w:val="1"/>
    <w:autoRedefine/>
    <w:unhideWhenUsed/>
    <w:qFormat/>
    <w:uiPriority w:val="99"/>
    <w:pPr>
      <w:spacing w:line="480" w:lineRule="auto"/>
      <w:ind w:firstLine="0" w:firstLineChars="0"/>
      <w:jc w:val="center"/>
    </w:pPr>
    <w:rPr>
      <w:rFonts w:ascii="黑体" w:hAnsi="黑体" w:eastAsia="黑体"/>
      <w:sz w:val="21"/>
    </w:rPr>
  </w:style>
  <w:style w:type="paragraph" w:styleId="17">
    <w:name w:val="toc 2"/>
    <w:basedOn w:val="1"/>
    <w:next w:val="1"/>
    <w:autoRedefine/>
    <w:unhideWhenUsed/>
    <w:qFormat/>
    <w:uiPriority w:val="39"/>
    <w:pPr>
      <w:ind w:left="420" w:leftChars="200"/>
    </w:pPr>
  </w:style>
  <w:style w:type="paragraph" w:styleId="18">
    <w:name w:val="Normal (Web)"/>
    <w:basedOn w:val="1"/>
    <w:autoRedefine/>
    <w:unhideWhenUsed/>
    <w:qFormat/>
    <w:uiPriority w:val="99"/>
  </w:style>
  <w:style w:type="table" w:styleId="20">
    <w:name w:val="Table Grid"/>
    <w:basedOn w:val="19"/>
    <w:autoRedefine/>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autoRedefine/>
    <w:qFormat/>
    <w:uiPriority w:val="22"/>
    <w:rPr>
      <w:b/>
      <w:bCs/>
    </w:rPr>
  </w:style>
  <w:style w:type="character" w:styleId="23">
    <w:name w:val="Hyperlink"/>
    <w:basedOn w:val="21"/>
    <w:autoRedefine/>
    <w:unhideWhenUsed/>
    <w:qFormat/>
    <w:uiPriority w:val="99"/>
    <w:rPr>
      <w:color w:val="0000FF"/>
      <w:u w:val="single"/>
    </w:rPr>
  </w:style>
  <w:style w:type="character" w:styleId="24">
    <w:name w:val="annotation reference"/>
    <w:basedOn w:val="21"/>
    <w:autoRedefine/>
    <w:semiHidden/>
    <w:unhideWhenUsed/>
    <w:qFormat/>
    <w:uiPriority w:val="99"/>
    <w:rPr>
      <w:sz w:val="21"/>
      <w:szCs w:val="21"/>
    </w:rPr>
  </w:style>
  <w:style w:type="character" w:customStyle="1" w:styleId="25">
    <w:name w:val="标题 1 字符"/>
    <w:basedOn w:val="21"/>
    <w:link w:val="3"/>
    <w:autoRedefine/>
    <w:qFormat/>
    <w:uiPriority w:val="9"/>
    <w:rPr>
      <w:rFonts w:ascii="黑体" w:hAnsi="黑体" w:eastAsia="黑体"/>
      <w:b/>
      <w:bCs/>
      <w:kern w:val="44"/>
      <w:sz w:val="32"/>
      <w:szCs w:val="44"/>
    </w:rPr>
  </w:style>
  <w:style w:type="character" w:customStyle="1" w:styleId="26">
    <w:name w:val="标题 2 字符"/>
    <w:basedOn w:val="21"/>
    <w:link w:val="4"/>
    <w:autoRedefine/>
    <w:qFormat/>
    <w:uiPriority w:val="9"/>
    <w:rPr>
      <w:rFonts w:ascii="黑体" w:hAnsi="黑体" w:eastAsia="黑体" w:cstheme="majorBidi"/>
      <w:b/>
      <w:bCs/>
      <w:sz w:val="30"/>
      <w:szCs w:val="32"/>
    </w:rPr>
  </w:style>
  <w:style w:type="character" w:customStyle="1" w:styleId="27">
    <w:name w:val="标题 3 字符"/>
    <w:basedOn w:val="21"/>
    <w:link w:val="5"/>
    <w:autoRedefine/>
    <w:qFormat/>
    <w:uiPriority w:val="9"/>
    <w:rPr>
      <w:rFonts w:ascii="黑体" w:hAnsi="黑体" w:eastAsia="黑体"/>
      <w:b/>
      <w:bCs/>
      <w:sz w:val="28"/>
      <w:szCs w:val="32"/>
    </w:rPr>
  </w:style>
  <w:style w:type="character" w:customStyle="1" w:styleId="28">
    <w:name w:val="标题 4 字符"/>
    <w:basedOn w:val="21"/>
    <w:link w:val="6"/>
    <w:autoRedefine/>
    <w:qFormat/>
    <w:uiPriority w:val="9"/>
    <w:rPr>
      <w:rFonts w:ascii="黑体" w:hAnsi="黑体" w:eastAsia="黑体" w:cstheme="majorBidi"/>
      <w:b/>
      <w:bCs/>
      <w:sz w:val="24"/>
      <w:szCs w:val="28"/>
    </w:rPr>
  </w:style>
  <w:style w:type="character" w:customStyle="1" w:styleId="29">
    <w:name w:val="标题 5 字符"/>
    <w:basedOn w:val="21"/>
    <w:link w:val="7"/>
    <w:autoRedefine/>
    <w:qFormat/>
    <w:uiPriority w:val="9"/>
    <w:rPr>
      <w:rFonts w:ascii="宋体" w:hAnsi="宋体" w:eastAsia="宋体"/>
      <w:b/>
      <w:bCs/>
      <w:sz w:val="24"/>
      <w:szCs w:val="28"/>
    </w:rPr>
  </w:style>
  <w:style w:type="character" w:customStyle="1" w:styleId="30">
    <w:name w:val="正文文本缩进 2 字符"/>
    <w:basedOn w:val="21"/>
    <w:link w:val="2"/>
    <w:autoRedefine/>
    <w:semiHidden/>
    <w:qFormat/>
    <w:uiPriority w:val="99"/>
    <w:rPr>
      <w:rFonts w:ascii="Times New Roman" w:hAnsi="Times New Roman" w:eastAsia="宋体" w:cs="Times New Roman"/>
      <w:sz w:val="24"/>
    </w:rPr>
  </w:style>
  <w:style w:type="paragraph" w:customStyle="1" w:styleId="31">
    <w:name w:val="表格"/>
    <w:basedOn w:val="1"/>
    <w:autoRedefine/>
    <w:qFormat/>
    <w:uiPriority w:val="0"/>
    <w:pPr>
      <w:adjustRightInd w:val="0"/>
      <w:snapToGrid w:val="0"/>
      <w:spacing w:before="50" w:beforeLines="50" w:after="50" w:afterLines="50" w:line="240" w:lineRule="auto"/>
      <w:ind w:firstLine="0" w:firstLineChars="0"/>
      <w:jc w:val="center"/>
    </w:pPr>
    <w:rPr>
      <w:rFonts w:cs="Times New Roman"/>
      <w:sz w:val="21"/>
    </w:rPr>
  </w:style>
  <w:style w:type="character" w:customStyle="1" w:styleId="32">
    <w:name w:val="页脚 字符"/>
    <w:basedOn w:val="21"/>
    <w:link w:val="12"/>
    <w:autoRedefine/>
    <w:qFormat/>
    <w:uiPriority w:val="99"/>
    <w:rPr>
      <w:rFonts w:ascii="宋体" w:hAnsi="宋体" w:eastAsia="宋体"/>
      <w:sz w:val="21"/>
      <w:szCs w:val="18"/>
    </w:rPr>
  </w:style>
  <w:style w:type="character" w:customStyle="1" w:styleId="33">
    <w:name w:val="页眉 字符"/>
    <w:basedOn w:val="21"/>
    <w:link w:val="13"/>
    <w:autoRedefine/>
    <w:qFormat/>
    <w:uiPriority w:val="99"/>
    <w:rPr>
      <w:sz w:val="18"/>
      <w:szCs w:val="18"/>
    </w:rPr>
  </w:style>
  <w:style w:type="table" w:customStyle="1" w:styleId="34">
    <w:name w:val="网格型2"/>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
    <w:name w:val="网格表 1 浅色1"/>
    <w:basedOn w:val="19"/>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36">
    <w:name w:val="WPSOffice手动目录 1"/>
    <w:autoRedefine/>
    <w:qFormat/>
    <w:uiPriority w:val="0"/>
    <w:rPr>
      <w:rFonts w:ascii="Times New Roman" w:hAnsi="Times New Roman" w:eastAsia="宋体" w:cs="Times New Roman"/>
      <w:lang w:val="en-US" w:eastAsia="zh-CN" w:bidi="ar-SA"/>
    </w:rPr>
  </w:style>
  <w:style w:type="paragraph" w:customStyle="1" w:styleId="37">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38">
    <w:name w:val="WPSOffice手动目录 3"/>
    <w:autoRedefine/>
    <w:qFormat/>
    <w:uiPriority w:val="0"/>
    <w:pPr>
      <w:ind w:left="400" w:leftChars="400"/>
    </w:pPr>
    <w:rPr>
      <w:rFonts w:ascii="Times New Roman" w:hAnsi="Times New Roman" w:eastAsia="宋体" w:cs="Times New Roman"/>
      <w:lang w:val="en-US" w:eastAsia="zh-CN" w:bidi="ar-SA"/>
    </w:rPr>
  </w:style>
  <w:style w:type="character" w:customStyle="1" w:styleId="39">
    <w:name w:val="font21"/>
    <w:basedOn w:val="21"/>
    <w:autoRedefine/>
    <w:qFormat/>
    <w:uiPriority w:val="0"/>
    <w:rPr>
      <w:rFonts w:hint="eastAsia" w:ascii="宋体" w:hAnsi="宋体" w:eastAsia="宋体" w:cs="宋体"/>
      <w:color w:val="000000"/>
      <w:sz w:val="20"/>
      <w:szCs w:val="20"/>
      <w:u w:val="none"/>
    </w:rPr>
  </w:style>
  <w:style w:type="character" w:customStyle="1" w:styleId="40">
    <w:name w:val="font11"/>
    <w:basedOn w:val="21"/>
    <w:autoRedefine/>
    <w:qFormat/>
    <w:uiPriority w:val="0"/>
    <w:rPr>
      <w:rFonts w:hint="default" w:ascii="Times New Roman" w:hAnsi="Times New Roman" w:cs="Times New Roman"/>
      <w:color w:val="000000"/>
      <w:sz w:val="20"/>
      <w:szCs w:val="20"/>
      <w:u w:val="none"/>
    </w:rPr>
  </w:style>
  <w:style w:type="character" w:customStyle="1" w:styleId="41">
    <w:name w:val="font01"/>
    <w:basedOn w:val="21"/>
    <w:autoRedefine/>
    <w:qFormat/>
    <w:uiPriority w:val="0"/>
    <w:rPr>
      <w:rFonts w:hint="eastAsia" w:ascii="宋体" w:hAnsi="宋体" w:eastAsia="宋体" w:cs="宋体"/>
      <w:color w:val="000000"/>
      <w:sz w:val="20"/>
      <w:szCs w:val="20"/>
      <w:u w:val="none"/>
    </w:rPr>
  </w:style>
  <w:style w:type="character" w:customStyle="1" w:styleId="42">
    <w:name w:val="font71"/>
    <w:basedOn w:val="21"/>
    <w:autoRedefine/>
    <w:qFormat/>
    <w:uiPriority w:val="0"/>
    <w:rPr>
      <w:rFonts w:hint="eastAsia" w:ascii="宋体" w:hAnsi="宋体" w:eastAsia="宋体" w:cs="宋体"/>
      <w:color w:val="000000"/>
      <w:sz w:val="22"/>
      <w:szCs w:val="22"/>
      <w:u w:val="none"/>
    </w:rPr>
  </w:style>
  <w:style w:type="character" w:customStyle="1" w:styleId="43">
    <w:name w:val="font61"/>
    <w:basedOn w:val="21"/>
    <w:autoRedefine/>
    <w:qFormat/>
    <w:uiPriority w:val="0"/>
    <w:rPr>
      <w:rFonts w:hint="default" w:ascii="Times New Roman" w:hAnsi="Times New Roman" w:cs="Times New Roman"/>
      <w:color w:val="000000"/>
      <w:sz w:val="18"/>
      <w:szCs w:val="18"/>
      <w:u w:val="none"/>
    </w:rPr>
  </w:style>
  <w:style w:type="character" w:customStyle="1" w:styleId="44">
    <w:name w:val="font41"/>
    <w:basedOn w:val="21"/>
    <w:autoRedefine/>
    <w:qFormat/>
    <w:uiPriority w:val="0"/>
    <w:rPr>
      <w:rFonts w:hint="default" w:ascii="Times New Roman" w:hAnsi="Times New Roman" w:cs="Times New Roman"/>
      <w:color w:val="000000"/>
      <w:sz w:val="22"/>
      <w:szCs w:val="22"/>
      <w:u w:val="none"/>
    </w:rPr>
  </w:style>
  <w:style w:type="character" w:customStyle="1" w:styleId="45">
    <w:name w:val="font51"/>
    <w:basedOn w:val="21"/>
    <w:autoRedefine/>
    <w:qFormat/>
    <w:uiPriority w:val="0"/>
    <w:rPr>
      <w:rFonts w:hint="eastAsia" w:ascii="宋体" w:hAnsi="宋体" w:eastAsia="宋体" w:cs="宋体"/>
      <w:color w:val="000000"/>
      <w:sz w:val="12"/>
      <w:szCs w:val="12"/>
      <w:u w:val="none"/>
    </w:rPr>
  </w:style>
  <w:style w:type="paragraph" w:customStyle="1" w:styleId="46">
    <w:name w:val="pgc-p"/>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styleId="47">
    <w:name w:val="List Paragraph"/>
    <w:basedOn w:val="1"/>
    <w:autoRedefine/>
    <w:qFormat/>
    <w:uiPriority w:val="99"/>
  </w:style>
  <w:style w:type="character" w:customStyle="1" w:styleId="48">
    <w:name w:val="ed_ep"/>
    <w:basedOn w:val="21"/>
    <w:autoRedefine/>
    <w:qFormat/>
    <w:uiPriority w:val="0"/>
  </w:style>
  <w:style w:type="character" w:customStyle="1" w:styleId="49">
    <w:name w:val="ed_tk"/>
    <w:basedOn w:val="21"/>
    <w:autoRedefine/>
    <w:qFormat/>
    <w:uiPriority w:val="0"/>
  </w:style>
  <w:style w:type="character" w:customStyle="1" w:styleId="50">
    <w:name w:val="bjh-p"/>
    <w:basedOn w:val="21"/>
    <w:autoRedefine/>
    <w:qFormat/>
    <w:uiPriority w:val="0"/>
  </w:style>
  <w:style w:type="paragraph" w:customStyle="1" w:styleId="51">
    <w:name w:val="ql-align-justify"/>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52">
    <w:name w:val="vsbcontent_start"/>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53">
    <w:name w:val="vsbcontent_end"/>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580E9-3053-4EB4-A6AA-B7539077F82F}">
  <ds:schemaRefs/>
</ds:datastoreItem>
</file>

<file path=docProps/app.xml><?xml version="1.0" encoding="utf-8"?>
<Properties xmlns="http://schemas.openxmlformats.org/officeDocument/2006/extended-properties" xmlns:vt="http://schemas.openxmlformats.org/officeDocument/2006/docPropsVTypes">
  <Template>Normal</Template>
  <Pages>78</Pages>
  <Words>8832</Words>
  <Characters>50346</Characters>
  <Lines>419</Lines>
  <Paragraphs>118</Paragraphs>
  <TotalTime>0</TotalTime>
  <ScaleCrop>false</ScaleCrop>
  <LinksUpToDate>false</LinksUpToDate>
  <CharactersWithSpaces>59060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2021-12-14T02:38:00Z</dcterms:created>
  <dc:creator>20210414-pc</dc:creator>
  <cp:lastModifiedBy>娄冰玉</cp:lastModifiedBy>
  <dcterms:modified xsi:type="dcterms:W3CDTF">2025-07-21T07:57:34Z</dcterms:modified>
  <cp:revision>23486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2FE82B60CB2B483A8BBE764A83996E9F_13</vt:lpwstr>
  </property>
  <property fmtid="{D5CDD505-2E9C-101B-9397-08002B2CF9AE}" pid="4" name="commondata">
    <vt:lpwstr>eyJoZGlkIjoiMzljZjYxM2Y0ODM0OGY2NTE2NTQ2OTUwOWU4YTc1YzAifQ==</vt:lpwstr>
  </property>
  <property fmtid="{D5CDD505-2E9C-101B-9397-08002B2CF9AE}" pid="5" name="KSOTemplateDocerSaveRecord">
    <vt:lpwstr>eyJoZGlkIjoiMTg4Y2U3YjcxYjk0ZWEyMjVhYjBlODc3Mzk5OGU4MmYiLCJ1c2VySWQiOiI3MjUzMjQ0ODYifQ==</vt:lpwstr>
  </property>
</Properties>
</file>