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0" w:firstLineChars="0"/>
        <w:jc w:val="center"/>
        <w:rPr>
          <w:rFonts w:ascii="黑体" w:hAnsi="黑体" w:eastAsia="黑体" w:cs="黑体"/>
          <w:b/>
          <w:bCs/>
          <w:sz w:val="44"/>
          <w:szCs w:val="44"/>
        </w:rPr>
      </w:pPr>
      <w:r>
        <w:rPr>
          <w:rFonts w:hint="eastAsia" w:ascii="黑体" w:hAnsi="黑体" w:eastAsia="黑体" w:cs="黑体"/>
          <w:b/>
          <w:bCs/>
          <w:sz w:val="44"/>
          <w:szCs w:val="44"/>
        </w:rPr>
        <w:t>聊城市农用运输机械产业海外知识产权风险预警</w:t>
      </w: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bookmarkStart w:id="101" w:name="_GoBack"/>
    </w:p>
    <w:bookmarkEnd w:id="101"/>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left="0" w:leftChars="0" w:firstLine="0" w:firstLineChars="0"/>
        <w:jc w:val="center"/>
        <w:rPr>
          <w:rFonts w:hint="eastAsia" w:asciiTheme="minorEastAsia" w:hAnsiTheme="minorEastAsia" w:eastAsiaTheme="minorEastAsia"/>
          <w:lang w:eastAsia="zh-CN"/>
        </w:rPr>
      </w:pPr>
      <w:r>
        <w:rPr>
          <w:rFonts w:hint="eastAsia" w:ascii="黑体" w:hAnsi="黑体" w:eastAsia="黑体" w:cs="黑体"/>
          <w:kern w:val="21"/>
          <w:lang w:eastAsia="zh-CN"/>
        </w:rPr>
        <w:t>聊城市知识产权事业发展中心</w:t>
      </w:r>
    </w:p>
    <w:p>
      <w:pPr>
        <w:ind w:firstLine="0" w:firstLineChars="0"/>
        <w:jc w:val="center"/>
        <w:rPr>
          <w:rFonts w:ascii="黑体" w:hAnsi="黑体" w:eastAsia="黑体" w:cs="黑体"/>
          <w:kern w:val="21"/>
        </w:rPr>
      </w:pPr>
      <w:r>
        <w:rPr>
          <w:rFonts w:hint="eastAsia" w:ascii="黑体" w:hAnsi="黑体" w:eastAsia="黑体" w:cs="黑体"/>
          <w:kern w:val="21"/>
        </w:rPr>
        <w:t>聊城市广告商标协会</w:t>
      </w:r>
    </w:p>
    <w:p>
      <w:pPr>
        <w:ind w:firstLine="0" w:firstLineChars="0"/>
        <w:jc w:val="center"/>
        <w:rPr>
          <w:rFonts w:ascii="黑体" w:hAnsi="黑体" w:eastAsia="黑体" w:cs="黑体"/>
          <w:kern w:val="21"/>
        </w:rPr>
      </w:pPr>
      <w:r>
        <w:rPr>
          <w:rFonts w:hint="eastAsia" w:ascii="黑体" w:hAnsi="黑体" w:eastAsia="黑体" w:cs="黑体"/>
          <w:kern w:val="21"/>
        </w:rPr>
        <w:t>202</w:t>
      </w:r>
      <w:r>
        <w:rPr>
          <w:rFonts w:ascii="黑体" w:hAnsi="黑体" w:eastAsia="黑体" w:cs="黑体"/>
          <w:kern w:val="21"/>
        </w:rPr>
        <w:t>5</w:t>
      </w:r>
      <w:r>
        <w:rPr>
          <w:rFonts w:hint="eastAsia" w:ascii="黑体" w:hAnsi="黑体" w:eastAsia="黑体" w:cs="黑体"/>
          <w:kern w:val="21"/>
        </w:rPr>
        <w:t>年</w:t>
      </w:r>
      <w:r>
        <w:rPr>
          <w:rFonts w:ascii="黑体" w:hAnsi="黑体" w:eastAsia="黑体" w:cs="黑体"/>
          <w:kern w:val="21"/>
        </w:rPr>
        <w:t>7</w:t>
      </w:r>
      <w:r>
        <w:rPr>
          <w:rFonts w:hint="eastAsia" w:ascii="黑体" w:hAnsi="黑体" w:eastAsia="黑体" w:cs="黑体"/>
          <w:kern w:val="21"/>
        </w:rPr>
        <w:t>月</w:t>
      </w:r>
    </w:p>
    <w:p>
      <w:pPr>
        <w:ind w:firstLine="0" w:firstLineChars="0"/>
        <w:rPr>
          <w:rFonts w:cs="Times New Roman"/>
          <w:kern w:val="21"/>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docGrid w:type="lines" w:linePitch="312" w:charSpace="0"/>
        </w:sectPr>
      </w:pPr>
    </w:p>
    <w:sdt>
      <w:sdtPr>
        <w:rPr>
          <w:rFonts w:hint="eastAsia" w:ascii="黑体" w:hAnsi="黑体" w:eastAsia="黑体" w:cs="黑体"/>
          <w:sz w:val="30"/>
          <w:szCs w:val="30"/>
        </w:rPr>
        <w:id w:val="147455780"/>
        <w15:color w:val="DBDBDB"/>
        <w:docPartObj>
          <w:docPartGallery w:val="Table of Contents"/>
          <w:docPartUnique/>
        </w:docPartObj>
      </w:sdtPr>
      <w:sdtEndPr>
        <w:rPr>
          <w:rFonts w:hint="eastAsia" w:ascii="黑体" w:hAnsi="黑体" w:eastAsia="黑体" w:cs="黑体"/>
          <w:sz w:val="30"/>
          <w:szCs w:val="30"/>
        </w:rPr>
      </w:sdtEndPr>
      <w:sdtContent>
        <w:p>
          <w:pPr>
            <w:ind w:firstLine="0" w:firstLineChars="0"/>
            <w:jc w:val="center"/>
            <w:rPr>
              <w:rFonts w:cs="黑体" w:asciiTheme="minorEastAsia" w:hAnsiTheme="minorEastAsia" w:eastAsiaTheme="minorEastAsia"/>
              <w:b/>
              <w:bCs/>
              <w:sz w:val="32"/>
              <w:szCs w:val="32"/>
            </w:rPr>
          </w:pPr>
          <w:r>
            <w:rPr>
              <w:rFonts w:hint="eastAsia" w:cs="黑体" w:asciiTheme="minorEastAsia" w:hAnsiTheme="minorEastAsia" w:eastAsiaTheme="minorEastAsia"/>
              <w:b/>
              <w:bCs/>
              <w:sz w:val="32"/>
              <w:szCs w:val="32"/>
            </w:rPr>
            <w:t>目录</w:t>
          </w:r>
        </w:p>
        <w:p>
          <w:pPr>
            <w:pStyle w:val="15"/>
            <w:tabs>
              <w:tab w:val="right" w:leader="dot" w:pos="8296"/>
            </w:tabs>
            <w:ind w:firstLine="480"/>
            <w:rPr>
              <w:rFonts w:asciiTheme="majorEastAsia" w:hAnsiTheme="majorEastAsia" w:eastAsiaTheme="majorEastAsia"/>
              <w:sz w:val="21"/>
              <w:szCs w:val="22"/>
            </w:rPr>
          </w:pPr>
          <w:r>
            <w:rPr>
              <w:rFonts w:hint="eastAsia" w:cs="黑体" w:asciiTheme="majorEastAsia" w:hAnsiTheme="majorEastAsia" w:eastAsiaTheme="majorEastAsia"/>
            </w:rPr>
            <w:fldChar w:fldCharType="begin"/>
          </w:r>
          <w:r>
            <w:rPr>
              <w:rFonts w:hint="eastAsia" w:cs="黑体" w:asciiTheme="majorEastAsia" w:hAnsiTheme="majorEastAsia" w:eastAsiaTheme="majorEastAsia"/>
            </w:rPr>
            <w:instrText xml:space="preserve">TOC \o "1-3" \h \u </w:instrText>
          </w:r>
          <w:r>
            <w:rPr>
              <w:rFonts w:hint="eastAsia" w:cs="黑体" w:asciiTheme="majorEastAsia" w:hAnsiTheme="majorEastAsia" w:eastAsiaTheme="majorEastAsia"/>
            </w:rPr>
            <w:fldChar w:fldCharType="separate"/>
          </w:r>
          <w:r>
            <w:fldChar w:fldCharType="begin"/>
          </w:r>
          <w:r>
            <w:instrText xml:space="preserve"> HYPERLINK \l "_Toc203061347" </w:instrText>
          </w:r>
          <w:r>
            <w:fldChar w:fldCharType="separate"/>
          </w:r>
          <w:r>
            <w:rPr>
              <w:rStyle w:val="25"/>
              <w:rFonts w:asciiTheme="majorEastAsia" w:hAnsiTheme="majorEastAsia" w:eastAsiaTheme="majorEastAsia"/>
            </w:rPr>
            <w:t>引言</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_Toc203061347 \h </w:instrText>
          </w:r>
          <w:r>
            <w:rPr>
              <w:rFonts w:asciiTheme="majorEastAsia" w:hAnsiTheme="majorEastAsia" w:eastAsiaTheme="majorEastAsia"/>
            </w:rPr>
            <w:fldChar w:fldCharType="separate"/>
          </w:r>
          <w:r>
            <w:rPr>
              <w:rFonts w:asciiTheme="majorEastAsia" w:hAnsiTheme="majorEastAsia" w:eastAsiaTheme="majorEastAsia"/>
            </w:rPr>
            <w:t>1</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5"/>
            <w:tabs>
              <w:tab w:val="right" w:leader="dot" w:pos="8296"/>
            </w:tabs>
            <w:ind w:firstLine="480"/>
            <w:rPr>
              <w:rFonts w:asciiTheme="majorEastAsia" w:hAnsiTheme="majorEastAsia" w:eastAsiaTheme="majorEastAsia"/>
              <w:sz w:val="21"/>
              <w:szCs w:val="22"/>
            </w:rPr>
          </w:pPr>
          <w:r>
            <w:fldChar w:fldCharType="begin"/>
          </w:r>
          <w:r>
            <w:instrText xml:space="preserve"> HYPERLINK \l "_Toc203061348" </w:instrText>
          </w:r>
          <w:r>
            <w:fldChar w:fldCharType="separate"/>
          </w:r>
          <w:r>
            <w:rPr>
              <w:rStyle w:val="25"/>
              <w:rFonts w:asciiTheme="majorEastAsia" w:hAnsiTheme="majorEastAsia" w:eastAsiaTheme="majorEastAsia"/>
            </w:rPr>
            <w:t>摘要</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_Toc203061348 \h </w:instrText>
          </w:r>
          <w:r>
            <w:rPr>
              <w:rFonts w:asciiTheme="majorEastAsia" w:hAnsiTheme="majorEastAsia" w:eastAsiaTheme="majorEastAsia"/>
            </w:rPr>
            <w:fldChar w:fldCharType="separate"/>
          </w:r>
          <w:r>
            <w:rPr>
              <w:rFonts w:asciiTheme="majorEastAsia" w:hAnsiTheme="majorEastAsia" w:eastAsiaTheme="majorEastAsia"/>
            </w:rPr>
            <w:t>3</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5"/>
            <w:tabs>
              <w:tab w:val="right" w:leader="dot" w:pos="8296"/>
            </w:tabs>
            <w:ind w:firstLine="480"/>
            <w:rPr>
              <w:rFonts w:asciiTheme="majorEastAsia" w:hAnsiTheme="majorEastAsia" w:eastAsiaTheme="majorEastAsia"/>
              <w:sz w:val="21"/>
              <w:szCs w:val="22"/>
            </w:rPr>
          </w:pPr>
          <w:r>
            <w:fldChar w:fldCharType="begin"/>
          </w:r>
          <w:r>
            <w:instrText xml:space="preserve"> HYPERLINK \l "_Toc203061349" </w:instrText>
          </w:r>
          <w:r>
            <w:fldChar w:fldCharType="separate"/>
          </w:r>
          <w:r>
            <w:rPr>
              <w:rStyle w:val="25"/>
              <w:rFonts w:asciiTheme="majorEastAsia" w:hAnsiTheme="majorEastAsia" w:eastAsiaTheme="majorEastAsia"/>
            </w:rPr>
            <w:t>第一章 产业及重点企业情况</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_Toc203061349 \h </w:instrText>
          </w:r>
          <w:r>
            <w:rPr>
              <w:rFonts w:asciiTheme="majorEastAsia" w:hAnsiTheme="majorEastAsia" w:eastAsiaTheme="majorEastAsia"/>
            </w:rPr>
            <w:fldChar w:fldCharType="separate"/>
          </w:r>
          <w:r>
            <w:rPr>
              <w:rFonts w:asciiTheme="majorEastAsia" w:hAnsiTheme="majorEastAsia" w:eastAsiaTheme="majorEastAsia"/>
            </w:rPr>
            <w:t>4</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"_Toc203061350" </w:instrText>
          </w:r>
          <w:r>
            <w:fldChar w:fldCharType="separate"/>
          </w:r>
          <w:r>
            <w:rPr>
              <w:rStyle w:val="25"/>
              <w:rFonts w:asciiTheme="majorEastAsia" w:hAnsiTheme="majorEastAsia" w:eastAsiaTheme="majorEastAsia"/>
            </w:rPr>
            <w:t>1.1 农业运输机械产业分析</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_Toc203061350 \h </w:instrText>
          </w:r>
          <w:r>
            <w:rPr>
              <w:rFonts w:asciiTheme="majorEastAsia" w:hAnsiTheme="majorEastAsia" w:eastAsiaTheme="majorEastAsia"/>
            </w:rPr>
            <w:fldChar w:fldCharType="separate"/>
          </w:r>
          <w:r>
            <w:rPr>
              <w:rFonts w:asciiTheme="majorEastAsia" w:hAnsiTheme="majorEastAsia" w:eastAsiaTheme="majorEastAsia"/>
            </w:rPr>
            <w:t>4</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"_Toc203061351" </w:instrText>
          </w:r>
          <w:r>
            <w:fldChar w:fldCharType="separate"/>
          </w:r>
          <w:r>
            <w:rPr>
              <w:rStyle w:val="25"/>
              <w:rFonts w:cs="Helvetica" w:asciiTheme="majorEastAsia" w:hAnsiTheme="majorEastAsia" w:eastAsiaTheme="majorEastAsia"/>
              <w:kern w:val="0"/>
            </w:rPr>
            <w:t>1.1.1 全球农业运输机械产业发展概况</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_Toc203061351 \h </w:instrText>
          </w:r>
          <w:r>
            <w:rPr>
              <w:rFonts w:asciiTheme="majorEastAsia" w:hAnsiTheme="majorEastAsia" w:eastAsiaTheme="majorEastAsia"/>
            </w:rPr>
            <w:fldChar w:fldCharType="separate"/>
          </w:r>
          <w:r>
            <w:rPr>
              <w:rFonts w:asciiTheme="majorEastAsia" w:hAnsiTheme="majorEastAsia" w:eastAsiaTheme="majorEastAsia"/>
            </w:rPr>
            <w:t>5</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"_Toc203061352" </w:instrText>
          </w:r>
          <w:r>
            <w:fldChar w:fldCharType="separate"/>
          </w:r>
          <w:r>
            <w:rPr>
              <w:rStyle w:val="25"/>
              <w:rFonts w:cs="Helvetica" w:asciiTheme="majorEastAsia" w:hAnsiTheme="majorEastAsia" w:eastAsiaTheme="majorEastAsia"/>
              <w:kern w:val="0"/>
            </w:rPr>
            <w:t>1.1.2 中国农业运输机械产业发展概况</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_Toc203061352 \h </w:instrText>
          </w:r>
          <w:r>
            <w:rPr>
              <w:rFonts w:asciiTheme="majorEastAsia" w:hAnsiTheme="majorEastAsia" w:eastAsiaTheme="majorEastAsia"/>
            </w:rPr>
            <w:fldChar w:fldCharType="separate"/>
          </w:r>
          <w:r>
            <w:rPr>
              <w:rFonts w:asciiTheme="majorEastAsia" w:hAnsiTheme="majorEastAsia" w:eastAsiaTheme="majorEastAsia"/>
            </w:rPr>
            <w:t>10</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"_Toc203061353" </w:instrText>
          </w:r>
          <w:r>
            <w:fldChar w:fldCharType="separate"/>
          </w:r>
          <w:r>
            <w:rPr>
              <w:rStyle w:val="25"/>
              <w:rFonts w:asciiTheme="majorEastAsia" w:hAnsiTheme="majorEastAsia" w:eastAsiaTheme="majorEastAsia"/>
            </w:rPr>
            <w:t>1.2 聊城市农业运输机械产业分析</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_Toc203061353 \h </w:instrText>
          </w:r>
          <w:r>
            <w:rPr>
              <w:rFonts w:asciiTheme="majorEastAsia" w:hAnsiTheme="majorEastAsia" w:eastAsiaTheme="majorEastAsia"/>
            </w:rPr>
            <w:fldChar w:fldCharType="separate"/>
          </w:r>
          <w:r>
            <w:rPr>
              <w:rFonts w:asciiTheme="majorEastAsia" w:hAnsiTheme="majorEastAsia" w:eastAsiaTheme="majorEastAsia"/>
            </w:rPr>
            <w:t>13</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"_Toc203061354" </w:instrText>
          </w:r>
          <w:r>
            <w:fldChar w:fldCharType="separate"/>
          </w:r>
          <w:r>
            <w:rPr>
              <w:rStyle w:val="25"/>
              <w:rFonts w:cs="Helvetica" w:asciiTheme="majorEastAsia" w:hAnsiTheme="majorEastAsia" w:eastAsiaTheme="majorEastAsia"/>
              <w:kern w:val="0"/>
            </w:rPr>
            <w:t>1.2.1 产业发展概况</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_Toc203061354 \h </w:instrText>
          </w:r>
          <w:r>
            <w:rPr>
              <w:rFonts w:asciiTheme="majorEastAsia" w:hAnsiTheme="majorEastAsia" w:eastAsiaTheme="majorEastAsia"/>
            </w:rPr>
            <w:fldChar w:fldCharType="separate"/>
          </w:r>
          <w:r>
            <w:rPr>
              <w:rFonts w:asciiTheme="majorEastAsia" w:hAnsiTheme="majorEastAsia" w:eastAsiaTheme="majorEastAsia"/>
            </w:rPr>
            <w:t>13</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"_Toc203061355" </w:instrText>
          </w:r>
          <w:r>
            <w:fldChar w:fldCharType="separate"/>
          </w:r>
          <w:r>
            <w:rPr>
              <w:rStyle w:val="25"/>
              <w:rFonts w:cs="Helvetica" w:asciiTheme="majorEastAsia" w:hAnsiTheme="majorEastAsia" w:eastAsiaTheme="majorEastAsia"/>
              <w:kern w:val="0"/>
            </w:rPr>
            <w:t>1.2.2 重点企业</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_Toc203061355 \h </w:instrText>
          </w:r>
          <w:r>
            <w:rPr>
              <w:rFonts w:asciiTheme="majorEastAsia" w:hAnsiTheme="majorEastAsia" w:eastAsiaTheme="majorEastAsia"/>
            </w:rPr>
            <w:fldChar w:fldCharType="separate"/>
          </w:r>
          <w:r>
            <w:rPr>
              <w:rFonts w:asciiTheme="majorEastAsia" w:hAnsiTheme="majorEastAsia" w:eastAsiaTheme="majorEastAsia"/>
            </w:rPr>
            <w:t>15</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5"/>
            <w:tabs>
              <w:tab w:val="right" w:leader="dot" w:pos="8296"/>
            </w:tabs>
            <w:ind w:firstLine="480"/>
            <w:rPr>
              <w:rFonts w:asciiTheme="majorEastAsia" w:hAnsiTheme="majorEastAsia" w:eastAsiaTheme="majorEastAsia"/>
              <w:sz w:val="21"/>
              <w:szCs w:val="22"/>
            </w:rPr>
          </w:pPr>
          <w:r>
            <w:fldChar w:fldCharType="begin"/>
          </w:r>
          <w:r>
            <w:instrText xml:space="preserve"> HYPERLINK \l "_Toc203061356" </w:instrText>
          </w:r>
          <w:r>
            <w:fldChar w:fldCharType="separate"/>
          </w:r>
          <w:r>
            <w:rPr>
              <w:rStyle w:val="25"/>
              <w:rFonts w:asciiTheme="majorEastAsia" w:hAnsiTheme="majorEastAsia" w:eastAsiaTheme="majorEastAsia"/>
            </w:rPr>
            <w:t>第二章 专利检索、产业专利竞争态势及风险识别</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_Toc203061356 \h </w:instrText>
          </w:r>
          <w:r>
            <w:rPr>
              <w:rFonts w:asciiTheme="majorEastAsia" w:hAnsiTheme="majorEastAsia" w:eastAsiaTheme="majorEastAsia"/>
            </w:rPr>
            <w:fldChar w:fldCharType="separate"/>
          </w:r>
          <w:r>
            <w:rPr>
              <w:rFonts w:asciiTheme="majorEastAsia" w:hAnsiTheme="majorEastAsia" w:eastAsiaTheme="majorEastAsia"/>
            </w:rPr>
            <w:t>21</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"_Toc203061357" </w:instrText>
          </w:r>
          <w:r>
            <w:fldChar w:fldCharType="separate"/>
          </w:r>
          <w:r>
            <w:rPr>
              <w:rStyle w:val="25"/>
              <w:rFonts w:asciiTheme="majorEastAsia" w:hAnsiTheme="majorEastAsia" w:eastAsiaTheme="majorEastAsia"/>
            </w:rPr>
            <w:t>2.1 技术分解及专利检索</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_Toc203061357 \h </w:instrText>
          </w:r>
          <w:r>
            <w:rPr>
              <w:rFonts w:asciiTheme="majorEastAsia" w:hAnsiTheme="majorEastAsia" w:eastAsiaTheme="majorEastAsia"/>
            </w:rPr>
            <w:fldChar w:fldCharType="separate"/>
          </w:r>
          <w:r>
            <w:rPr>
              <w:rFonts w:asciiTheme="majorEastAsia" w:hAnsiTheme="majorEastAsia" w:eastAsiaTheme="majorEastAsia"/>
            </w:rPr>
            <w:t>21</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"_Toc203061358" </w:instrText>
          </w:r>
          <w:r>
            <w:fldChar w:fldCharType="separate"/>
          </w:r>
          <w:r>
            <w:rPr>
              <w:rStyle w:val="25"/>
              <w:rFonts w:asciiTheme="majorEastAsia" w:hAnsiTheme="majorEastAsia" w:eastAsiaTheme="majorEastAsia"/>
            </w:rPr>
            <w:t>2.2 聊城市农业运输机械产业知识产权保护现状</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_Toc203061358 \h </w:instrText>
          </w:r>
          <w:r>
            <w:rPr>
              <w:rFonts w:asciiTheme="majorEastAsia" w:hAnsiTheme="majorEastAsia" w:eastAsiaTheme="majorEastAsia"/>
            </w:rPr>
            <w:fldChar w:fldCharType="separate"/>
          </w:r>
          <w:r>
            <w:rPr>
              <w:rFonts w:asciiTheme="majorEastAsia" w:hAnsiTheme="majorEastAsia" w:eastAsiaTheme="majorEastAsia"/>
            </w:rPr>
            <w:t>28</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"_Toc203061359" </w:instrText>
          </w:r>
          <w:r>
            <w:fldChar w:fldCharType="separate"/>
          </w:r>
          <w:r>
            <w:rPr>
              <w:rStyle w:val="25"/>
              <w:rFonts w:asciiTheme="majorEastAsia" w:hAnsiTheme="majorEastAsia" w:eastAsiaTheme="majorEastAsia"/>
            </w:rPr>
            <w:t>2.3 产业重点布局区域知识产权竞争态势</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_Toc203061359 \h </w:instrText>
          </w:r>
          <w:r>
            <w:rPr>
              <w:rFonts w:asciiTheme="majorEastAsia" w:hAnsiTheme="majorEastAsia" w:eastAsiaTheme="majorEastAsia"/>
            </w:rPr>
            <w:fldChar w:fldCharType="separate"/>
          </w:r>
          <w:r>
            <w:rPr>
              <w:rFonts w:asciiTheme="majorEastAsia" w:hAnsiTheme="majorEastAsia" w:eastAsiaTheme="majorEastAsia"/>
            </w:rPr>
            <w:t>30</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"_Toc203061360" </w:instrText>
          </w:r>
          <w:r>
            <w:fldChar w:fldCharType="separate"/>
          </w:r>
          <w:r>
            <w:rPr>
              <w:rStyle w:val="25"/>
              <w:rFonts w:cs="Helvetica" w:asciiTheme="majorEastAsia" w:hAnsiTheme="majorEastAsia" w:eastAsiaTheme="majorEastAsia"/>
              <w:kern w:val="0"/>
            </w:rPr>
            <w:t>2.3.1 美国</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_Toc203061360 \h </w:instrText>
          </w:r>
          <w:r>
            <w:rPr>
              <w:rFonts w:asciiTheme="majorEastAsia" w:hAnsiTheme="majorEastAsia" w:eastAsiaTheme="majorEastAsia"/>
            </w:rPr>
            <w:fldChar w:fldCharType="separate"/>
          </w:r>
          <w:r>
            <w:rPr>
              <w:rFonts w:asciiTheme="majorEastAsia" w:hAnsiTheme="majorEastAsia" w:eastAsiaTheme="majorEastAsia"/>
            </w:rPr>
            <w:t>30</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"_Toc203061361" </w:instrText>
          </w:r>
          <w:r>
            <w:fldChar w:fldCharType="separate"/>
          </w:r>
          <w:r>
            <w:rPr>
              <w:rStyle w:val="25"/>
              <w:rFonts w:cs="Helvetica" w:asciiTheme="majorEastAsia" w:hAnsiTheme="majorEastAsia" w:eastAsiaTheme="majorEastAsia"/>
              <w:kern w:val="0"/>
            </w:rPr>
            <w:t>2.3.2 德国</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_Toc203061361 \h </w:instrText>
          </w:r>
          <w:r>
            <w:rPr>
              <w:rFonts w:asciiTheme="majorEastAsia" w:hAnsiTheme="majorEastAsia" w:eastAsiaTheme="majorEastAsia"/>
            </w:rPr>
            <w:fldChar w:fldCharType="separate"/>
          </w:r>
          <w:r>
            <w:rPr>
              <w:rFonts w:asciiTheme="majorEastAsia" w:hAnsiTheme="majorEastAsia" w:eastAsiaTheme="majorEastAsia"/>
            </w:rPr>
            <w:t>32</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"_Toc203061362" </w:instrText>
          </w:r>
          <w:r>
            <w:fldChar w:fldCharType="separate"/>
          </w:r>
          <w:r>
            <w:rPr>
              <w:rStyle w:val="25"/>
              <w:rFonts w:cs="Helvetica" w:asciiTheme="majorEastAsia" w:hAnsiTheme="majorEastAsia" w:eastAsiaTheme="majorEastAsia"/>
              <w:kern w:val="0"/>
            </w:rPr>
            <w:t>2.3.3 日本</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_Toc203061362 \h </w:instrText>
          </w:r>
          <w:r>
            <w:rPr>
              <w:rFonts w:asciiTheme="majorEastAsia" w:hAnsiTheme="majorEastAsia" w:eastAsiaTheme="majorEastAsia"/>
            </w:rPr>
            <w:fldChar w:fldCharType="separate"/>
          </w:r>
          <w:r>
            <w:rPr>
              <w:rFonts w:asciiTheme="majorEastAsia" w:hAnsiTheme="majorEastAsia" w:eastAsiaTheme="majorEastAsia"/>
            </w:rPr>
            <w:t>34</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"_Toc203061363" </w:instrText>
          </w:r>
          <w:r>
            <w:fldChar w:fldCharType="separate"/>
          </w:r>
          <w:r>
            <w:rPr>
              <w:rStyle w:val="25"/>
              <w:rFonts w:cs="Helvetica" w:asciiTheme="majorEastAsia" w:hAnsiTheme="majorEastAsia" w:eastAsiaTheme="majorEastAsia"/>
              <w:kern w:val="0"/>
            </w:rPr>
            <w:t>2.3.4 法国</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_Toc203061363 \h </w:instrText>
          </w:r>
          <w:r>
            <w:rPr>
              <w:rFonts w:asciiTheme="majorEastAsia" w:hAnsiTheme="majorEastAsia" w:eastAsiaTheme="majorEastAsia"/>
            </w:rPr>
            <w:fldChar w:fldCharType="separate"/>
          </w:r>
          <w:r>
            <w:rPr>
              <w:rFonts w:asciiTheme="majorEastAsia" w:hAnsiTheme="majorEastAsia" w:eastAsiaTheme="majorEastAsia"/>
            </w:rPr>
            <w:t>36</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"_Toc203061364" </w:instrText>
          </w:r>
          <w:r>
            <w:fldChar w:fldCharType="separate"/>
          </w:r>
          <w:r>
            <w:rPr>
              <w:rStyle w:val="25"/>
              <w:rFonts w:asciiTheme="majorEastAsia" w:hAnsiTheme="majorEastAsia" w:eastAsiaTheme="majorEastAsia"/>
            </w:rPr>
            <w:t>2.4 重点企业知识产权竞争态势</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_Toc203061364 \h </w:instrText>
          </w:r>
          <w:r>
            <w:rPr>
              <w:rFonts w:asciiTheme="majorEastAsia" w:hAnsiTheme="majorEastAsia" w:eastAsiaTheme="majorEastAsia"/>
            </w:rPr>
            <w:fldChar w:fldCharType="separate"/>
          </w:r>
          <w:r>
            <w:rPr>
              <w:rFonts w:asciiTheme="majorEastAsia" w:hAnsiTheme="majorEastAsia" w:eastAsiaTheme="majorEastAsia"/>
            </w:rPr>
            <w:t>38</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"_Toc203061365" </w:instrText>
          </w:r>
          <w:r>
            <w:fldChar w:fldCharType="separate"/>
          </w:r>
          <w:r>
            <w:rPr>
              <w:rStyle w:val="25"/>
              <w:rFonts w:asciiTheme="majorEastAsia" w:hAnsiTheme="majorEastAsia" w:eastAsiaTheme="majorEastAsia"/>
            </w:rPr>
            <w:t>2.5 风险区域识别</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_Toc203061365 \h </w:instrText>
          </w:r>
          <w:r>
            <w:rPr>
              <w:rFonts w:asciiTheme="majorEastAsia" w:hAnsiTheme="majorEastAsia" w:eastAsiaTheme="majorEastAsia"/>
            </w:rPr>
            <w:fldChar w:fldCharType="separate"/>
          </w:r>
          <w:r>
            <w:rPr>
              <w:rFonts w:asciiTheme="majorEastAsia" w:hAnsiTheme="majorEastAsia" w:eastAsiaTheme="majorEastAsia"/>
            </w:rPr>
            <w:t>42</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"_Toc203061366" </w:instrText>
          </w:r>
          <w:r>
            <w:fldChar w:fldCharType="separate"/>
          </w:r>
          <w:r>
            <w:rPr>
              <w:rStyle w:val="25"/>
              <w:rFonts w:asciiTheme="majorEastAsia" w:hAnsiTheme="majorEastAsia" w:eastAsiaTheme="majorEastAsia"/>
            </w:rPr>
            <w:t>2.6 风险企业识别</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_Toc203061366 \h </w:instrText>
          </w:r>
          <w:r>
            <w:rPr>
              <w:rFonts w:asciiTheme="majorEastAsia" w:hAnsiTheme="majorEastAsia" w:eastAsiaTheme="majorEastAsia"/>
            </w:rPr>
            <w:fldChar w:fldCharType="separate"/>
          </w:r>
          <w:r>
            <w:rPr>
              <w:rFonts w:asciiTheme="majorEastAsia" w:hAnsiTheme="majorEastAsia" w:eastAsiaTheme="majorEastAsia"/>
            </w:rPr>
            <w:t>43</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"_Toc203061367" </w:instrText>
          </w:r>
          <w:r>
            <w:fldChar w:fldCharType="separate"/>
          </w:r>
          <w:r>
            <w:rPr>
              <w:rStyle w:val="25"/>
              <w:rFonts w:asciiTheme="majorEastAsia" w:hAnsiTheme="majorEastAsia" w:eastAsiaTheme="majorEastAsia"/>
            </w:rPr>
            <w:t>2.7 风险技术方向识别</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_Toc203061367 \h </w:instrText>
          </w:r>
          <w:r>
            <w:rPr>
              <w:rFonts w:asciiTheme="majorEastAsia" w:hAnsiTheme="majorEastAsia" w:eastAsiaTheme="majorEastAsia"/>
            </w:rPr>
            <w:fldChar w:fldCharType="separate"/>
          </w:r>
          <w:r>
            <w:rPr>
              <w:rFonts w:asciiTheme="majorEastAsia" w:hAnsiTheme="majorEastAsia" w:eastAsiaTheme="majorEastAsia"/>
            </w:rPr>
            <w:t>44</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5"/>
            <w:tabs>
              <w:tab w:val="right" w:leader="dot" w:pos="8296"/>
            </w:tabs>
            <w:ind w:firstLine="480"/>
            <w:rPr>
              <w:rFonts w:asciiTheme="majorEastAsia" w:hAnsiTheme="majorEastAsia" w:eastAsiaTheme="majorEastAsia"/>
              <w:sz w:val="21"/>
              <w:szCs w:val="22"/>
            </w:rPr>
          </w:pPr>
          <w:r>
            <w:fldChar w:fldCharType="begin"/>
          </w:r>
          <w:r>
            <w:instrText xml:space="preserve"> HYPERLINK \l "_Toc203061368" </w:instrText>
          </w:r>
          <w:r>
            <w:fldChar w:fldCharType="separate"/>
          </w:r>
          <w:r>
            <w:rPr>
              <w:rStyle w:val="25"/>
              <w:rFonts w:asciiTheme="majorEastAsia" w:hAnsiTheme="majorEastAsia" w:eastAsiaTheme="majorEastAsia"/>
            </w:rPr>
            <w:t>第三章 产业知识产权司法实践</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_Toc203061368 \h </w:instrText>
          </w:r>
          <w:r>
            <w:rPr>
              <w:rFonts w:asciiTheme="majorEastAsia" w:hAnsiTheme="majorEastAsia" w:eastAsiaTheme="majorEastAsia"/>
            </w:rPr>
            <w:fldChar w:fldCharType="separate"/>
          </w:r>
          <w:r>
            <w:rPr>
              <w:rFonts w:asciiTheme="majorEastAsia" w:hAnsiTheme="majorEastAsia" w:eastAsiaTheme="majorEastAsia"/>
            </w:rPr>
            <w:t>46</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"_Toc203061369" </w:instrText>
          </w:r>
          <w:r>
            <w:fldChar w:fldCharType="separate"/>
          </w:r>
          <w:r>
            <w:rPr>
              <w:rStyle w:val="25"/>
              <w:rFonts w:asciiTheme="majorEastAsia" w:hAnsiTheme="majorEastAsia" w:eastAsiaTheme="majorEastAsia"/>
            </w:rPr>
            <w:t>3.1 商标</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_Toc203061369 \h </w:instrText>
          </w:r>
          <w:r>
            <w:rPr>
              <w:rFonts w:asciiTheme="majorEastAsia" w:hAnsiTheme="majorEastAsia" w:eastAsiaTheme="majorEastAsia"/>
            </w:rPr>
            <w:fldChar w:fldCharType="separate"/>
          </w:r>
          <w:r>
            <w:rPr>
              <w:rFonts w:asciiTheme="majorEastAsia" w:hAnsiTheme="majorEastAsia" w:eastAsiaTheme="majorEastAsia"/>
            </w:rPr>
            <w:t>46</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"_Toc203061370" </w:instrText>
          </w:r>
          <w:r>
            <w:fldChar w:fldCharType="separate"/>
          </w:r>
          <w:r>
            <w:rPr>
              <w:rStyle w:val="25"/>
              <w:rFonts w:asciiTheme="majorEastAsia" w:hAnsiTheme="majorEastAsia" w:eastAsiaTheme="majorEastAsia"/>
            </w:rPr>
            <w:t>3.2 不正当竞争</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_Toc203061370 \h </w:instrText>
          </w:r>
          <w:r>
            <w:rPr>
              <w:rFonts w:asciiTheme="majorEastAsia" w:hAnsiTheme="majorEastAsia" w:eastAsiaTheme="majorEastAsia"/>
            </w:rPr>
            <w:fldChar w:fldCharType="separate"/>
          </w:r>
          <w:r>
            <w:rPr>
              <w:rFonts w:asciiTheme="majorEastAsia" w:hAnsiTheme="majorEastAsia" w:eastAsiaTheme="majorEastAsia"/>
            </w:rPr>
            <w:t>49</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"_Toc203061371" </w:instrText>
          </w:r>
          <w:r>
            <w:fldChar w:fldCharType="separate"/>
          </w:r>
          <w:r>
            <w:rPr>
              <w:rStyle w:val="25"/>
              <w:rFonts w:asciiTheme="majorEastAsia" w:hAnsiTheme="majorEastAsia" w:eastAsiaTheme="majorEastAsia"/>
            </w:rPr>
            <w:t>3.3 软著</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_Toc203061371 \h </w:instrText>
          </w:r>
          <w:r>
            <w:rPr>
              <w:rFonts w:asciiTheme="majorEastAsia" w:hAnsiTheme="majorEastAsia" w:eastAsiaTheme="majorEastAsia"/>
            </w:rPr>
            <w:fldChar w:fldCharType="separate"/>
          </w:r>
          <w:r>
            <w:rPr>
              <w:rFonts w:asciiTheme="majorEastAsia" w:hAnsiTheme="majorEastAsia" w:eastAsiaTheme="majorEastAsia"/>
            </w:rPr>
            <w:t>51</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"_Toc203061372" </w:instrText>
          </w:r>
          <w:r>
            <w:fldChar w:fldCharType="separate"/>
          </w:r>
          <w:r>
            <w:rPr>
              <w:rStyle w:val="25"/>
              <w:rFonts w:asciiTheme="majorEastAsia" w:hAnsiTheme="majorEastAsia" w:eastAsiaTheme="majorEastAsia"/>
            </w:rPr>
            <w:t>3.4 专利</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_Toc203061372 \h </w:instrText>
          </w:r>
          <w:r>
            <w:rPr>
              <w:rFonts w:asciiTheme="majorEastAsia" w:hAnsiTheme="majorEastAsia" w:eastAsiaTheme="majorEastAsia"/>
            </w:rPr>
            <w:fldChar w:fldCharType="separate"/>
          </w:r>
          <w:r>
            <w:rPr>
              <w:rFonts w:asciiTheme="majorEastAsia" w:hAnsiTheme="majorEastAsia" w:eastAsiaTheme="majorEastAsia"/>
            </w:rPr>
            <w:t>53</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5"/>
            <w:tabs>
              <w:tab w:val="right" w:leader="dot" w:pos="8296"/>
            </w:tabs>
            <w:ind w:firstLine="480"/>
            <w:rPr>
              <w:rFonts w:asciiTheme="majorEastAsia" w:hAnsiTheme="majorEastAsia" w:eastAsiaTheme="majorEastAsia"/>
              <w:sz w:val="21"/>
              <w:szCs w:val="22"/>
            </w:rPr>
          </w:pPr>
          <w:r>
            <w:fldChar w:fldCharType="begin"/>
          </w:r>
          <w:r>
            <w:instrText xml:space="preserve"> HYPERLINK \l "_Toc203061373" </w:instrText>
          </w:r>
          <w:r>
            <w:fldChar w:fldCharType="separate"/>
          </w:r>
          <w:r>
            <w:rPr>
              <w:rStyle w:val="25"/>
              <w:rFonts w:asciiTheme="majorEastAsia" w:hAnsiTheme="majorEastAsia" w:eastAsiaTheme="majorEastAsia"/>
            </w:rPr>
            <w:t>第四章 重点国家或地区知识产权相关法律法规汇总分析</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_Toc203061373 \h </w:instrText>
          </w:r>
          <w:r>
            <w:rPr>
              <w:rFonts w:asciiTheme="majorEastAsia" w:hAnsiTheme="majorEastAsia" w:eastAsiaTheme="majorEastAsia"/>
            </w:rPr>
            <w:fldChar w:fldCharType="separate"/>
          </w:r>
          <w:r>
            <w:rPr>
              <w:rFonts w:asciiTheme="majorEastAsia" w:hAnsiTheme="majorEastAsia" w:eastAsiaTheme="majorEastAsia"/>
            </w:rPr>
            <w:t>55</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"_Toc203061374" </w:instrText>
          </w:r>
          <w:r>
            <w:fldChar w:fldCharType="separate"/>
          </w:r>
          <w:r>
            <w:rPr>
              <w:rStyle w:val="25"/>
              <w:rFonts w:asciiTheme="majorEastAsia" w:hAnsiTheme="majorEastAsia" w:eastAsiaTheme="majorEastAsia"/>
            </w:rPr>
            <w:t>4.1 美国知识产权风险防控分析</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_Toc203061374 \h </w:instrText>
          </w:r>
          <w:r>
            <w:rPr>
              <w:rFonts w:asciiTheme="majorEastAsia" w:hAnsiTheme="majorEastAsia" w:eastAsiaTheme="majorEastAsia"/>
            </w:rPr>
            <w:fldChar w:fldCharType="separate"/>
          </w:r>
          <w:r>
            <w:rPr>
              <w:rFonts w:asciiTheme="majorEastAsia" w:hAnsiTheme="majorEastAsia" w:eastAsiaTheme="majorEastAsia"/>
            </w:rPr>
            <w:t>55</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"_Toc203061375" </w:instrText>
          </w:r>
          <w:r>
            <w:fldChar w:fldCharType="separate"/>
          </w:r>
          <w:r>
            <w:rPr>
              <w:rStyle w:val="25"/>
              <w:rFonts w:cs="Helvetica" w:asciiTheme="majorEastAsia" w:hAnsiTheme="majorEastAsia" w:eastAsiaTheme="majorEastAsia"/>
              <w:kern w:val="0"/>
            </w:rPr>
            <w:t>4.1.1 美国专利侵权行为的认定</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_Toc203061375 \h </w:instrText>
          </w:r>
          <w:r>
            <w:rPr>
              <w:rFonts w:asciiTheme="majorEastAsia" w:hAnsiTheme="majorEastAsia" w:eastAsiaTheme="majorEastAsia"/>
            </w:rPr>
            <w:fldChar w:fldCharType="separate"/>
          </w:r>
          <w:r>
            <w:rPr>
              <w:rFonts w:asciiTheme="majorEastAsia" w:hAnsiTheme="majorEastAsia" w:eastAsiaTheme="majorEastAsia"/>
            </w:rPr>
            <w:t>55</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"_Toc203061376" </w:instrText>
          </w:r>
          <w:r>
            <w:fldChar w:fldCharType="separate"/>
          </w:r>
          <w:r>
            <w:rPr>
              <w:rStyle w:val="25"/>
              <w:rFonts w:cs="Helvetica" w:asciiTheme="majorEastAsia" w:hAnsiTheme="majorEastAsia" w:eastAsiaTheme="majorEastAsia"/>
              <w:kern w:val="0"/>
            </w:rPr>
            <w:t>4.1.2 “337调查”及常规应对策略</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_Toc203061376 \h </w:instrText>
          </w:r>
          <w:r>
            <w:rPr>
              <w:rFonts w:asciiTheme="majorEastAsia" w:hAnsiTheme="majorEastAsia" w:eastAsiaTheme="majorEastAsia"/>
            </w:rPr>
            <w:fldChar w:fldCharType="separate"/>
          </w:r>
          <w:r>
            <w:rPr>
              <w:rFonts w:asciiTheme="majorEastAsia" w:hAnsiTheme="majorEastAsia" w:eastAsiaTheme="majorEastAsia"/>
            </w:rPr>
            <w:t>57</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"_Toc203061377" </w:instrText>
          </w:r>
          <w:r>
            <w:fldChar w:fldCharType="separate"/>
          </w:r>
          <w:r>
            <w:rPr>
              <w:rStyle w:val="25"/>
              <w:rFonts w:cs="Helvetica" w:asciiTheme="majorEastAsia" w:hAnsiTheme="majorEastAsia" w:eastAsiaTheme="majorEastAsia"/>
              <w:kern w:val="0"/>
            </w:rPr>
            <w:t>4.1.3 美国专利诉讼及常规应对策略</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_Toc203061377 \h </w:instrText>
          </w:r>
          <w:r>
            <w:rPr>
              <w:rFonts w:asciiTheme="majorEastAsia" w:hAnsiTheme="majorEastAsia" w:eastAsiaTheme="majorEastAsia"/>
            </w:rPr>
            <w:fldChar w:fldCharType="separate"/>
          </w:r>
          <w:r>
            <w:rPr>
              <w:rFonts w:asciiTheme="majorEastAsia" w:hAnsiTheme="majorEastAsia" w:eastAsiaTheme="majorEastAsia"/>
            </w:rPr>
            <w:t>61</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"_Toc203061378" </w:instrText>
          </w:r>
          <w:r>
            <w:fldChar w:fldCharType="separate"/>
          </w:r>
          <w:r>
            <w:rPr>
              <w:rStyle w:val="25"/>
              <w:rFonts w:cs="Helvetica" w:asciiTheme="majorEastAsia" w:hAnsiTheme="majorEastAsia" w:eastAsiaTheme="majorEastAsia"/>
              <w:kern w:val="0"/>
            </w:rPr>
            <w:t>4.1.4 美国侵权诉讼中的反诉及抗辩</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_Toc203061378 \h </w:instrText>
          </w:r>
          <w:r>
            <w:rPr>
              <w:rFonts w:asciiTheme="majorEastAsia" w:hAnsiTheme="majorEastAsia" w:eastAsiaTheme="majorEastAsia"/>
            </w:rPr>
            <w:fldChar w:fldCharType="separate"/>
          </w:r>
          <w:r>
            <w:rPr>
              <w:rFonts w:asciiTheme="majorEastAsia" w:hAnsiTheme="majorEastAsia" w:eastAsiaTheme="majorEastAsia"/>
            </w:rPr>
            <w:t>63</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"_Toc203061379" </w:instrText>
          </w:r>
          <w:r>
            <w:fldChar w:fldCharType="separate"/>
          </w:r>
          <w:r>
            <w:rPr>
              <w:rStyle w:val="25"/>
              <w:rFonts w:asciiTheme="majorEastAsia" w:hAnsiTheme="majorEastAsia" w:eastAsiaTheme="majorEastAsia"/>
            </w:rPr>
            <w:t>4.2 德国知识产权风险防控分析</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_Toc203061379 \h </w:instrText>
          </w:r>
          <w:r>
            <w:rPr>
              <w:rFonts w:asciiTheme="majorEastAsia" w:hAnsiTheme="majorEastAsia" w:eastAsiaTheme="majorEastAsia"/>
            </w:rPr>
            <w:fldChar w:fldCharType="separate"/>
          </w:r>
          <w:r>
            <w:rPr>
              <w:rFonts w:asciiTheme="majorEastAsia" w:hAnsiTheme="majorEastAsia" w:eastAsiaTheme="majorEastAsia"/>
            </w:rPr>
            <w:t>67</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"_Toc203061380" </w:instrText>
          </w:r>
          <w:r>
            <w:fldChar w:fldCharType="separate"/>
          </w:r>
          <w:r>
            <w:rPr>
              <w:rStyle w:val="25"/>
              <w:rFonts w:cs="Helvetica" w:asciiTheme="majorEastAsia" w:hAnsiTheme="majorEastAsia" w:eastAsiaTheme="majorEastAsia"/>
              <w:kern w:val="0"/>
            </w:rPr>
            <w:t>4.2.1 德国专利侵权行为及其例外</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_Toc203061380 \h </w:instrText>
          </w:r>
          <w:r>
            <w:rPr>
              <w:rFonts w:asciiTheme="majorEastAsia" w:hAnsiTheme="majorEastAsia" w:eastAsiaTheme="majorEastAsia"/>
            </w:rPr>
            <w:fldChar w:fldCharType="separate"/>
          </w:r>
          <w:r>
            <w:rPr>
              <w:rFonts w:asciiTheme="majorEastAsia" w:hAnsiTheme="majorEastAsia" w:eastAsiaTheme="majorEastAsia"/>
            </w:rPr>
            <w:t>67</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"_Toc203061381" </w:instrText>
          </w:r>
          <w:r>
            <w:fldChar w:fldCharType="separate"/>
          </w:r>
          <w:r>
            <w:rPr>
              <w:rStyle w:val="25"/>
              <w:rFonts w:cs="Helvetica" w:asciiTheme="majorEastAsia" w:hAnsiTheme="majorEastAsia" w:eastAsiaTheme="majorEastAsia"/>
              <w:kern w:val="0"/>
            </w:rPr>
            <w:t>4.2.2 德国侵权诉讼的反诉及抗辩</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_Toc203061381 \h </w:instrText>
          </w:r>
          <w:r>
            <w:rPr>
              <w:rFonts w:asciiTheme="majorEastAsia" w:hAnsiTheme="majorEastAsia" w:eastAsiaTheme="majorEastAsia"/>
            </w:rPr>
            <w:fldChar w:fldCharType="separate"/>
          </w:r>
          <w:r>
            <w:rPr>
              <w:rFonts w:asciiTheme="majorEastAsia" w:hAnsiTheme="majorEastAsia" w:eastAsiaTheme="majorEastAsia"/>
            </w:rPr>
            <w:t>74</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"_Toc203061382" </w:instrText>
          </w:r>
          <w:r>
            <w:fldChar w:fldCharType="separate"/>
          </w:r>
          <w:r>
            <w:rPr>
              <w:rStyle w:val="25"/>
              <w:rFonts w:asciiTheme="majorEastAsia" w:hAnsiTheme="majorEastAsia" w:eastAsiaTheme="majorEastAsia"/>
            </w:rPr>
            <w:t>4.3 日本知识产权风险防控分析</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_Toc203061382 \h </w:instrText>
          </w:r>
          <w:r>
            <w:rPr>
              <w:rFonts w:asciiTheme="majorEastAsia" w:hAnsiTheme="majorEastAsia" w:eastAsiaTheme="majorEastAsia"/>
            </w:rPr>
            <w:fldChar w:fldCharType="separate"/>
          </w:r>
          <w:r>
            <w:rPr>
              <w:rFonts w:asciiTheme="majorEastAsia" w:hAnsiTheme="majorEastAsia" w:eastAsiaTheme="majorEastAsia"/>
            </w:rPr>
            <w:t>75</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"_Toc203061383" </w:instrText>
          </w:r>
          <w:r>
            <w:fldChar w:fldCharType="separate"/>
          </w:r>
          <w:r>
            <w:rPr>
              <w:rStyle w:val="25"/>
              <w:rFonts w:cs="Helvetica" w:asciiTheme="majorEastAsia" w:hAnsiTheme="majorEastAsia" w:eastAsiaTheme="majorEastAsia"/>
              <w:kern w:val="0"/>
            </w:rPr>
            <w:t>4.3.1 日本专利侵权行为</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_Toc203061383 \h </w:instrText>
          </w:r>
          <w:r>
            <w:rPr>
              <w:rFonts w:asciiTheme="majorEastAsia" w:hAnsiTheme="majorEastAsia" w:eastAsiaTheme="majorEastAsia"/>
            </w:rPr>
            <w:fldChar w:fldCharType="separate"/>
          </w:r>
          <w:r>
            <w:rPr>
              <w:rFonts w:asciiTheme="majorEastAsia" w:hAnsiTheme="majorEastAsia" w:eastAsiaTheme="majorEastAsia"/>
            </w:rPr>
            <w:t>75</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"_Toc203061384" </w:instrText>
          </w:r>
          <w:r>
            <w:fldChar w:fldCharType="separate"/>
          </w:r>
          <w:r>
            <w:rPr>
              <w:rStyle w:val="25"/>
              <w:rFonts w:cs="Helvetica" w:asciiTheme="majorEastAsia" w:hAnsiTheme="majorEastAsia" w:eastAsiaTheme="majorEastAsia"/>
              <w:kern w:val="0"/>
            </w:rPr>
            <w:t>4.3.2 日本专利侵权诉讼的反诉及抗辩</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_Toc203061384 \h </w:instrText>
          </w:r>
          <w:r>
            <w:rPr>
              <w:rFonts w:asciiTheme="majorEastAsia" w:hAnsiTheme="majorEastAsia" w:eastAsiaTheme="majorEastAsia"/>
            </w:rPr>
            <w:fldChar w:fldCharType="separate"/>
          </w:r>
          <w:r>
            <w:rPr>
              <w:rFonts w:asciiTheme="majorEastAsia" w:hAnsiTheme="majorEastAsia" w:eastAsiaTheme="majorEastAsia"/>
            </w:rPr>
            <w:t>77</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"_Toc203061385" </w:instrText>
          </w:r>
          <w:r>
            <w:fldChar w:fldCharType="separate"/>
          </w:r>
          <w:r>
            <w:rPr>
              <w:rStyle w:val="25"/>
              <w:rFonts w:asciiTheme="majorEastAsia" w:hAnsiTheme="majorEastAsia" w:eastAsiaTheme="majorEastAsia"/>
            </w:rPr>
            <w:t>4.4 法国知识产权风险防控分析</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_Toc203061385 \h </w:instrText>
          </w:r>
          <w:r>
            <w:rPr>
              <w:rFonts w:asciiTheme="majorEastAsia" w:hAnsiTheme="majorEastAsia" w:eastAsiaTheme="majorEastAsia"/>
            </w:rPr>
            <w:fldChar w:fldCharType="separate"/>
          </w:r>
          <w:r>
            <w:rPr>
              <w:rFonts w:asciiTheme="majorEastAsia" w:hAnsiTheme="majorEastAsia" w:eastAsiaTheme="majorEastAsia"/>
            </w:rPr>
            <w:t>83</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"_Toc203061386" </w:instrText>
          </w:r>
          <w:r>
            <w:fldChar w:fldCharType="separate"/>
          </w:r>
          <w:r>
            <w:rPr>
              <w:rStyle w:val="25"/>
              <w:rFonts w:cs="Helvetica" w:asciiTheme="majorEastAsia" w:hAnsiTheme="majorEastAsia" w:eastAsiaTheme="majorEastAsia"/>
              <w:kern w:val="0"/>
            </w:rPr>
            <w:t>4.4.1 专利侵权行为</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_Toc203061386 \h </w:instrText>
          </w:r>
          <w:r>
            <w:rPr>
              <w:rFonts w:asciiTheme="majorEastAsia" w:hAnsiTheme="majorEastAsia" w:eastAsiaTheme="majorEastAsia"/>
            </w:rPr>
            <w:fldChar w:fldCharType="separate"/>
          </w:r>
          <w:r>
            <w:rPr>
              <w:rFonts w:asciiTheme="majorEastAsia" w:hAnsiTheme="majorEastAsia" w:eastAsiaTheme="majorEastAsia"/>
            </w:rPr>
            <w:t>83</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"_Toc203061387" </w:instrText>
          </w:r>
          <w:r>
            <w:fldChar w:fldCharType="separate"/>
          </w:r>
          <w:r>
            <w:rPr>
              <w:rStyle w:val="25"/>
              <w:rFonts w:cs="Helvetica" w:asciiTheme="majorEastAsia" w:hAnsiTheme="majorEastAsia" w:eastAsiaTheme="majorEastAsia"/>
              <w:kern w:val="0"/>
            </w:rPr>
            <w:t>4.4.2 专利侵权的例外</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_Toc203061387 \h </w:instrText>
          </w:r>
          <w:r>
            <w:rPr>
              <w:rFonts w:asciiTheme="majorEastAsia" w:hAnsiTheme="majorEastAsia" w:eastAsiaTheme="majorEastAsia"/>
            </w:rPr>
            <w:fldChar w:fldCharType="separate"/>
          </w:r>
          <w:r>
            <w:rPr>
              <w:rFonts w:asciiTheme="majorEastAsia" w:hAnsiTheme="majorEastAsia" w:eastAsiaTheme="majorEastAsia"/>
            </w:rPr>
            <w:t>87</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"_Toc203061388" </w:instrText>
          </w:r>
          <w:r>
            <w:fldChar w:fldCharType="separate"/>
          </w:r>
          <w:r>
            <w:rPr>
              <w:rStyle w:val="25"/>
              <w:rFonts w:cs="Helvetica" w:asciiTheme="majorEastAsia" w:hAnsiTheme="majorEastAsia" w:eastAsiaTheme="majorEastAsia"/>
              <w:kern w:val="0"/>
            </w:rPr>
            <w:t>4.4.3 法国专利侵权的反诉及抗辩</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_Toc203061388 \h </w:instrText>
          </w:r>
          <w:r>
            <w:rPr>
              <w:rFonts w:asciiTheme="majorEastAsia" w:hAnsiTheme="majorEastAsia" w:eastAsiaTheme="majorEastAsia"/>
            </w:rPr>
            <w:fldChar w:fldCharType="separate"/>
          </w:r>
          <w:r>
            <w:rPr>
              <w:rFonts w:asciiTheme="majorEastAsia" w:hAnsiTheme="majorEastAsia" w:eastAsiaTheme="majorEastAsia"/>
            </w:rPr>
            <w:t>91</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5"/>
            <w:tabs>
              <w:tab w:val="right" w:leader="dot" w:pos="8296"/>
            </w:tabs>
            <w:ind w:firstLine="480"/>
            <w:rPr>
              <w:rFonts w:asciiTheme="majorEastAsia" w:hAnsiTheme="majorEastAsia" w:eastAsiaTheme="majorEastAsia"/>
              <w:sz w:val="21"/>
              <w:szCs w:val="22"/>
            </w:rPr>
          </w:pPr>
          <w:r>
            <w:fldChar w:fldCharType="begin"/>
          </w:r>
          <w:r>
            <w:instrText xml:space="preserve"> HYPERLINK \l "_Toc203061389" </w:instrText>
          </w:r>
          <w:r>
            <w:fldChar w:fldCharType="separate"/>
          </w:r>
          <w:r>
            <w:rPr>
              <w:rStyle w:val="25"/>
              <w:rFonts w:asciiTheme="majorEastAsia" w:hAnsiTheme="majorEastAsia" w:eastAsiaTheme="majorEastAsia"/>
            </w:rPr>
            <w:t>第五章 应对措施</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_Toc203061389 \h </w:instrText>
          </w:r>
          <w:r>
            <w:rPr>
              <w:rFonts w:asciiTheme="majorEastAsia" w:hAnsiTheme="majorEastAsia" w:eastAsiaTheme="majorEastAsia"/>
            </w:rPr>
            <w:fldChar w:fldCharType="separate"/>
          </w:r>
          <w:r>
            <w:rPr>
              <w:rFonts w:asciiTheme="majorEastAsia" w:hAnsiTheme="majorEastAsia" w:eastAsiaTheme="majorEastAsia"/>
            </w:rPr>
            <w:t>93</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"_Toc203061390" </w:instrText>
          </w:r>
          <w:r>
            <w:fldChar w:fldCharType="separate"/>
          </w:r>
          <w:r>
            <w:rPr>
              <w:rStyle w:val="25"/>
              <w:rFonts w:asciiTheme="majorEastAsia" w:hAnsiTheme="majorEastAsia" w:eastAsiaTheme="majorEastAsia"/>
            </w:rPr>
            <w:t>5.1 产业现状与海外知识产权风险研判</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_Toc203061390 \h </w:instrText>
          </w:r>
          <w:r>
            <w:rPr>
              <w:rFonts w:asciiTheme="majorEastAsia" w:hAnsiTheme="majorEastAsia" w:eastAsiaTheme="majorEastAsia"/>
            </w:rPr>
            <w:fldChar w:fldCharType="separate"/>
          </w:r>
          <w:r>
            <w:rPr>
              <w:rFonts w:asciiTheme="majorEastAsia" w:hAnsiTheme="majorEastAsia" w:eastAsiaTheme="majorEastAsia"/>
            </w:rPr>
            <w:t>93</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"_Toc203061391" </w:instrText>
          </w:r>
          <w:r>
            <w:fldChar w:fldCharType="separate"/>
          </w:r>
          <w:r>
            <w:rPr>
              <w:rStyle w:val="25"/>
              <w:rFonts w:asciiTheme="majorEastAsia" w:hAnsiTheme="majorEastAsia" w:eastAsiaTheme="majorEastAsia"/>
            </w:rPr>
            <w:t>5.2 政府层面</w:t>
          </w:r>
          <w:r>
            <w:rPr>
              <w:rStyle w:val="25"/>
              <w:rFonts w:hint="eastAsia" w:ascii="MS Gothic" w:hAnsi="MS Gothic" w:eastAsia="MS Gothic" w:cs="MS Gothic"/>
            </w:rPr>
            <w:t>​</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_Toc203061391 \h </w:instrText>
          </w:r>
          <w:r>
            <w:rPr>
              <w:rFonts w:asciiTheme="majorEastAsia" w:hAnsiTheme="majorEastAsia" w:eastAsiaTheme="majorEastAsia"/>
            </w:rPr>
            <w:fldChar w:fldCharType="separate"/>
          </w:r>
          <w:r>
            <w:rPr>
              <w:rFonts w:asciiTheme="majorEastAsia" w:hAnsiTheme="majorEastAsia" w:eastAsiaTheme="majorEastAsia"/>
            </w:rPr>
            <w:t>93</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"_Toc203061392" </w:instrText>
          </w:r>
          <w:r>
            <w:fldChar w:fldCharType="separate"/>
          </w:r>
          <w:r>
            <w:rPr>
              <w:rStyle w:val="25"/>
              <w:rFonts w:asciiTheme="majorEastAsia" w:hAnsiTheme="majorEastAsia" w:eastAsiaTheme="majorEastAsia"/>
            </w:rPr>
            <w:t>5.3 企业层面</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_Toc203061392 \h </w:instrText>
          </w:r>
          <w:r>
            <w:rPr>
              <w:rFonts w:asciiTheme="majorEastAsia" w:hAnsiTheme="majorEastAsia" w:eastAsiaTheme="majorEastAsia"/>
            </w:rPr>
            <w:fldChar w:fldCharType="separate"/>
          </w:r>
          <w:r>
            <w:rPr>
              <w:rFonts w:asciiTheme="majorEastAsia" w:hAnsiTheme="majorEastAsia" w:eastAsiaTheme="majorEastAsia"/>
            </w:rPr>
            <w:t>94</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5"/>
            <w:tabs>
              <w:tab w:val="right" w:leader="dot" w:pos="8296"/>
            </w:tabs>
            <w:ind w:firstLine="480"/>
            <w:rPr>
              <w:rFonts w:asciiTheme="majorEastAsia" w:hAnsiTheme="majorEastAsia" w:eastAsiaTheme="majorEastAsia"/>
              <w:sz w:val="21"/>
              <w:szCs w:val="22"/>
            </w:rPr>
          </w:pPr>
          <w:r>
            <w:fldChar w:fldCharType="begin"/>
          </w:r>
          <w:r>
            <w:instrText xml:space="preserve"> HYPERLINK \l "_Toc203061393" </w:instrText>
          </w:r>
          <w:r>
            <w:fldChar w:fldCharType="separate"/>
          </w:r>
          <w:r>
            <w:rPr>
              <w:rStyle w:val="25"/>
              <w:rFonts w:asciiTheme="majorEastAsia" w:hAnsiTheme="majorEastAsia" w:eastAsiaTheme="majorEastAsia"/>
            </w:rPr>
            <w:t>附件1：海外知识产权侵权风险防控标准化流程</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_Toc203061393 \h </w:instrText>
          </w:r>
          <w:r>
            <w:rPr>
              <w:rFonts w:asciiTheme="majorEastAsia" w:hAnsiTheme="majorEastAsia" w:eastAsiaTheme="majorEastAsia"/>
            </w:rPr>
            <w:fldChar w:fldCharType="separate"/>
          </w:r>
          <w:r>
            <w:rPr>
              <w:rFonts w:asciiTheme="majorEastAsia" w:hAnsiTheme="majorEastAsia" w:eastAsiaTheme="majorEastAsia"/>
            </w:rPr>
            <w:t>96</w:t>
          </w:r>
          <w:r>
            <w:rPr>
              <w:rFonts w:asciiTheme="majorEastAsia" w:hAnsiTheme="majorEastAsia" w:eastAsiaTheme="majorEastAsia"/>
            </w:rPr>
            <w:fldChar w:fldCharType="end"/>
          </w:r>
          <w:r>
            <w:rPr>
              <w:rFonts w:asciiTheme="majorEastAsia" w:hAnsiTheme="majorEastAsia" w:eastAsiaTheme="majorEastAsia"/>
            </w:rPr>
            <w:fldChar w:fldCharType="end"/>
          </w:r>
        </w:p>
        <w:p>
          <w:pPr>
            <w:ind w:firstLine="0" w:firstLineChars="0"/>
          </w:pPr>
          <w:r>
            <w:rPr>
              <w:rFonts w:hint="eastAsia" w:cs="黑体" w:asciiTheme="majorEastAsia" w:hAnsiTheme="majorEastAsia" w:eastAsiaTheme="majorEastAsia"/>
            </w:rPr>
            <w:fldChar w:fldCharType="end"/>
          </w:r>
        </w:p>
      </w:sdtContent>
    </w:sdt>
    <w:p>
      <w:pPr>
        <w:pStyle w:val="3"/>
        <w:numPr>
          <w:ilvl w:val="0"/>
          <w:numId w:val="1"/>
        </w:numPr>
        <w:spacing w:before="312" w:after="312"/>
        <w:sectPr>
          <w:footerReference r:id="rId11" w:type="default"/>
          <w:pgSz w:w="11906" w:h="16838"/>
          <w:pgMar w:top="1440" w:right="1800" w:bottom="1440" w:left="1800" w:header="851" w:footer="992" w:gutter="0"/>
          <w:pgNumType w:start="1"/>
          <w:cols w:space="425" w:num="1"/>
          <w:docGrid w:type="lines" w:linePitch="312" w:charSpace="0"/>
        </w:sectPr>
      </w:pPr>
    </w:p>
    <w:p>
      <w:pPr>
        <w:pStyle w:val="3"/>
        <w:spacing w:before="312" w:after="312"/>
      </w:pPr>
      <w:bookmarkStart w:id="0" w:name="_Toc203061347"/>
      <w:bookmarkStart w:id="1" w:name="_Toc141969502"/>
      <w:bookmarkStart w:id="2" w:name="_Toc141969503"/>
      <w:r>
        <w:rPr>
          <w:rFonts w:hint="eastAsia"/>
        </w:rPr>
        <w:t>引言</w:t>
      </w:r>
      <w:bookmarkEnd w:id="0"/>
      <w:bookmarkEnd w:id="1"/>
    </w:p>
    <w:p>
      <w:pPr>
        <w:ind w:firstLine="480"/>
      </w:pPr>
      <w:r>
        <w:rPr>
          <w:rFonts w:hint="eastAsia"/>
        </w:rPr>
        <w:t>冠县交通设施商会成立于2018年1月25日。商会的宗旨是遵守国家宪法、法律和政策、遵守职业道德和社会道德风尚；增进会员与国内外同行业之间的互相了解、合作交流；并充分发挥桥梁和纽带作用，搭建政企沟通平台，构建新型政商关系，做好行业自律和管理工作；不断帮助会员提高素质；不断促进行业高质量发展。商会建立了领导班子、党支部和监督委员会。商会设会长1名，副会长8名，秘书长1名，党支部书记1名，监督委员会主任1名。2021年11月，冠县交通设施商会变更为冠县交通设施行业协会，赋予更多的职能。冠县交通设施的销售占到全国的60%，被行业内称为“护栏生产基地”。据统计，全国生产交通设施企业约200家，就我县占到120多家，其中9家拥有发明专利17件，21家拥有实用新型165件2022年，有5家交通设施企业质押融资6笔1600万元，质押专利23件，其中发明专利2件。</w:t>
      </w:r>
    </w:p>
    <w:p>
      <w:pPr>
        <w:ind w:firstLine="480"/>
      </w:pPr>
      <w:r>
        <w:rPr>
          <w:rFonts w:hint="eastAsia"/>
        </w:rPr>
        <w:t>协会成立后引导企业生产线升级，引进全自动智能喷粉设备，镀锌设备也逐步改善为全自动和半自动来提高产品质量，在酸洗生产方面全部改为负压车间。在环保上，2020年底，我们企业已经能够做到标准排放，构建绿色企业，争取减少重污染天气的影响，大大提升了交通设施产品的质量和产量。</w:t>
      </w:r>
    </w:p>
    <w:p>
      <w:pPr>
        <w:ind w:firstLine="480"/>
      </w:pPr>
      <w:r>
        <w:rPr>
          <w:rFonts w:hint="eastAsia"/>
        </w:rPr>
        <w:t>2020年，冠县交通设施商会获批创建山东省优质交通安全设施生产基地，山东省优质产品基地认定条件严格、含金量高，是一项颇富竞争力的区域性品牌建设荣誉。2020年的11月份，冠县交通设施商会与卡奥斯签订平台合作协议，并逐步打造冠县交通设施平台。商会根据山东省优质交通安全设施生产基地，和自身产业优势，搭建功能完备的服务业科技平台，以优质会员企业为代表逐渐实现了行业内部的科技成果转化，形成了“规划先行、品牌引领、产业提升、龙头带动、全域服务”的交安优质产品基地建设模式。</w:t>
      </w:r>
    </w:p>
    <w:p>
      <w:pPr>
        <w:ind w:firstLine="480"/>
      </w:pPr>
      <w:r>
        <w:rPr>
          <w:rFonts w:hint="eastAsia"/>
        </w:rPr>
        <w:t>2020年以来，冠县交通设施行业协会与北京中交畅观科技发展有限公司建立稳固合作伙伴关系，与北京中交畅观牵头、日照钢铁做高强板和耐候钢低合金护栏，在2020年4月发布了《波形梁合金钢护栏》团体标准。合金钢护栏的研发成功在材料的优化上体现节能减排，绿色环保的理念，通过更安全的结构进行产品安全性能优化，产品性能更好、价格更低的特点。波形梁合金钢护栏在2021年下半年在全国的交通市场上大面积应用，山东高速集团京台高速80公里合金钢护栏通过标准验收。</w:t>
      </w:r>
    </w:p>
    <w:p>
      <w:pPr>
        <w:ind w:firstLine="480"/>
      </w:pPr>
      <w:r>
        <w:rPr>
          <w:rFonts w:hint="eastAsia"/>
        </w:rPr>
        <w:t>协会与沈阳金属研洽谈交流，引进了先进的熔融结合技术，熔融结合是一种新型防腐材料技术，用于京港澳涂层防腐的材料，也是食用级别的防腐材料，研发技术已经成熟，项目产业体系完善，在港珠澳大桥全线应用，形成中国品牌，可以完全代替镀锌工艺，形成国家标准，在其他行业也是一项重大的突破，对镀锌问题环境改善也是一个重大突破，熔融结合完全可以代替镀锌技术，改善生态环境质量。2022年12月31日，中国交通运输协会发布并实施《交通工程钢构件熔融纳米环氧符合涂层防腐技术要求》团体标准。</w:t>
      </w:r>
    </w:p>
    <w:p>
      <w:pPr>
        <w:ind w:firstLine="480"/>
      </w:pPr>
      <w:r>
        <w:rPr>
          <w:rFonts w:hint="eastAsia"/>
        </w:rPr>
        <w:t>202</w:t>
      </w:r>
      <w:r>
        <w:t>5</w:t>
      </w:r>
      <w:r>
        <w:rPr>
          <w:rFonts w:hint="eastAsia"/>
        </w:rPr>
        <w:t>年，协会根据冠县农业运输机械产业相关企业的经营现状和发展前景，进行了实地走访调研，组织涉外企业开展海外知识产权风险预警培训，帮助企业加强海外风险防控体系建设，并针对农业运输机械产业制作一份海外知识产权预警分析报告，本次报告经过多次现场调研和座谈，希望通过这次知识产权预警分析，帮助相关企业规避知识产权风险，逐步开拓海外市场</w:t>
      </w:r>
      <w:r>
        <w:rPr>
          <w:rFonts w:hint="eastAsia" w:cs="Arial" w:asciiTheme="minorEastAsia" w:hAnsiTheme="minorEastAsia" w:eastAsiaTheme="minorEastAsia"/>
          <w:color w:val="000000"/>
          <w:shd w:val="clear" w:color="auto" w:fill="FFFFFF"/>
        </w:rPr>
        <w:t>。</w:t>
      </w:r>
    </w:p>
    <w:p>
      <w:pPr>
        <w:ind w:firstLine="480"/>
        <w:rPr>
          <w:rFonts w:ascii="黑体" w:hAnsi="黑体" w:eastAsia="黑体"/>
          <w:b/>
          <w:bCs/>
          <w:kern w:val="44"/>
          <w:sz w:val="32"/>
          <w:szCs w:val="44"/>
        </w:rPr>
      </w:pPr>
      <w:r>
        <w:br w:type="page"/>
      </w:r>
    </w:p>
    <w:p>
      <w:pPr>
        <w:pStyle w:val="3"/>
        <w:spacing w:before="312" w:after="312"/>
      </w:pPr>
      <w:bookmarkStart w:id="3" w:name="_Toc203061348"/>
      <w:r>
        <w:rPr>
          <w:rFonts w:hint="eastAsia"/>
        </w:rPr>
        <w:t>摘要</w:t>
      </w:r>
      <w:bookmarkEnd w:id="2"/>
      <w:bookmarkEnd w:id="3"/>
    </w:p>
    <w:p>
      <w:pPr>
        <w:ind w:firstLine="480"/>
      </w:pPr>
      <w:r>
        <w:rPr>
          <w:rFonts w:hint="eastAsia"/>
        </w:rPr>
        <w:t>本报告，首先分析了全球、中国以及聊城市农业运输机械产业的发展现状，包括产业规模，产业链，产业竞争格局，产业发展趋势，产业内重点企业等，对农业运输机械产业当前的发展现状做了详细具体的分析。</w:t>
      </w:r>
    </w:p>
    <w:p>
      <w:pPr>
        <w:ind w:firstLine="480"/>
      </w:pPr>
      <w:r>
        <w:rPr>
          <w:rFonts w:hint="eastAsia"/>
        </w:rPr>
        <w:t>其次，基于对农业运输机械产业的技术分解，对农业运输机械领域的专利进行检索形成专利数据库，并基于该专利数据库对全球农业运输机械领域的专利进行技术分析。具体分析内容包括聊城市以及部分重点国家或地区专利的申请趋势，专利的类型，专利的法律状态，农业运输机械领域专利侵权诉讼高发区域，农业运输机械领域专利无效高发区域，农业运输机械领域专利诉讼涉及的企业，农业运输机械领域专利诉讼涉及的技术方向等。</w:t>
      </w:r>
    </w:p>
    <w:p>
      <w:pPr>
        <w:ind w:firstLine="480"/>
      </w:pPr>
      <w:r>
        <w:rPr>
          <w:rFonts w:hint="eastAsia"/>
        </w:rPr>
        <w:t>再次，结合具体案例，对商标、软著、专利等知识产权侵权行为进行了具体的分析。同时对农业运输机械领域主要国家的知识产权侵权相关法律法规做了介绍，并对如何进行侵权抗辩做了具体的分析。</w:t>
      </w:r>
    </w:p>
    <w:p>
      <w:pPr>
        <w:ind w:firstLine="480"/>
      </w:pPr>
      <w:r>
        <w:t>最后，</w:t>
      </w:r>
      <w:r>
        <w:rPr>
          <w:rFonts w:hint="eastAsia"/>
        </w:rPr>
        <w:t>基于产业分析和知识产权分析，并结合聊城市农业运输机械企业的具体情况，</w:t>
      </w:r>
      <w:r>
        <w:t>给</w:t>
      </w:r>
      <w:r>
        <w:rPr>
          <w:rFonts w:hint="eastAsia"/>
        </w:rPr>
        <w:t>出了应对海外知识产权侵权风险的具体应对措施，供聊城市农业运输机械行业内企业参考，增强聊城市农业运输机械企业应对海外知识产权侵权风险的能力。</w:t>
      </w:r>
    </w:p>
    <w:p>
      <w:pPr>
        <w:pStyle w:val="2"/>
        <w:ind w:firstLine="0" w:firstLineChars="0"/>
      </w:pPr>
      <w:r>
        <w:br w:type="page"/>
      </w:r>
    </w:p>
    <w:p>
      <w:pPr>
        <w:pStyle w:val="3"/>
        <w:spacing w:before="312" w:after="312"/>
      </w:pPr>
      <w:bookmarkStart w:id="4" w:name="_Toc203061349"/>
      <w:r>
        <w:rPr>
          <w:rFonts w:hint="eastAsia"/>
        </w:rPr>
        <w:t>第一章 产业及重点企业情况</w:t>
      </w:r>
      <w:bookmarkEnd w:id="4"/>
    </w:p>
    <w:p>
      <w:pPr>
        <w:ind w:firstLine="562"/>
        <w:outlineLvl w:val="1"/>
        <w:rPr>
          <w:rFonts w:ascii="黑体" w:hAnsi="黑体" w:eastAsia="黑体"/>
          <w:b/>
          <w:bCs/>
          <w:sz w:val="28"/>
          <w:szCs w:val="28"/>
        </w:rPr>
      </w:pPr>
      <w:bookmarkStart w:id="5" w:name="_Toc203061350"/>
      <w:r>
        <w:rPr>
          <w:rFonts w:ascii="黑体" w:hAnsi="黑体" w:eastAsia="黑体"/>
          <w:b/>
          <w:bCs/>
          <w:sz w:val="28"/>
          <w:szCs w:val="28"/>
        </w:rPr>
        <w:t xml:space="preserve">1.1 </w:t>
      </w:r>
      <w:r>
        <w:rPr>
          <w:rFonts w:hint="eastAsia" w:ascii="黑体" w:hAnsi="黑体" w:eastAsia="黑体"/>
          <w:b/>
          <w:bCs/>
          <w:sz w:val="28"/>
          <w:szCs w:val="28"/>
        </w:rPr>
        <w:t>农业运输机械产业分析</w:t>
      </w:r>
      <w:bookmarkEnd w:id="5"/>
    </w:p>
    <w:p>
      <w:pPr>
        <w:ind w:firstLine="480"/>
        <w:rPr>
          <w:rFonts w:asciiTheme="minorEastAsia" w:hAnsiTheme="minorEastAsia" w:eastAsiaTheme="minorEastAsia"/>
        </w:rPr>
      </w:pPr>
      <w:r>
        <w:rPr>
          <w:rFonts w:ascii="Segoe UI" w:hAnsi="Segoe UI" w:cs="Segoe UI"/>
          <w:shd w:val="clear" w:color="auto" w:fill="FFFFFF"/>
        </w:rPr>
        <w:t>农业运输机械是指在农业生产过程中，用于运输农业生产资料（如种子、化肥、农药）、农产品（如粮食、果蔬、畜禽）及农业废弃物（如秸秆、粪污）的专用或通用机械装备。其核心功能是</w:t>
      </w:r>
      <w:r>
        <w:rPr>
          <w:rStyle w:val="24"/>
          <w:rFonts w:ascii="Segoe UI" w:hAnsi="Segoe UI" w:cs="Segoe UI"/>
          <w:b w:val="0"/>
          <w:bCs w:val="0"/>
          <w:shd w:val="clear" w:color="auto" w:fill="FFFFFF"/>
        </w:rPr>
        <w:t>缩短运输时间、降低人力成本、提高物流效率</w:t>
      </w:r>
      <w:r>
        <w:rPr>
          <w:rFonts w:ascii="Segoe UI" w:hAnsi="Segoe UI" w:cs="Segoe UI"/>
          <w:b/>
          <w:bCs/>
          <w:shd w:val="clear" w:color="auto" w:fill="FFFFFF"/>
        </w:rPr>
        <w:t>，</w:t>
      </w:r>
      <w:r>
        <w:rPr>
          <w:rFonts w:asciiTheme="minorEastAsia" w:hAnsiTheme="minorEastAsia" w:eastAsiaTheme="minorEastAsia"/>
        </w:rPr>
        <w:t>是连接农业生产、加工、销售各环节的关键纽带。</w:t>
      </w:r>
      <w:r>
        <w:rPr>
          <w:rFonts w:hint="eastAsia" w:asciiTheme="minorEastAsia" w:hAnsiTheme="minorEastAsia" w:eastAsiaTheme="minorEastAsia"/>
        </w:rPr>
        <w:t>常见的农业运输机械包括农用拖拉机、农用三轮车、农用卡车等。</w:t>
      </w:r>
    </w:p>
    <w:p>
      <w:pPr>
        <w:ind w:firstLine="48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w:t>
      </w:r>
      <w:r>
        <w:rPr>
          <w:rFonts w:hint="eastAsia" w:asciiTheme="minorEastAsia" w:hAnsiTheme="minorEastAsia" w:eastAsiaTheme="minorEastAsia"/>
        </w:rPr>
        <w:t>农用拖拉机</w:t>
      </w:r>
    </w:p>
    <w:p>
      <w:pPr>
        <w:ind w:firstLine="480"/>
        <w:rPr>
          <w:rFonts w:asciiTheme="minorEastAsia" w:hAnsiTheme="minorEastAsia" w:eastAsiaTheme="minorEastAsia"/>
        </w:rPr>
      </w:pPr>
      <w:r>
        <w:rPr>
          <w:rFonts w:asciiTheme="minorEastAsia" w:hAnsiTheme="minorEastAsia" w:eastAsiaTheme="minorEastAsia"/>
        </w:rPr>
        <w:t>农用拖拉机是一种专为农业生产设计的动力机械，通过发动机（柴油、电动等）提供动力，主要用于牵引或驱动各类农机具完成农田作业，也可承担农产品运输、固定设备驱动等任务。它是农业机械化的核心装备，通过与犁、播种机、收割机等工具配合，大幅提升农业生产效率，减少人力依赖。</w:t>
      </w:r>
    </w:p>
    <w:p>
      <w:pPr>
        <w:ind w:firstLine="480"/>
        <w:rPr>
          <w:rFonts w:asciiTheme="minorEastAsia" w:hAnsiTheme="minorEastAsia" w:eastAsiaTheme="minorEastAsia"/>
        </w:rPr>
      </w:pPr>
      <w:r>
        <w:rPr>
          <w:rFonts w:asciiTheme="minorEastAsia" w:hAnsiTheme="minorEastAsia" w:eastAsiaTheme="minorEastAsia"/>
        </w:rPr>
        <w:t>农用拖拉机主要用于为农田作业提供牵引、动力输出和装载能力，可搭配犁、耙、播种机、收割机等多种农机具，完成耕整地、播种、施肥、收获、运输等一系列农业生产环节，显著替代人力畜力、提升生产效率。</w:t>
      </w:r>
    </w:p>
    <w:p>
      <w:pPr>
        <w:ind w:firstLine="480"/>
        <w:rPr>
          <w:rFonts w:asciiTheme="minorEastAsia" w:hAnsiTheme="minorEastAsia" w:eastAsiaTheme="minorEastAsia"/>
        </w:rPr>
      </w:pPr>
      <w:r>
        <w:rPr>
          <w:rFonts w:asciiTheme="minorEastAsia" w:hAnsiTheme="minorEastAsia" w:eastAsiaTheme="minorEastAsia"/>
        </w:rPr>
        <w:t>农用拖拉机类型丰富，按动力可分为柴油、汽油及新兴的电动 / 混动机型，柴油机型动力强劲、燃油经济，是主流选择，汽油机型轻便灵活，适合小型场景，电动 / 混动机型则契合环保趋势，处于推广阶段；按行走方式有轮式和履带式，轮式转向灵活、应用广泛，履带式牵引力大、防陷性强，适用于特殊地形；按功率又分小型、中型、大型，分别适配小地块作业、中等规模农场及规模化高效耕作需求。</w:t>
      </w:r>
    </w:p>
    <w:p>
      <w:pPr>
        <w:ind w:firstLine="480"/>
        <w:rPr>
          <w:rFonts w:asciiTheme="minorEastAsia" w:hAnsiTheme="minorEastAsia" w:eastAsiaTheme="minorEastAsia"/>
        </w:rPr>
      </w:pPr>
      <w:r>
        <w:rPr>
          <w:rFonts w:asciiTheme="minorEastAsia" w:hAnsiTheme="minorEastAsia" w:eastAsiaTheme="minorEastAsia"/>
        </w:rPr>
        <w:t>在农业生产中，拖拉机既是农田作业的核心动力源，通过牵引装置和动力输出轴驱动各类农机具高效作业，也是农业运输的主力，可搭载拖车完成粮食、农资等的短途运输，还能在设施农业、果园茶园、畜牧养殖等多场景中灵活适配，满足不同生产需求。</w:t>
      </w:r>
    </w:p>
    <w:p>
      <w:pPr>
        <w:ind w:firstLine="480"/>
        <w:rPr>
          <w:rFonts w:asciiTheme="minorEastAsia" w:hAnsiTheme="minorEastAsia" w:eastAsiaTheme="minorEastAsia"/>
        </w:rPr>
      </w:pPr>
      <w:r>
        <w:rPr>
          <w:rFonts w:asciiTheme="minorEastAsia" w:hAnsiTheme="minorEastAsia" w:eastAsiaTheme="minorEastAsia"/>
        </w:rPr>
        <w:t>随着技术发展，农用拖拉机正朝着智能化、精准化方向迈进，集成导航、自动驾驶、传感器等技术实现作业数据监测与管理数字化；绿色节能技术不断升级，柴油机型排放更环保，电动机型续航提升；大功率机型配套宽幅复式农机具，进一步提高规模化作业效率；同时人机工程持续优化，驾驶室舒适性和操作便捷性不断增强，以适应现代农业对机械化、高效化、可持续化的发展要求。</w:t>
      </w:r>
    </w:p>
    <w:p>
      <w:pPr>
        <w:ind w:firstLine="480"/>
      </w:pPr>
      <w:r>
        <w:rPr>
          <w:rFonts w:hint="eastAsia"/>
        </w:rPr>
        <w:t>2</w:t>
      </w:r>
      <w:r>
        <w:t>.</w:t>
      </w:r>
      <w:r>
        <w:rPr>
          <w:rFonts w:hint="eastAsia"/>
        </w:rPr>
        <w:t>农用三轮车</w:t>
      </w:r>
    </w:p>
    <w:p>
      <w:pPr>
        <w:ind w:firstLine="480"/>
        <w:rPr>
          <w:rFonts w:asciiTheme="minorEastAsia" w:hAnsiTheme="minorEastAsia" w:eastAsiaTheme="minorEastAsia"/>
        </w:rPr>
      </w:pPr>
      <w:r>
        <w:rPr>
          <w:rFonts w:asciiTheme="minorEastAsia" w:hAnsiTheme="minorEastAsia" w:eastAsiaTheme="minorEastAsia"/>
        </w:rPr>
        <w:t>农用三轮车是专为农业生产与农村运输打造的三轮机动车辆，以柴油发动机或电动机为动力，车身多采用前单轮转向、后双轮驱动（或前双轮转向、后单轮驱动）的三轮结构，配备驾驶室与货箱。其核心优势在于适应农村复杂路况，具备灵活的通过性，可在土路、狭窄巷道等场景中自由穿行，且结构简单、购置成本低，非常适合中小型农场、农户家庭使用。</w:t>
      </w:r>
    </w:p>
    <w:p>
      <w:pPr>
        <w:ind w:firstLine="480"/>
        <w:rPr>
          <w:rFonts w:asciiTheme="minorEastAsia" w:hAnsiTheme="minorEastAsia" w:eastAsiaTheme="minorEastAsia"/>
        </w:rPr>
      </w:pPr>
      <w:r>
        <w:rPr>
          <w:rFonts w:asciiTheme="minorEastAsia" w:hAnsiTheme="minorEastAsia" w:eastAsiaTheme="minorEastAsia"/>
        </w:rPr>
        <w:t>农用三轮车主要功能集中于短途运输，可装载粮食、农资、农副产品等，载重量通常在 500 公斤至 2 吨之间，部分加大车型可达 3 吨，部分车型还能通过加装拖挂装置牵引小型农机具（如播种机、喷灌设备）或改装自卸货箱，拓展至轻度农田作业领域，如运输肥料、参与田间植保药剂转运等。</w:t>
      </w:r>
    </w:p>
    <w:p>
      <w:pPr>
        <w:ind w:firstLine="480"/>
        <w:rPr>
          <w:rFonts w:asciiTheme="minorEastAsia" w:hAnsiTheme="minorEastAsia" w:eastAsiaTheme="minorEastAsia"/>
        </w:rPr>
      </w:pPr>
      <w:r>
        <w:rPr>
          <w:rFonts w:asciiTheme="minorEastAsia" w:hAnsiTheme="minorEastAsia" w:eastAsiaTheme="minorEastAsia"/>
        </w:rPr>
        <w:t>在中国农村地区，尤其是山区、丘陵等地形复杂或基础设施不完善的区域，农用三轮车是农业生产和乡村物流的关键工具，凭借其经济实用、操作便捷的特性，极大地提升了农村物资运输效率，降低了人力成本，成为连接田间地头与乡村生活的重要运输载体。</w:t>
      </w:r>
    </w:p>
    <w:p>
      <w:pPr>
        <w:ind w:firstLine="480"/>
        <w:rPr>
          <w:rFonts w:asciiTheme="minorEastAsia" w:hAnsiTheme="minorEastAsia" w:eastAsiaTheme="minorEastAsia"/>
        </w:rPr>
      </w:pPr>
      <w:r>
        <w:rPr>
          <w:rFonts w:hint="eastAsia" w:asciiTheme="minorEastAsia" w:hAnsiTheme="minorEastAsia" w:eastAsiaTheme="minorEastAsia"/>
        </w:rPr>
        <w:t>随着技术的不断发展，</w:t>
      </w:r>
      <w:r>
        <w:rPr>
          <w:rFonts w:asciiTheme="minorEastAsia" w:hAnsiTheme="minorEastAsia" w:eastAsiaTheme="minorEastAsia"/>
        </w:rPr>
        <w:t>近年来技术迭代加速，轻量化铝合金车架普及、车联网监控系统逐步应用，部分前沿车型已试水北斗导航辅助驾驶，未来将向智能化、电动化、多功能化方向深化，持续优化农村生产与运输效率，成为衔接田间作业与乡村生活的关键纽带。</w:t>
      </w:r>
    </w:p>
    <w:p>
      <w:pPr>
        <w:ind w:firstLine="562"/>
        <w:outlineLvl w:val="2"/>
        <w:rPr>
          <w:rFonts w:ascii="黑体" w:hAnsi="黑体" w:eastAsia="黑体" w:cs="Helvetica"/>
          <w:b/>
          <w:color w:val="000000" w:themeColor="text1"/>
          <w:kern w:val="0"/>
          <w:sz w:val="28"/>
          <w:szCs w:val="28"/>
        </w:rPr>
      </w:pPr>
      <w:bookmarkStart w:id="6" w:name="_Toc203061351"/>
      <w:r>
        <w:rPr>
          <w:rFonts w:ascii="黑体" w:hAnsi="黑体" w:eastAsia="黑体" w:cs="Helvetica"/>
          <w:b/>
          <w:color w:val="000000" w:themeColor="text1"/>
          <w:kern w:val="0"/>
          <w:sz w:val="28"/>
          <w:szCs w:val="28"/>
        </w:rPr>
        <w:t xml:space="preserve">1.1.1 </w:t>
      </w:r>
      <w:r>
        <w:rPr>
          <w:rFonts w:hint="eastAsia" w:ascii="黑体" w:hAnsi="黑体" w:eastAsia="黑体" w:cs="Helvetica"/>
          <w:b/>
          <w:color w:val="000000" w:themeColor="text1"/>
          <w:kern w:val="0"/>
          <w:sz w:val="28"/>
          <w:szCs w:val="28"/>
        </w:rPr>
        <w:t>全球农业运输机械产业发展概况</w:t>
      </w:r>
      <w:bookmarkEnd w:id="6"/>
    </w:p>
    <w:p>
      <w:pPr>
        <w:ind w:firstLine="482"/>
        <w:rPr>
          <w:rFonts w:asciiTheme="minorEastAsia" w:hAnsiTheme="minorEastAsia" w:eastAsiaTheme="minorEastAsia"/>
          <w:b/>
          <w:bCs/>
        </w:rPr>
      </w:pPr>
      <w:r>
        <w:rPr>
          <w:rFonts w:hint="eastAsia" w:asciiTheme="minorEastAsia" w:hAnsiTheme="minorEastAsia" w:eastAsiaTheme="minorEastAsia"/>
          <w:b/>
          <w:bCs/>
        </w:rPr>
        <w:t>一、农用拖拉机</w:t>
      </w:r>
    </w:p>
    <w:p>
      <w:pPr>
        <w:ind w:firstLine="48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w:t>
      </w:r>
      <w:r>
        <w:rPr>
          <w:rFonts w:hint="eastAsia" w:asciiTheme="minorEastAsia" w:hAnsiTheme="minorEastAsia" w:eastAsiaTheme="minorEastAsia"/>
        </w:rPr>
        <w:t>产业链</w:t>
      </w:r>
    </w:p>
    <w:p>
      <w:pPr>
        <w:ind w:firstLine="480"/>
        <w:rPr>
          <w:rFonts w:asciiTheme="minorEastAsia" w:hAnsiTheme="minorEastAsia" w:eastAsiaTheme="minorEastAsia"/>
        </w:rPr>
      </w:pPr>
      <w:r>
        <w:rPr>
          <w:rFonts w:asciiTheme="minorEastAsia" w:hAnsiTheme="minorEastAsia" w:eastAsiaTheme="minorEastAsia"/>
        </w:rPr>
        <w:t>上游：核心零部件与原材料供应</w:t>
      </w:r>
    </w:p>
    <w:p>
      <w:pPr>
        <w:ind w:firstLine="480"/>
        <w:rPr>
          <w:rFonts w:asciiTheme="minorEastAsia" w:hAnsiTheme="minorEastAsia" w:eastAsiaTheme="minorEastAsia"/>
        </w:rPr>
      </w:pPr>
      <w:r>
        <w:rPr>
          <w:rFonts w:asciiTheme="minorEastAsia" w:hAnsiTheme="minorEastAsia" w:eastAsiaTheme="minorEastAsia"/>
        </w:rPr>
        <w:t>关键零部件是产业链技术门槛最高的环节，直接决定整机性能：</w:t>
      </w:r>
    </w:p>
    <w:p>
      <w:pPr>
        <w:ind w:firstLine="480"/>
        <w:rPr>
          <w:rFonts w:asciiTheme="minorEastAsia" w:hAnsiTheme="minorEastAsia" w:eastAsiaTheme="minorEastAsia"/>
        </w:rPr>
      </w:pPr>
      <w:r>
        <w:rPr>
          <w:rFonts w:asciiTheme="minorEastAsia" w:hAnsiTheme="minorEastAsia" w:eastAsiaTheme="minorEastAsia"/>
        </w:rPr>
        <w:t>动力系统：以柴油发动机为主（如潍柴、约翰迪尔发动机），电动化趋势下电机、锂电池需求上升，成本占比约20%-30%。</w:t>
      </w:r>
    </w:p>
    <w:p>
      <w:pPr>
        <w:ind w:firstLine="480"/>
        <w:rPr>
          <w:rFonts w:asciiTheme="minorEastAsia" w:hAnsiTheme="minorEastAsia" w:eastAsiaTheme="minorEastAsia"/>
        </w:rPr>
      </w:pPr>
      <w:r>
        <w:rPr>
          <w:rFonts w:asciiTheme="minorEastAsia" w:hAnsiTheme="minorEastAsia" w:eastAsiaTheme="minorEastAsia"/>
        </w:rPr>
        <w:t>传动与液压系统：变速箱、驱动桥、液压泵等核心部件，中低端市场以国内企业（如中国一拖）为主，高端依赖博世、采埃孚等外资品牌。</w:t>
      </w:r>
    </w:p>
    <w:p>
      <w:pPr>
        <w:ind w:firstLine="480"/>
        <w:rPr>
          <w:rFonts w:asciiTheme="minorEastAsia" w:hAnsiTheme="minorEastAsia" w:eastAsiaTheme="minorEastAsia"/>
        </w:rPr>
      </w:pPr>
      <w:r>
        <w:rPr>
          <w:rFonts w:asciiTheme="minorEastAsia" w:hAnsiTheme="minorEastAsia" w:eastAsiaTheme="minorEastAsia"/>
        </w:rPr>
        <w:t>智能化组件：传感器、导航系统（北斗/GPS）、自动驾驶控制器，头部企业通过自研或合作（如约翰迪尔与Trimble）布局。</w:t>
      </w:r>
    </w:p>
    <w:p>
      <w:pPr>
        <w:ind w:firstLine="480"/>
        <w:rPr>
          <w:rFonts w:asciiTheme="minorEastAsia" w:hAnsiTheme="minorEastAsia" w:eastAsiaTheme="minorEastAsia"/>
        </w:rPr>
      </w:pPr>
      <w:r>
        <w:rPr>
          <w:rFonts w:asciiTheme="minorEastAsia" w:hAnsiTheme="minorEastAsia" w:eastAsiaTheme="minorEastAsia"/>
        </w:rPr>
        <w:t>原材料以钢材（占比超60%）、橡胶、铝合金为主，环保政策推动低能耗材料应用，价格波动直接影响整机成本。</w:t>
      </w:r>
    </w:p>
    <w:p>
      <w:pPr>
        <w:ind w:firstLine="480"/>
        <w:rPr>
          <w:rFonts w:asciiTheme="minorEastAsia" w:hAnsiTheme="minorEastAsia" w:eastAsiaTheme="minorEastAsia"/>
        </w:rPr>
      </w:pPr>
      <w:r>
        <w:rPr>
          <w:rFonts w:asciiTheme="minorEastAsia" w:hAnsiTheme="minorEastAsia" w:eastAsiaTheme="minorEastAsia"/>
        </w:rPr>
        <w:t>中游：整机制造与技术集成</w:t>
      </w:r>
    </w:p>
    <w:p>
      <w:pPr>
        <w:ind w:firstLine="480"/>
        <w:rPr>
          <w:rFonts w:asciiTheme="minorEastAsia" w:hAnsiTheme="minorEastAsia" w:eastAsiaTheme="minorEastAsia"/>
        </w:rPr>
      </w:pPr>
      <w:r>
        <w:rPr>
          <w:rFonts w:asciiTheme="minorEastAsia" w:hAnsiTheme="minorEastAsia" w:eastAsiaTheme="minorEastAsia"/>
        </w:rPr>
        <w:t>整机制造是产业链的核心环节，呈现明显的技术分层：</w:t>
      </w:r>
    </w:p>
    <w:p>
      <w:pPr>
        <w:ind w:firstLine="480"/>
        <w:rPr>
          <w:rFonts w:asciiTheme="minorEastAsia" w:hAnsiTheme="minorEastAsia" w:eastAsiaTheme="minorEastAsia"/>
        </w:rPr>
      </w:pPr>
      <w:r>
        <w:rPr>
          <w:rFonts w:asciiTheme="minorEastAsia" w:hAnsiTheme="minorEastAsia" w:eastAsiaTheme="minorEastAsia"/>
        </w:rPr>
        <w:t>低端市场：以25-50马力中小型机型为主，功能单一，价格敏感，主要满足东南亚、非洲等农业机械化初期地区需求（如印度马恒达、中国东方红）。</w:t>
      </w:r>
    </w:p>
    <w:p>
      <w:pPr>
        <w:ind w:firstLine="480"/>
        <w:rPr>
          <w:rFonts w:asciiTheme="minorEastAsia" w:hAnsiTheme="minorEastAsia" w:eastAsiaTheme="minorEastAsia"/>
        </w:rPr>
      </w:pPr>
      <w:r>
        <w:rPr>
          <w:rFonts w:asciiTheme="minorEastAsia" w:hAnsiTheme="minorEastAsia" w:eastAsiaTheme="minorEastAsia"/>
        </w:rPr>
        <w:t>中高端市场：70马力以上大型化、智能化机型，集成液压悬挂、自动驾驶等功能，面向欧美及中国东北等规模化农业区（如约翰迪尔、爱科AGCO），毛利率可达25%-35%。</w:t>
      </w:r>
    </w:p>
    <w:p>
      <w:pPr>
        <w:ind w:firstLine="480"/>
        <w:rPr>
          <w:rFonts w:asciiTheme="minorEastAsia" w:hAnsiTheme="minorEastAsia" w:eastAsiaTheme="minorEastAsia"/>
        </w:rPr>
      </w:pPr>
      <w:r>
        <w:rPr>
          <w:rFonts w:asciiTheme="minorEastAsia" w:hAnsiTheme="minorEastAsia" w:eastAsiaTheme="minorEastAsia"/>
        </w:rPr>
        <w:t>电动化转型加速，约翰迪尔、中联重科等企业推出电动原型机，适配果园、温室等场景，续航约8-12小时。</w:t>
      </w:r>
    </w:p>
    <w:p>
      <w:pPr>
        <w:ind w:firstLine="480"/>
        <w:rPr>
          <w:rFonts w:asciiTheme="minorEastAsia" w:hAnsiTheme="minorEastAsia" w:eastAsiaTheme="minorEastAsia"/>
        </w:rPr>
      </w:pPr>
      <w:r>
        <w:rPr>
          <w:rFonts w:asciiTheme="minorEastAsia" w:hAnsiTheme="minorEastAsia" w:eastAsiaTheme="minorEastAsia"/>
        </w:rPr>
        <w:t>下游：销售、应用与后市场服务</w:t>
      </w:r>
    </w:p>
    <w:p>
      <w:pPr>
        <w:ind w:firstLine="480"/>
        <w:rPr>
          <w:rFonts w:asciiTheme="minorEastAsia" w:hAnsiTheme="minorEastAsia" w:eastAsiaTheme="minorEastAsia"/>
        </w:rPr>
      </w:pPr>
      <w:r>
        <w:rPr>
          <w:rFonts w:asciiTheme="minorEastAsia" w:hAnsiTheme="minorEastAsia" w:eastAsiaTheme="minorEastAsia"/>
        </w:rPr>
        <w:t>销售渠道以经销商模式为主（占全球销量超70%），提供试驾、融资及配件服务，部分企业通过电商平台直销大型农场主。</w:t>
      </w:r>
    </w:p>
    <w:p>
      <w:pPr>
        <w:ind w:firstLine="480"/>
        <w:rPr>
          <w:rFonts w:asciiTheme="minorEastAsia" w:hAnsiTheme="minorEastAsia" w:eastAsiaTheme="minorEastAsia"/>
        </w:rPr>
      </w:pPr>
      <w:r>
        <w:rPr>
          <w:rFonts w:asciiTheme="minorEastAsia" w:hAnsiTheme="minorEastAsia" w:eastAsiaTheme="minorEastAsia"/>
        </w:rPr>
        <w:t>应用场景覆盖农田作业（犁地、播种等，占比超60%）、农村运输及特种场景（如果园型、无人化机型）。</w:t>
      </w:r>
    </w:p>
    <w:p>
      <w:pPr>
        <w:ind w:firstLine="480"/>
        <w:rPr>
          <w:rFonts w:asciiTheme="minorEastAsia" w:hAnsiTheme="minorEastAsia" w:eastAsiaTheme="minorEastAsia"/>
        </w:rPr>
      </w:pPr>
      <w:r>
        <w:rPr>
          <w:rFonts w:asciiTheme="minorEastAsia" w:hAnsiTheme="minorEastAsia" w:eastAsiaTheme="minorEastAsia"/>
        </w:rPr>
        <w:t>后市场包括配件供应、维修保养、二手交易及报废回收，头部企业通过全球服务网络（如约翰迪尔100+国家网点）提升客户粘性，远程诊断技术（车联网）降低设备停机损失。</w:t>
      </w:r>
    </w:p>
    <w:p>
      <w:pPr>
        <w:ind w:firstLine="480"/>
        <w:rPr>
          <w:rFonts w:asciiTheme="minorEastAsia" w:hAnsiTheme="minorEastAsia" w:eastAsiaTheme="minorEastAsia"/>
        </w:rPr>
      </w:pPr>
      <w:r>
        <w:rPr>
          <w:rFonts w:asciiTheme="minorEastAsia" w:hAnsiTheme="minorEastAsia" w:eastAsiaTheme="minorEastAsia"/>
        </w:rPr>
        <w:t>2.市场规模</w:t>
      </w:r>
    </w:p>
    <w:p>
      <w:pPr>
        <w:ind w:firstLine="480"/>
        <w:rPr>
          <w:rFonts w:asciiTheme="minorEastAsia" w:hAnsiTheme="minorEastAsia" w:eastAsiaTheme="minorEastAsia"/>
        </w:rPr>
      </w:pPr>
      <w:r>
        <w:rPr>
          <w:rFonts w:asciiTheme="minorEastAsia" w:hAnsiTheme="minorEastAsia" w:eastAsiaTheme="minorEastAsia"/>
        </w:rPr>
        <w:t>2023年，全球农业拖拉机市场销量下降，但价值增长。拖拉机总销量约为220万台，比上一年下降8%，然而收入上升至570亿美元，比上一年增长2%。这主要是由于通货膨胀和原材料成本上涨推动了价格上升</w:t>
      </w:r>
      <w:r>
        <w:rPr>
          <w:rFonts w:hint="eastAsia" w:asciiTheme="minorEastAsia" w:hAnsiTheme="minorEastAsia" w:eastAsiaTheme="minorEastAsia"/>
        </w:rPr>
        <w:t>。</w:t>
      </w:r>
    </w:p>
    <w:p>
      <w:pPr>
        <w:ind w:firstLine="480"/>
        <w:rPr>
          <w:rFonts w:asciiTheme="minorEastAsia" w:hAnsiTheme="minorEastAsia" w:eastAsiaTheme="minorEastAsia"/>
        </w:rPr>
      </w:pPr>
      <w:r>
        <w:rPr>
          <w:rFonts w:asciiTheme="minorEastAsia" w:hAnsiTheme="minorEastAsia" w:eastAsiaTheme="minorEastAsia"/>
        </w:rPr>
        <w:t>2024年全球农业拖拉机市场规模约为683.3亿美元，预计到2034年将达到1085.7亿美元，2024年至2034年的复合年增长率（CAGR）为5.28%。</w:t>
      </w:r>
    </w:p>
    <w:p>
      <w:pPr>
        <w:ind w:firstLine="480"/>
        <w:rPr>
          <w:rFonts w:asciiTheme="minorEastAsia" w:hAnsiTheme="minorEastAsia" w:eastAsiaTheme="minorEastAsia"/>
        </w:rPr>
      </w:pPr>
      <w:r>
        <w:rPr>
          <w:rFonts w:asciiTheme="minorEastAsia" w:hAnsiTheme="minorEastAsia" w:eastAsiaTheme="minorEastAsia"/>
        </w:rPr>
        <w:t>3.区域分布</w:t>
      </w:r>
    </w:p>
    <w:p>
      <w:pPr>
        <w:ind w:firstLine="480"/>
        <w:rPr>
          <w:rFonts w:asciiTheme="minorEastAsia" w:hAnsiTheme="minorEastAsia" w:eastAsiaTheme="minorEastAsia"/>
        </w:rPr>
      </w:pPr>
      <w:r>
        <w:rPr>
          <w:rFonts w:asciiTheme="minorEastAsia" w:hAnsiTheme="minorEastAsia" w:eastAsiaTheme="minorEastAsia"/>
        </w:rPr>
        <w:t>亚太地区：是全球最大的拖拉机生产地区，占有接近 70% 的市场份额。印度在单位数量方面处于领先地位，2023 年共售出 915,000 台拖拉机，与 2022 年销量持平。中国市场 2023 年停滞在 380,000 台左右，与上一年相比大幅下降 28%，凸显出当地市场的周期性，也受到支持政策的显著影响。日本的销量基本保持不变，为 34,000 台，近年来由于农业企业数量减少，市场逐渐萎缩，但机械的功率和技术特性有所提高。</w:t>
      </w:r>
    </w:p>
    <w:p>
      <w:pPr>
        <w:ind w:firstLine="480"/>
        <w:rPr>
          <w:rFonts w:asciiTheme="minorEastAsia" w:hAnsiTheme="minorEastAsia" w:eastAsiaTheme="minorEastAsia"/>
        </w:rPr>
      </w:pPr>
      <w:r>
        <w:rPr>
          <w:rFonts w:asciiTheme="minorEastAsia" w:hAnsiTheme="minorEastAsia" w:eastAsiaTheme="minorEastAsia"/>
        </w:rPr>
        <w:t>北美地区：美国 2023 年共售出 250,000 台拖拉机，比上一年下降 8%，下降归因于农业收入萎缩，部分原因是对中国市场的商品出口减少，以及来自其他生产国在国际市场上的竞争加剧。加拿大 2023 年停滞在 28,000 台，同比下降 10%。</w:t>
      </w:r>
    </w:p>
    <w:p>
      <w:pPr>
        <w:ind w:firstLine="480"/>
        <w:rPr>
          <w:rFonts w:asciiTheme="minorEastAsia" w:hAnsiTheme="minorEastAsia" w:eastAsiaTheme="minorEastAsia"/>
        </w:rPr>
      </w:pPr>
      <w:r>
        <w:rPr>
          <w:rFonts w:asciiTheme="minorEastAsia" w:hAnsiTheme="minorEastAsia" w:eastAsiaTheme="minorEastAsia"/>
        </w:rPr>
        <w:t>欧洲：2023 年欧洲共售出 158,000 台拖拉机，比上年下降了 5%，主要是由于农业盈利能力不足，部分原因是不利的天气条件对某些作物产生了负面影响。不过，欧洲大陆市场各国表现不同，法国逆势增长 2%，注册拖拉机数量达 36,400 台，德国保持稳定，注册量为 28,900 台，与上年持平，而意大利市场下降了 13%，西班牙市场下降幅度更大，达 18%。</w:t>
      </w:r>
    </w:p>
    <w:p>
      <w:pPr>
        <w:ind w:firstLine="480"/>
        <w:rPr>
          <w:rFonts w:asciiTheme="minorEastAsia" w:hAnsiTheme="minorEastAsia" w:eastAsiaTheme="minorEastAsia"/>
        </w:rPr>
      </w:pPr>
      <w:r>
        <w:rPr>
          <w:rFonts w:asciiTheme="minorEastAsia" w:hAnsiTheme="minorEastAsia" w:eastAsiaTheme="minorEastAsia"/>
        </w:rPr>
        <w:t>4.企业竞争格局</w:t>
      </w:r>
    </w:p>
    <w:p>
      <w:pPr>
        <w:ind w:firstLine="480"/>
        <w:rPr>
          <w:rFonts w:asciiTheme="minorEastAsia" w:hAnsiTheme="minorEastAsia" w:eastAsiaTheme="minorEastAsia"/>
        </w:rPr>
      </w:pPr>
      <w:r>
        <w:rPr>
          <w:rFonts w:asciiTheme="minorEastAsia" w:hAnsiTheme="minorEastAsia" w:eastAsiaTheme="minorEastAsia"/>
        </w:rPr>
        <w:t>全球农用拖拉机市场竞争激烈，头部企业市场占有率较高。如 Mahindra、John Deere、AGCO 和 TAFE 等前四大厂商占有全球大约 40% 的份额，其中 Mahindra 是最大的厂商，占有大约 15% 份额。久保田公司、CNH Industrial N.V. 等也是行业内的重要企业。这些企业通过不断推出新产品、提升技术水平和服务质量来增强竞争力。</w:t>
      </w:r>
    </w:p>
    <w:p>
      <w:pPr>
        <w:ind w:firstLine="480"/>
        <w:rPr>
          <w:rFonts w:asciiTheme="minorEastAsia" w:hAnsiTheme="minorEastAsia" w:eastAsiaTheme="minorEastAsia"/>
        </w:rPr>
      </w:pPr>
      <w:r>
        <w:rPr>
          <w:rFonts w:asciiTheme="minorEastAsia" w:hAnsiTheme="minorEastAsia" w:eastAsiaTheme="minorEastAsia"/>
        </w:rPr>
        <w:t>5.产业发展趋势</w:t>
      </w:r>
    </w:p>
    <w:p>
      <w:pPr>
        <w:ind w:firstLine="480"/>
        <w:rPr>
          <w:rFonts w:asciiTheme="minorEastAsia" w:hAnsiTheme="minorEastAsia" w:eastAsiaTheme="minorEastAsia"/>
        </w:rPr>
      </w:pPr>
      <w:r>
        <w:rPr>
          <w:rFonts w:asciiTheme="minorEastAsia" w:hAnsiTheme="minorEastAsia" w:eastAsiaTheme="minorEastAsia"/>
        </w:rPr>
        <w:t>智能化自动化：随着计算机、传感器和卫星定位技术的深度融合，农用拖拉机的智能化、自动化水平将进一步提升，如智能拖拉机可以实现自动驾驶、精准作业等功能，满足现代农业高效生产的要求。</w:t>
      </w:r>
    </w:p>
    <w:p>
      <w:pPr>
        <w:ind w:firstLine="480"/>
        <w:rPr>
          <w:rFonts w:asciiTheme="minorEastAsia" w:hAnsiTheme="minorEastAsia" w:eastAsiaTheme="minorEastAsia"/>
        </w:rPr>
      </w:pPr>
      <w:r>
        <w:rPr>
          <w:rFonts w:asciiTheme="minorEastAsia" w:hAnsiTheme="minorEastAsia" w:eastAsiaTheme="minorEastAsia"/>
        </w:rPr>
        <w:t>新能源化：新能源拖拉机的研发和生产成为重要方向，越来越多的拖拉机企业开始研发和生产新能源拖拉机，以满足环保要求和市场需求，减少对传统燃油的依赖，降低尾气排放。</w:t>
      </w:r>
    </w:p>
    <w:p>
      <w:pPr>
        <w:ind w:firstLine="480"/>
        <w:rPr>
          <w:rFonts w:asciiTheme="minorEastAsia" w:hAnsiTheme="minorEastAsia" w:eastAsiaTheme="minorEastAsia"/>
        </w:rPr>
      </w:pPr>
      <w:r>
        <w:rPr>
          <w:rFonts w:asciiTheme="minorEastAsia" w:hAnsiTheme="minorEastAsia" w:eastAsiaTheme="minorEastAsia"/>
        </w:rPr>
        <w:t>大型化高端化：随着农业生产规模的扩大和农民对高效、智能、环保农机具的需求增加，大型化、高端化的农用拖拉机将成为市场的主流产品，具备更高的功率、更好的舒适性和更先进的功能。</w:t>
      </w:r>
    </w:p>
    <w:p>
      <w:pPr>
        <w:ind w:firstLine="480"/>
        <w:rPr>
          <w:rFonts w:asciiTheme="minorEastAsia" w:hAnsiTheme="minorEastAsia" w:eastAsiaTheme="minorEastAsia"/>
        </w:rPr>
      </w:pPr>
      <w:r>
        <w:rPr>
          <w:rFonts w:asciiTheme="minorEastAsia" w:hAnsiTheme="minorEastAsia" w:eastAsiaTheme="minorEastAsia"/>
        </w:rPr>
        <w:t>6.产业发展政策环境</w:t>
      </w:r>
    </w:p>
    <w:p>
      <w:pPr>
        <w:ind w:firstLine="480"/>
        <w:rPr>
          <w:rFonts w:asciiTheme="minorEastAsia" w:hAnsiTheme="minorEastAsia" w:eastAsiaTheme="minorEastAsia"/>
        </w:rPr>
      </w:pPr>
      <w:r>
        <w:rPr>
          <w:rFonts w:asciiTheme="minorEastAsia" w:hAnsiTheme="minorEastAsia" w:eastAsiaTheme="minorEastAsia"/>
        </w:rPr>
        <w:t>不同国家和地区对农用拖拉机产业都有一定的政策支持。例如，北美地区政府通过补贴等政策支持可持续农业发展，促进了农用拖拉机市场的增长。在亚洲，一些国家也出台了鼓励农业机械化的政策，加大对农用拖拉机等农机具的购置补贴力度，推动了市场的发展。欧洲则在环保政策方面对农用拖拉机提出了更高的要求，促使企业研发更环保、更节能的产品。</w:t>
      </w:r>
    </w:p>
    <w:p>
      <w:pPr>
        <w:ind w:firstLine="482"/>
        <w:rPr>
          <w:rFonts w:asciiTheme="minorEastAsia" w:hAnsiTheme="minorEastAsia" w:eastAsiaTheme="minorEastAsia"/>
          <w:b/>
          <w:bCs/>
        </w:rPr>
      </w:pPr>
      <w:r>
        <w:rPr>
          <w:rFonts w:hint="eastAsia" w:asciiTheme="minorEastAsia" w:hAnsiTheme="minorEastAsia" w:eastAsiaTheme="minorEastAsia"/>
          <w:b/>
          <w:bCs/>
        </w:rPr>
        <w:t>二、农用三轮车</w:t>
      </w:r>
    </w:p>
    <w:p>
      <w:pPr>
        <w:ind w:firstLine="48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w:t>
      </w:r>
      <w:r>
        <w:rPr>
          <w:rFonts w:hint="eastAsia" w:asciiTheme="minorEastAsia" w:hAnsiTheme="minorEastAsia" w:eastAsiaTheme="minorEastAsia"/>
        </w:rPr>
        <w:t>产业链</w:t>
      </w:r>
    </w:p>
    <w:p>
      <w:pPr>
        <w:ind w:firstLine="480"/>
        <w:rPr>
          <w:rFonts w:asciiTheme="minorEastAsia" w:hAnsiTheme="minorEastAsia" w:eastAsiaTheme="minorEastAsia"/>
        </w:rPr>
      </w:pPr>
      <w:r>
        <w:rPr>
          <w:rFonts w:asciiTheme="minorEastAsia" w:hAnsiTheme="minorEastAsia" w:eastAsiaTheme="minorEastAsia"/>
        </w:rPr>
        <w:t>上游：零部件供应与原材料</w:t>
      </w:r>
    </w:p>
    <w:p>
      <w:pPr>
        <w:ind w:firstLine="480"/>
        <w:rPr>
          <w:rFonts w:asciiTheme="minorEastAsia" w:hAnsiTheme="minorEastAsia" w:eastAsiaTheme="minorEastAsia"/>
        </w:rPr>
      </w:pPr>
      <w:r>
        <w:rPr>
          <w:rFonts w:asciiTheme="minorEastAsia" w:hAnsiTheme="minorEastAsia" w:eastAsiaTheme="minorEastAsia"/>
        </w:rPr>
        <w:t>核心零部件决定产品性能和成本，主要包括：</w:t>
      </w:r>
    </w:p>
    <w:p>
      <w:pPr>
        <w:ind w:firstLine="480"/>
        <w:rPr>
          <w:rFonts w:asciiTheme="minorEastAsia" w:hAnsiTheme="minorEastAsia" w:eastAsiaTheme="minorEastAsia"/>
        </w:rPr>
      </w:pPr>
      <w:r>
        <w:rPr>
          <w:rFonts w:asciiTheme="minorEastAsia" w:hAnsiTheme="minorEastAsia" w:eastAsiaTheme="minorEastAsia"/>
        </w:rPr>
        <w:t>动力系统：</w:t>
      </w:r>
    </w:p>
    <w:p>
      <w:pPr>
        <w:ind w:firstLine="480"/>
        <w:rPr>
          <w:rFonts w:asciiTheme="minorEastAsia" w:hAnsiTheme="minorEastAsia" w:eastAsiaTheme="minorEastAsia"/>
        </w:rPr>
      </w:pPr>
      <w:r>
        <w:rPr>
          <w:rFonts w:asciiTheme="minorEastAsia" w:hAnsiTheme="minorEastAsia" w:eastAsiaTheme="minorEastAsia"/>
        </w:rPr>
        <w:t>燃油型：柴油/汽油发动机（如时风、五征自研发动机），成本占比约20%-30%，依赖国内供应商（如隆鑫、宗申动力）。</w:t>
      </w:r>
    </w:p>
    <w:p>
      <w:pPr>
        <w:ind w:firstLine="480"/>
        <w:rPr>
          <w:rFonts w:asciiTheme="minorEastAsia" w:hAnsiTheme="minorEastAsia" w:eastAsiaTheme="minorEastAsia"/>
        </w:rPr>
      </w:pPr>
      <w:r>
        <w:rPr>
          <w:rFonts w:asciiTheme="minorEastAsia" w:hAnsiTheme="minorEastAsia" w:eastAsiaTheme="minorEastAsia"/>
        </w:rPr>
        <w:t>电动型：电机、电池（铅酸/锂电池）、电控系统，电池成本占比超40%，头部企业逐步引入宁德时代等外部供应链。</w:t>
      </w:r>
    </w:p>
    <w:p>
      <w:pPr>
        <w:ind w:firstLine="480"/>
        <w:rPr>
          <w:rFonts w:asciiTheme="minorEastAsia" w:hAnsiTheme="minorEastAsia" w:eastAsiaTheme="minorEastAsia"/>
        </w:rPr>
      </w:pPr>
      <w:r>
        <w:rPr>
          <w:rFonts w:asciiTheme="minorEastAsia" w:hAnsiTheme="minorEastAsia" w:eastAsiaTheme="minorEastAsia"/>
        </w:rPr>
        <w:t>底盘与车身：车架、车桥、轮胎（农用耐磨橡胶胎），国内企业（如正新轮胎）主导，部分高端部件（如液压减震）依赖进口。</w:t>
      </w:r>
    </w:p>
    <w:p>
      <w:pPr>
        <w:ind w:firstLine="480"/>
        <w:rPr>
          <w:rFonts w:asciiTheme="minorEastAsia" w:hAnsiTheme="minorEastAsia" w:eastAsiaTheme="minorEastAsia"/>
        </w:rPr>
      </w:pPr>
      <w:r>
        <w:rPr>
          <w:rFonts w:asciiTheme="minorEastAsia" w:hAnsiTheme="minorEastAsia" w:eastAsiaTheme="minorEastAsia"/>
        </w:rPr>
        <w:t>智能化组件：GPS导航、智能仪表（逐步渗透），中小厂商多采用第三方采购，头部企业开始自研车联网系统。</w:t>
      </w:r>
    </w:p>
    <w:p>
      <w:pPr>
        <w:ind w:firstLine="480"/>
        <w:rPr>
          <w:rFonts w:asciiTheme="minorEastAsia" w:hAnsiTheme="minorEastAsia" w:eastAsiaTheme="minorEastAsia"/>
        </w:rPr>
      </w:pPr>
      <w:r>
        <w:rPr>
          <w:rFonts w:asciiTheme="minorEastAsia" w:hAnsiTheme="minorEastAsia" w:eastAsiaTheme="minorEastAsia"/>
        </w:rPr>
        <w:t>原材料以钢材（占比约50%）、橡胶、塑料为主，价格受大宗商品市场波动影响显著，环保政策推动轻量化材料（如铝合金车架）应用。</w:t>
      </w:r>
    </w:p>
    <w:p>
      <w:pPr>
        <w:ind w:firstLine="480"/>
        <w:rPr>
          <w:rFonts w:asciiTheme="minorEastAsia" w:hAnsiTheme="minorEastAsia" w:eastAsiaTheme="minorEastAsia"/>
        </w:rPr>
      </w:pPr>
      <w:r>
        <w:rPr>
          <w:rFonts w:asciiTheme="minorEastAsia" w:hAnsiTheme="minorEastAsia" w:eastAsiaTheme="minorEastAsia"/>
        </w:rPr>
        <w:t>中游：整车制造与技术集成</w:t>
      </w:r>
    </w:p>
    <w:p>
      <w:pPr>
        <w:ind w:firstLine="480"/>
        <w:rPr>
          <w:rFonts w:asciiTheme="minorEastAsia" w:hAnsiTheme="minorEastAsia" w:eastAsiaTheme="minorEastAsia"/>
        </w:rPr>
      </w:pPr>
      <w:r>
        <w:rPr>
          <w:rFonts w:asciiTheme="minorEastAsia" w:hAnsiTheme="minorEastAsia" w:eastAsiaTheme="minorEastAsia"/>
        </w:rPr>
        <w:t>制造环节呈现明显的“中国主导、低价竞争”特征：</w:t>
      </w:r>
    </w:p>
    <w:p>
      <w:pPr>
        <w:ind w:firstLine="480"/>
        <w:rPr>
          <w:rFonts w:asciiTheme="minorEastAsia" w:hAnsiTheme="minorEastAsia" w:eastAsiaTheme="minorEastAsia"/>
        </w:rPr>
      </w:pPr>
      <w:r>
        <w:rPr>
          <w:rFonts w:asciiTheme="minorEastAsia" w:hAnsiTheme="minorEastAsia" w:eastAsiaTheme="minorEastAsia"/>
        </w:rPr>
        <w:t>企业分层：</w:t>
      </w:r>
    </w:p>
    <w:p>
      <w:pPr>
        <w:ind w:firstLine="480"/>
        <w:rPr>
          <w:rFonts w:asciiTheme="minorEastAsia" w:hAnsiTheme="minorEastAsia" w:eastAsiaTheme="minorEastAsia"/>
        </w:rPr>
      </w:pPr>
      <w:r>
        <w:rPr>
          <w:rFonts w:asciiTheme="minorEastAsia" w:hAnsiTheme="minorEastAsia" w:eastAsiaTheme="minorEastAsia"/>
        </w:rPr>
        <w:t>头部企业（如时风、五征、淮海）：年产超50万辆，具备自主研发能力，覆盖燃油/电动全系产品，毛利率约15%-20%，主导国内及亚非市场。</w:t>
      </w:r>
    </w:p>
    <w:p>
      <w:pPr>
        <w:ind w:firstLine="480"/>
        <w:rPr>
          <w:rFonts w:asciiTheme="minorEastAsia" w:hAnsiTheme="minorEastAsia" w:eastAsiaTheme="minorEastAsia"/>
        </w:rPr>
      </w:pPr>
      <w:r>
        <w:rPr>
          <w:rFonts w:asciiTheme="minorEastAsia" w:hAnsiTheme="minorEastAsia" w:eastAsiaTheme="minorEastAsia"/>
        </w:rPr>
        <w:t>中小厂商：集中于山东、河南、江苏等地，以组装生产为主，依赖低价抢占农村市场，毛利率不足10%，出口以东南亚、非洲低价区为主。</w:t>
      </w:r>
    </w:p>
    <w:p>
      <w:pPr>
        <w:ind w:firstLine="480"/>
        <w:rPr>
          <w:rFonts w:asciiTheme="minorEastAsia" w:hAnsiTheme="minorEastAsia" w:eastAsiaTheme="minorEastAsia"/>
        </w:rPr>
      </w:pPr>
      <w:r>
        <w:rPr>
          <w:rFonts w:asciiTheme="minorEastAsia" w:hAnsiTheme="minorEastAsia" w:eastAsiaTheme="minorEastAsia"/>
        </w:rPr>
        <w:t>产品分化：</w:t>
      </w:r>
    </w:p>
    <w:p>
      <w:pPr>
        <w:ind w:firstLine="480"/>
        <w:rPr>
          <w:rFonts w:asciiTheme="minorEastAsia" w:hAnsiTheme="minorEastAsia" w:eastAsiaTheme="minorEastAsia"/>
        </w:rPr>
      </w:pPr>
      <w:r>
        <w:rPr>
          <w:rFonts w:asciiTheme="minorEastAsia" w:hAnsiTheme="minorEastAsia" w:eastAsiaTheme="minorEastAsia"/>
        </w:rPr>
        <w:t>传统燃油车：以载重运输为主（载重量1-3吨），适配农村道路条件，价格区间1-3万元，仍占全球销量60%以上。</w:t>
      </w:r>
    </w:p>
    <w:p>
      <w:pPr>
        <w:ind w:firstLine="480"/>
        <w:rPr>
          <w:rFonts w:asciiTheme="minorEastAsia" w:hAnsiTheme="minorEastAsia" w:eastAsiaTheme="minorEastAsia"/>
        </w:rPr>
      </w:pPr>
      <w:r>
        <w:rPr>
          <w:rFonts w:asciiTheme="minorEastAsia" w:hAnsiTheme="minorEastAsia" w:eastAsiaTheme="minorEastAsia"/>
        </w:rPr>
        <w:t>电动三轮车：政策驱动下增长迅速（如中国“双碳”目标），主要用于短途运输、果蔬配送，价格2-5万元，欧洲市场出现高端化趋势（如意大利Prolux电动车型售价超10万元）。</w:t>
      </w:r>
    </w:p>
    <w:p>
      <w:pPr>
        <w:ind w:firstLine="480"/>
        <w:rPr>
          <w:rFonts w:asciiTheme="minorEastAsia" w:hAnsiTheme="minorEastAsia" w:eastAsiaTheme="minorEastAsia"/>
        </w:rPr>
      </w:pPr>
      <w:r>
        <w:rPr>
          <w:rFonts w:asciiTheme="minorEastAsia" w:hAnsiTheme="minorEastAsia" w:eastAsiaTheme="minorEastAsia"/>
        </w:rPr>
        <w:t>技术瓶颈：核心部件（如高性能电机、长续航电池）依赖外部供应，智能化水平低（仅头部企业配备基础物联网功能）。</w:t>
      </w:r>
    </w:p>
    <w:p>
      <w:pPr>
        <w:ind w:firstLine="480"/>
        <w:rPr>
          <w:rFonts w:asciiTheme="minorEastAsia" w:hAnsiTheme="minorEastAsia" w:eastAsiaTheme="minorEastAsia"/>
        </w:rPr>
      </w:pPr>
      <w:r>
        <w:rPr>
          <w:rFonts w:asciiTheme="minorEastAsia" w:hAnsiTheme="minorEastAsia" w:eastAsiaTheme="minorEastAsia"/>
        </w:rPr>
        <w:t>下游：销售、应用与后市场</w:t>
      </w:r>
    </w:p>
    <w:p>
      <w:pPr>
        <w:ind w:firstLine="480"/>
        <w:rPr>
          <w:rFonts w:asciiTheme="minorEastAsia" w:hAnsiTheme="minorEastAsia" w:eastAsiaTheme="minorEastAsia"/>
        </w:rPr>
      </w:pPr>
      <w:r>
        <w:rPr>
          <w:rFonts w:asciiTheme="minorEastAsia" w:hAnsiTheme="minorEastAsia" w:eastAsiaTheme="minorEastAsia"/>
        </w:rPr>
        <w:t>销售渠道以“经销商+本地化服务”为主：</w:t>
      </w:r>
    </w:p>
    <w:p>
      <w:pPr>
        <w:ind w:firstLine="480"/>
        <w:rPr>
          <w:rFonts w:asciiTheme="minorEastAsia" w:hAnsiTheme="minorEastAsia" w:eastAsiaTheme="minorEastAsia"/>
        </w:rPr>
      </w:pPr>
      <w:r>
        <w:rPr>
          <w:rFonts w:asciiTheme="minorEastAsia" w:hAnsiTheme="minorEastAsia" w:eastAsiaTheme="minorEastAsia"/>
        </w:rPr>
        <w:t>区域特征：</w:t>
      </w:r>
    </w:p>
    <w:p>
      <w:pPr>
        <w:ind w:firstLine="480"/>
        <w:rPr>
          <w:rFonts w:asciiTheme="minorEastAsia" w:hAnsiTheme="minorEastAsia" w:eastAsiaTheme="minorEastAsia"/>
        </w:rPr>
      </w:pPr>
      <w:r>
        <w:rPr>
          <w:rFonts w:asciiTheme="minorEastAsia" w:hAnsiTheme="minorEastAsia" w:eastAsiaTheme="minorEastAsia"/>
        </w:rPr>
        <w:t>亚太（中国、印度）：占全球销量超80%，以农村个体农户、中小农场为主要用户，通过县级经销商网络触达，价格敏感型消费。</w:t>
      </w:r>
    </w:p>
    <w:p>
      <w:pPr>
        <w:ind w:firstLine="480"/>
        <w:rPr>
          <w:rFonts w:asciiTheme="minorEastAsia" w:hAnsiTheme="minorEastAsia" w:eastAsiaTheme="minorEastAsia"/>
        </w:rPr>
      </w:pPr>
      <w:r>
        <w:rPr>
          <w:rFonts w:asciiTheme="minorEastAsia" w:hAnsiTheme="minorEastAsia" w:eastAsiaTheme="minorEastAsia"/>
        </w:rPr>
        <w:t>欧美：需求集中于小型农场、园艺场景，通过农机合作社或品牌直营店销售，偏好定制化电动车型，价格敏感度低。</w:t>
      </w:r>
    </w:p>
    <w:p>
      <w:pPr>
        <w:ind w:firstLine="480"/>
        <w:rPr>
          <w:rFonts w:asciiTheme="minorEastAsia" w:hAnsiTheme="minorEastAsia" w:eastAsiaTheme="minorEastAsia"/>
        </w:rPr>
      </w:pPr>
      <w:r>
        <w:rPr>
          <w:rFonts w:asciiTheme="minorEastAsia" w:hAnsiTheme="minorEastAsia" w:eastAsiaTheme="minorEastAsia"/>
        </w:rPr>
        <w:t>应用场景：</w:t>
      </w:r>
    </w:p>
    <w:p>
      <w:pPr>
        <w:ind w:firstLine="480"/>
        <w:rPr>
          <w:rFonts w:asciiTheme="minorEastAsia" w:hAnsiTheme="minorEastAsia" w:eastAsiaTheme="minorEastAsia"/>
        </w:rPr>
      </w:pPr>
      <w:r>
        <w:rPr>
          <w:rFonts w:asciiTheme="minorEastAsia" w:hAnsiTheme="minorEastAsia" w:eastAsiaTheme="minorEastAsia"/>
        </w:rPr>
        <w:t>核心场景：农业物资运输（种子、化肥、农产品）、农村短途客运、小型工程作业，占比超70%。</w:t>
      </w:r>
    </w:p>
    <w:p>
      <w:pPr>
        <w:ind w:firstLine="480"/>
        <w:rPr>
          <w:rFonts w:asciiTheme="minorEastAsia" w:hAnsiTheme="minorEastAsia" w:eastAsiaTheme="minorEastAsia"/>
        </w:rPr>
      </w:pPr>
      <w:r>
        <w:rPr>
          <w:rFonts w:asciiTheme="minorEastAsia" w:hAnsiTheme="minorEastAsia" w:eastAsiaTheme="minorEastAsia"/>
        </w:rPr>
        <w:t>新兴场景：跨境电商末端配送（如东南亚Lazada、非洲Jumia）、社区团购“最后一公里”运输，推动电动三轮车需求增长。</w:t>
      </w:r>
    </w:p>
    <w:p>
      <w:pPr>
        <w:ind w:firstLine="480"/>
        <w:rPr>
          <w:rFonts w:asciiTheme="minorEastAsia" w:hAnsiTheme="minorEastAsia" w:eastAsiaTheme="minorEastAsia"/>
        </w:rPr>
      </w:pPr>
      <w:r>
        <w:rPr>
          <w:rFonts w:asciiTheme="minorEastAsia" w:hAnsiTheme="minorEastAsia" w:eastAsiaTheme="minorEastAsia"/>
        </w:rPr>
        <w:t>后市场：</w:t>
      </w:r>
    </w:p>
    <w:p>
      <w:pPr>
        <w:ind w:firstLine="480"/>
        <w:rPr>
          <w:rFonts w:asciiTheme="minorEastAsia" w:hAnsiTheme="minorEastAsia" w:eastAsiaTheme="minorEastAsia"/>
        </w:rPr>
      </w:pPr>
      <w:r>
        <w:rPr>
          <w:rFonts w:asciiTheme="minorEastAsia" w:hAnsiTheme="minorEastAsia" w:eastAsiaTheme="minorEastAsia"/>
        </w:rPr>
        <w:t>配件供应：以通用件为主（如轮胎、刹车片），头部企业通过全国售后网点提供原厂配件，中小厂商依赖第三方市场。</w:t>
      </w:r>
    </w:p>
    <w:p>
      <w:pPr>
        <w:ind w:firstLine="480"/>
        <w:rPr>
          <w:rFonts w:asciiTheme="minorEastAsia" w:hAnsiTheme="minorEastAsia" w:eastAsiaTheme="minorEastAsia"/>
        </w:rPr>
      </w:pPr>
      <w:r>
        <w:rPr>
          <w:rFonts w:asciiTheme="minorEastAsia" w:hAnsiTheme="minorEastAsia" w:eastAsiaTheme="minorEastAsia"/>
        </w:rPr>
        <w:t>维修与回收：本地化维修摊点主导，报废回收体系不完善（尤其在发展中国家），环保问题凸显。</w:t>
      </w:r>
    </w:p>
    <w:p>
      <w:pPr>
        <w:ind w:firstLine="480"/>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市场</w:t>
      </w:r>
      <w:r>
        <w:rPr>
          <w:rFonts w:asciiTheme="minorEastAsia" w:hAnsiTheme="minorEastAsia" w:eastAsiaTheme="minorEastAsia"/>
        </w:rPr>
        <w:t>规模</w:t>
      </w:r>
    </w:p>
    <w:p>
      <w:pPr>
        <w:ind w:firstLine="480"/>
        <w:rPr>
          <w:rFonts w:asciiTheme="minorEastAsia" w:hAnsiTheme="minorEastAsia" w:eastAsiaTheme="minorEastAsia"/>
        </w:rPr>
      </w:pPr>
      <w:r>
        <w:rPr>
          <w:rFonts w:asciiTheme="minorEastAsia" w:hAnsiTheme="minorEastAsia" w:eastAsiaTheme="minorEastAsia"/>
        </w:rPr>
        <w:t>2023年全球农用三轮车市场规模达到了618.6亿元，《2024-2029年中国农用三轮车行业重点企业发展分析及投资前景可行性评估报告》预计到2030年全球农用三轮车市场</w:t>
      </w:r>
      <w:r>
        <w:rPr>
          <w:rFonts w:hint="eastAsia" w:asciiTheme="minorEastAsia" w:hAnsiTheme="minorEastAsia" w:eastAsiaTheme="minorEastAsia"/>
        </w:rPr>
        <w:t>规模</w:t>
      </w:r>
      <w:r>
        <w:rPr>
          <w:rFonts w:asciiTheme="minorEastAsia" w:hAnsiTheme="minorEastAsia" w:eastAsiaTheme="minorEastAsia"/>
        </w:rPr>
        <w:t>将达到1498.9亿元，市场规模增长较为显著。</w:t>
      </w:r>
    </w:p>
    <w:p>
      <w:pPr>
        <w:ind w:firstLine="480"/>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.区域分布</w:t>
      </w:r>
    </w:p>
    <w:p>
      <w:pPr>
        <w:ind w:firstLine="480"/>
        <w:rPr>
          <w:rFonts w:asciiTheme="minorEastAsia" w:hAnsiTheme="minorEastAsia" w:eastAsiaTheme="minorEastAsia"/>
        </w:rPr>
      </w:pPr>
      <w:r>
        <w:rPr>
          <w:rFonts w:asciiTheme="minorEastAsia" w:hAnsiTheme="minorEastAsia" w:eastAsiaTheme="minorEastAsia"/>
        </w:rPr>
        <w:t>亚太地区是全球最大的农用三轮车市场，2023年占有大约90.06%的市场份额，这主要得益于中国、印度等人口众多、农业基础庞大的国家对农用三轮车的大量需求。其次是欧洲市场，占比约为5.14%，欧洲地区对农用三轮车的需求主要集中在一些农业国家。</w:t>
      </w:r>
    </w:p>
    <w:p>
      <w:pPr>
        <w:ind w:firstLine="48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.企业竞争格局</w:t>
      </w:r>
    </w:p>
    <w:p>
      <w:pPr>
        <w:ind w:firstLine="480"/>
        <w:rPr>
          <w:rFonts w:asciiTheme="minorEastAsia" w:hAnsiTheme="minorEastAsia" w:eastAsiaTheme="minorEastAsia"/>
        </w:rPr>
      </w:pPr>
      <w:r>
        <w:rPr>
          <w:rFonts w:asciiTheme="minorEastAsia" w:hAnsiTheme="minorEastAsia" w:eastAsiaTheme="minorEastAsia"/>
        </w:rPr>
        <w:t>在全球农用三轮车市场，中国企业占据重要地位。第一梯队包括</w:t>
      </w:r>
      <w:r>
        <w:rPr>
          <w:rFonts w:ascii="Segoe UI" w:hAnsi="Segoe UI" w:cs="Segoe UI"/>
          <w:shd w:val="clear" w:color="auto" w:fill="FFFFFF"/>
        </w:rPr>
        <w:t>时风、五征、</w:t>
      </w:r>
      <w:r>
        <w:rPr>
          <w:rFonts w:hint="eastAsia" w:ascii="Segoe UI" w:hAnsi="Segoe UI" w:cs="Segoe UI"/>
          <w:shd w:val="clear" w:color="auto" w:fill="FFFFFF"/>
        </w:rPr>
        <w:t>福田、</w:t>
      </w:r>
      <w:r>
        <w:rPr>
          <w:rFonts w:asciiTheme="minorEastAsia" w:hAnsiTheme="minorEastAsia" w:eastAsiaTheme="minorEastAsia"/>
        </w:rPr>
        <w:t>淮海等年产量和市场份额较大的企业，这些企业拥有较强的品牌影响力和市场竞争力，是市场的主要推动者。第二梯队由中等规模的企业组成，它们有一定的知名度和影响力，但市场份额和品牌影响力稍逊于第一梯队。</w:t>
      </w:r>
    </w:p>
    <w:p>
      <w:pPr>
        <w:ind w:firstLine="480"/>
        <w:rPr>
          <w:rFonts w:asciiTheme="minorEastAsia" w:hAnsiTheme="minorEastAsia" w:eastAsiaTheme="minorEastAsia"/>
        </w:rPr>
      </w:pPr>
      <w:r>
        <w:rPr>
          <w:rFonts w:hint="eastAsia" w:asciiTheme="minorEastAsia" w:hAnsiTheme="minorEastAsia" w:eastAsiaTheme="minorEastAsia"/>
        </w:rPr>
        <w:t>5</w:t>
      </w:r>
      <w:r>
        <w:rPr>
          <w:rFonts w:asciiTheme="minorEastAsia" w:hAnsiTheme="minorEastAsia" w:eastAsiaTheme="minorEastAsia"/>
        </w:rPr>
        <w:t>.产业发展趋势</w:t>
      </w:r>
    </w:p>
    <w:p>
      <w:pPr>
        <w:ind w:firstLine="480"/>
        <w:rPr>
          <w:rFonts w:asciiTheme="minorEastAsia" w:hAnsiTheme="minorEastAsia" w:eastAsiaTheme="minorEastAsia"/>
        </w:rPr>
      </w:pPr>
      <w:r>
        <w:rPr>
          <w:rFonts w:asciiTheme="minorEastAsia" w:hAnsiTheme="minorEastAsia" w:eastAsiaTheme="minorEastAsia"/>
        </w:rPr>
        <w:t>一是电动化，随着环保意识提升，电动三轮车因运营成本低、环境污染小，逐渐成为主流；二是智能化，智能导航、远程监控等技术的应用，提升了农用三轮车的效率和管理水平；三是多功能化，农民对农用三轮车的需求不再局限于运输，生产商注重产品的多功能性和定制化，以满足不同用户的个性化需求；四是国际化，全球农业机械市场竞争激烈，各大生产商积极扩展国际业务。</w:t>
      </w:r>
    </w:p>
    <w:p>
      <w:pPr>
        <w:ind w:firstLine="480"/>
        <w:rPr>
          <w:rFonts w:asciiTheme="minorEastAsia" w:hAnsiTheme="minorEastAsia" w:eastAsiaTheme="minorEastAsia"/>
        </w:rPr>
      </w:pPr>
      <w:r>
        <w:rPr>
          <w:rFonts w:hint="eastAsia" w:asciiTheme="minorEastAsia" w:hAnsiTheme="minorEastAsia" w:eastAsiaTheme="minorEastAsia"/>
        </w:rPr>
        <w:t>6</w:t>
      </w:r>
      <w:r>
        <w:rPr>
          <w:rFonts w:asciiTheme="minorEastAsia" w:hAnsiTheme="minorEastAsia" w:eastAsiaTheme="minorEastAsia"/>
        </w:rPr>
        <w:t>.产业发展政策环境</w:t>
      </w:r>
    </w:p>
    <w:p>
      <w:pPr>
        <w:ind w:firstLine="480"/>
        <w:rPr>
          <w:rFonts w:asciiTheme="minorEastAsia" w:hAnsiTheme="minorEastAsia" w:eastAsiaTheme="minorEastAsia"/>
        </w:rPr>
      </w:pPr>
      <w:r>
        <w:rPr>
          <w:rFonts w:hint="eastAsia" w:asciiTheme="minorEastAsia" w:hAnsiTheme="minorEastAsia" w:eastAsiaTheme="minorEastAsia"/>
        </w:rPr>
        <w:t>全球多个</w:t>
      </w:r>
      <w:r>
        <w:rPr>
          <w:rFonts w:asciiTheme="minorEastAsia" w:hAnsiTheme="minorEastAsia" w:eastAsiaTheme="minorEastAsia"/>
        </w:rPr>
        <w:t>国家和地区</w:t>
      </w:r>
      <w:r>
        <w:rPr>
          <w:rFonts w:hint="eastAsia" w:asciiTheme="minorEastAsia" w:hAnsiTheme="minorEastAsia" w:eastAsiaTheme="minorEastAsia"/>
        </w:rPr>
        <w:t>均</w:t>
      </w:r>
      <w:r>
        <w:rPr>
          <w:rFonts w:asciiTheme="minorEastAsia" w:hAnsiTheme="minorEastAsia" w:eastAsiaTheme="minorEastAsia"/>
        </w:rPr>
        <w:t>出台了支持农机购置的政策措施，鼓励农民使用现代化农业设备，这不仅促进了农用三轮车市场的扩展，还推动了产品的更新换代和技术应用。例如，一些国家为购买农用三轮车的农民提供补贴，降低农民的购买成本，从而刺激市场需求。</w:t>
      </w:r>
    </w:p>
    <w:p>
      <w:pPr>
        <w:ind w:firstLine="562"/>
        <w:outlineLvl w:val="2"/>
        <w:rPr>
          <w:rFonts w:ascii="黑体" w:hAnsi="黑体" w:eastAsia="黑体" w:cs="Helvetica"/>
          <w:b/>
          <w:color w:val="000000" w:themeColor="text1"/>
          <w:kern w:val="0"/>
          <w:sz w:val="28"/>
          <w:szCs w:val="28"/>
        </w:rPr>
      </w:pPr>
      <w:bookmarkStart w:id="7" w:name="_Toc203061352"/>
      <w:r>
        <w:rPr>
          <w:rFonts w:ascii="黑体" w:hAnsi="黑体" w:eastAsia="黑体" w:cs="Helvetica"/>
          <w:b/>
          <w:color w:val="000000" w:themeColor="text1"/>
          <w:kern w:val="0"/>
          <w:sz w:val="28"/>
          <w:szCs w:val="28"/>
        </w:rPr>
        <w:t>1</w:t>
      </w:r>
      <w:r>
        <w:rPr>
          <w:rFonts w:hint="eastAsia" w:ascii="黑体" w:hAnsi="黑体" w:eastAsia="黑体" w:cs="Helvetica"/>
          <w:b/>
          <w:color w:val="000000" w:themeColor="text1"/>
          <w:kern w:val="0"/>
          <w:sz w:val="28"/>
          <w:szCs w:val="28"/>
        </w:rPr>
        <w:t>.1.</w:t>
      </w:r>
      <w:r>
        <w:rPr>
          <w:rFonts w:ascii="黑体" w:hAnsi="黑体" w:eastAsia="黑体" w:cs="Helvetica"/>
          <w:b/>
          <w:color w:val="000000" w:themeColor="text1"/>
          <w:kern w:val="0"/>
          <w:sz w:val="28"/>
          <w:szCs w:val="28"/>
        </w:rPr>
        <w:t xml:space="preserve">2 </w:t>
      </w:r>
      <w:r>
        <w:rPr>
          <w:rFonts w:hint="eastAsia" w:ascii="黑体" w:hAnsi="黑体" w:eastAsia="黑体" w:cs="Helvetica"/>
          <w:b/>
          <w:color w:val="000000" w:themeColor="text1"/>
          <w:kern w:val="0"/>
          <w:sz w:val="28"/>
          <w:szCs w:val="28"/>
        </w:rPr>
        <w:t>中国农业运输机械产业发展概况</w:t>
      </w:r>
      <w:bookmarkEnd w:id="7"/>
    </w:p>
    <w:p>
      <w:pPr>
        <w:ind w:firstLine="482"/>
        <w:rPr>
          <w:rFonts w:asciiTheme="minorEastAsia" w:hAnsiTheme="minorEastAsia" w:eastAsiaTheme="minorEastAsia"/>
          <w:b/>
          <w:bCs/>
        </w:rPr>
      </w:pPr>
      <w:r>
        <w:rPr>
          <w:rFonts w:hint="eastAsia" w:asciiTheme="minorEastAsia" w:hAnsiTheme="minorEastAsia" w:eastAsiaTheme="minorEastAsia"/>
          <w:b/>
          <w:bCs/>
        </w:rPr>
        <w:t>一、农用拖拉机</w:t>
      </w:r>
    </w:p>
    <w:p>
      <w:pPr>
        <w:ind w:firstLine="48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.市场规模</w:t>
      </w:r>
    </w:p>
    <w:p>
      <w:pPr>
        <w:ind w:firstLine="480"/>
        <w:rPr>
          <w:rFonts w:asciiTheme="minorEastAsia" w:hAnsiTheme="minorEastAsia" w:eastAsiaTheme="minorEastAsia"/>
        </w:rPr>
      </w:pPr>
      <w:r>
        <w:rPr>
          <w:rFonts w:asciiTheme="minorEastAsia" w:hAnsiTheme="minorEastAsia" w:eastAsiaTheme="minorEastAsia"/>
        </w:rPr>
        <w:t>根据 2025 年 5 月 27 日发布的《2025 至 2030 中国农用拖拉机行业市场竞争格局及有效策略与实施路径评估报告》，2025 年中国农用拖拉机市场规模预计突破 800 亿元，从 2025 年到 2030 年，市场规模预计从约 780 亿元提升至 1250 亿元，年均复合增长率保持在 8.5% 左右。从产品结构来看，100 马力以上大型拖拉机市场份额</w:t>
      </w:r>
      <w:r>
        <w:rPr>
          <w:rFonts w:hint="eastAsia" w:asciiTheme="minorEastAsia" w:hAnsiTheme="minorEastAsia" w:eastAsiaTheme="minorEastAsia"/>
        </w:rPr>
        <w:t>预计</w:t>
      </w:r>
      <w:r>
        <w:rPr>
          <w:rFonts w:asciiTheme="minorEastAsia" w:hAnsiTheme="minorEastAsia" w:eastAsiaTheme="minorEastAsia"/>
        </w:rPr>
        <w:t>将从 2025 年的 38% 提升至 2030 年的 45%，中型拖拉机（50-100 马力）占比</w:t>
      </w:r>
      <w:r>
        <w:rPr>
          <w:rFonts w:hint="eastAsia" w:asciiTheme="minorEastAsia" w:hAnsiTheme="minorEastAsia" w:eastAsiaTheme="minorEastAsia"/>
        </w:rPr>
        <w:t>预计</w:t>
      </w:r>
      <w:r>
        <w:rPr>
          <w:rFonts w:asciiTheme="minorEastAsia" w:hAnsiTheme="minorEastAsia" w:eastAsiaTheme="minorEastAsia"/>
        </w:rPr>
        <w:t>稳定在 32%-35% 区间，小型拖拉机需求逐步向丘陵山区等细分场景集中。</w:t>
      </w:r>
    </w:p>
    <w:p>
      <w:pPr>
        <w:ind w:firstLine="48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.区域分布</w:t>
      </w:r>
    </w:p>
    <w:p>
      <w:pPr>
        <w:ind w:firstLine="480"/>
        <w:rPr>
          <w:rFonts w:asciiTheme="minorEastAsia" w:hAnsiTheme="minorEastAsia" w:eastAsiaTheme="minorEastAsia"/>
        </w:rPr>
      </w:pPr>
      <w:r>
        <w:rPr>
          <w:rFonts w:asciiTheme="minorEastAsia" w:hAnsiTheme="minorEastAsia" w:eastAsiaTheme="minorEastAsia"/>
        </w:rPr>
        <w:t>东北、华北等粮食主产区仍占据较大的销量份额，其中东北地区作为传统农业基地，2023 年拖拉机保有量达 78.6 万台，占全国总量的 23.8%，黑龙江省市场份额占比超过 40%，大型轮式拖拉机需求旺盛；华北平原以山东、河南、河北三省为核心，2023 年市场规模达到 192 亿元，中小型拖拉机占据主导地位。同时，黄淮海平原和长江中下游地区的增量贡献率预计提升至 40%，南方水田机械化和经济作物区农机升级需求强劲。此外，西南丘陵山区因山地农机补贴政策加码，将成为增速最快的细分市场，预计 2027 年区域销量占比将达 18%。</w:t>
      </w:r>
    </w:p>
    <w:p>
      <w:pPr>
        <w:ind w:firstLine="480"/>
        <w:rPr>
          <w:rFonts w:asciiTheme="minorEastAsia" w:hAnsiTheme="minorEastAsia" w:eastAsiaTheme="minorEastAsia"/>
        </w:rPr>
      </w:pPr>
      <w:r>
        <w:rPr>
          <w:rFonts w:asciiTheme="minorEastAsia" w:hAnsiTheme="minorEastAsia" w:eastAsiaTheme="minorEastAsia"/>
        </w:rPr>
        <w:t>企业竞争格局：当前行业呈现 “两超多强” 特征，中国一拖和雷沃重工合计市占率维持在 45%-50% 区间。约翰迪尔、久保田等外资品牌在 200 马力以上高端市场保持 70% 的垄断优势。同时，三一重工、中联重科等工程机械巨头通过差异化产品切入大马力细分市场，2023-2025 年期间已累计获得 15% 的增量份额。</w:t>
      </w:r>
    </w:p>
    <w:p>
      <w:pPr>
        <w:ind w:firstLine="480"/>
        <w:rPr>
          <w:rFonts w:asciiTheme="minorEastAsia" w:hAnsiTheme="minorEastAsia" w:eastAsiaTheme="minorEastAsia"/>
        </w:rPr>
      </w:pPr>
      <w:r>
        <w:rPr>
          <w:rFonts w:asciiTheme="minorEastAsia" w:hAnsiTheme="minorEastAsia" w:eastAsiaTheme="minorEastAsia"/>
        </w:rPr>
        <w:t>产业发展趋势：在技术路线上，新能源拖拉机渗透率</w:t>
      </w:r>
      <w:r>
        <w:rPr>
          <w:rFonts w:hint="eastAsia" w:asciiTheme="minorEastAsia" w:hAnsiTheme="minorEastAsia" w:eastAsiaTheme="minorEastAsia"/>
        </w:rPr>
        <w:t>预计</w:t>
      </w:r>
      <w:r>
        <w:rPr>
          <w:rFonts w:asciiTheme="minorEastAsia" w:hAnsiTheme="minorEastAsia" w:eastAsiaTheme="minorEastAsia"/>
        </w:rPr>
        <w:t>将从 2024 年的 12% 快速攀升至 2030 年的 28%，纯电动机型在果园、设施农业等封闭场景率先普及，混合动力技术在大田作业领域取得突破性进展。2025 年智能网联拖拉机装机量</w:t>
      </w:r>
      <w:r>
        <w:rPr>
          <w:rFonts w:hint="eastAsia" w:asciiTheme="minorEastAsia" w:hAnsiTheme="minorEastAsia" w:eastAsiaTheme="minorEastAsia"/>
        </w:rPr>
        <w:t>预计</w:t>
      </w:r>
      <w:r>
        <w:rPr>
          <w:rFonts w:asciiTheme="minorEastAsia" w:hAnsiTheme="minorEastAsia" w:eastAsiaTheme="minorEastAsia"/>
        </w:rPr>
        <w:t>将突破 5 万台，到 2030 年 L4 级自动驾驶系统在高端机型中的配置率有望达到 15%。此外，出口市场将成为重要增长极，东盟、中亚地区对 200 马力以下经济型拖拉机的年需求增速预计维持在 12%-15%，中国品牌凭借性价比优势有望占据 30% 的出口份额。</w:t>
      </w:r>
    </w:p>
    <w:p>
      <w:pPr>
        <w:ind w:firstLine="480"/>
        <w:rPr>
          <w:rFonts w:asciiTheme="minorEastAsia" w:hAnsiTheme="minorEastAsia" w:eastAsiaTheme="minorEastAsia"/>
        </w:rPr>
      </w:pPr>
      <w:r>
        <w:rPr>
          <w:rFonts w:asciiTheme="minorEastAsia" w:hAnsiTheme="minorEastAsia" w:eastAsiaTheme="minorEastAsia"/>
        </w:rPr>
        <w:t>产业发展政策环境：国家持续加大对农业机械化的支持力度，农机购置补贴政策向丘陵山区专用机型倾斜，单台最高补贴比例由 30% 提升至 40%。同时，“国四” 排放标准全面实施，加速淘汰老旧设备，创造约 300 亿元更新需求。农机报废更新补贴标准有望提高 20%-30%，与精准农业配套的智能化农机具购置补贴范围将持续扩大。</w:t>
      </w:r>
    </w:p>
    <w:p>
      <w:pPr>
        <w:pStyle w:val="2"/>
        <w:ind w:firstLine="482"/>
        <w:rPr>
          <w:b/>
          <w:bCs/>
        </w:rPr>
      </w:pPr>
      <w:r>
        <w:rPr>
          <w:rFonts w:hint="eastAsia"/>
          <w:b/>
          <w:bCs/>
        </w:rPr>
        <w:t>二、农用三轮车</w:t>
      </w:r>
    </w:p>
    <w:p>
      <w:pPr>
        <w:ind w:firstLine="48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.市场规模</w:t>
      </w:r>
    </w:p>
    <w:p>
      <w:pPr>
        <w:ind w:firstLine="480"/>
        <w:rPr>
          <w:rFonts w:asciiTheme="minorEastAsia" w:hAnsiTheme="minorEastAsia" w:eastAsiaTheme="minorEastAsia"/>
        </w:rPr>
      </w:pPr>
      <w:r>
        <w:rPr>
          <w:rFonts w:hint="eastAsia" w:asciiTheme="minorEastAsia" w:hAnsiTheme="minorEastAsia" w:eastAsiaTheme="minorEastAsia"/>
        </w:rPr>
        <w:t>2024年全国农用三轮车销量达</w:t>
      </w:r>
      <w:r>
        <w:rPr>
          <w:rFonts w:asciiTheme="minorEastAsia" w:hAnsiTheme="minorEastAsia" w:eastAsiaTheme="minorEastAsia"/>
        </w:rPr>
        <w:t>191</w:t>
      </w:r>
      <w:r>
        <w:rPr>
          <w:rFonts w:hint="eastAsia" w:asciiTheme="minorEastAsia" w:hAnsiTheme="minorEastAsia" w:eastAsiaTheme="minorEastAsia"/>
        </w:rPr>
        <w:t>万辆，同比微增5%。增长动力主要来自农村物流需求扩张（电商下沉）及区域性农机补贴政策延续。柴油动力车型占比约65%，仍为主导市场，但电动化趋势明显加快（占比提升至30%）。</w:t>
      </w:r>
    </w:p>
    <w:p>
      <w:pPr>
        <w:ind w:firstLine="48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.区域分布</w:t>
      </w:r>
    </w:p>
    <w:p>
      <w:pPr>
        <w:ind w:firstLine="480"/>
        <w:rPr>
          <w:rFonts w:asciiTheme="minorEastAsia" w:hAnsiTheme="minorEastAsia" w:eastAsiaTheme="minorEastAsia"/>
        </w:rPr>
      </w:pPr>
      <w:r>
        <w:rPr>
          <w:rFonts w:asciiTheme="minorEastAsia" w:hAnsiTheme="minorEastAsia" w:eastAsiaTheme="minorEastAsia"/>
        </w:rPr>
        <w:t>华北、华东：作为粮食主产区，农业机械化率较高，柴油动力农用三轮车需求稳定。</w:t>
      </w:r>
    </w:p>
    <w:p>
      <w:pPr>
        <w:ind w:firstLine="480"/>
        <w:rPr>
          <w:rFonts w:asciiTheme="minorEastAsia" w:hAnsiTheme="minorEastAsia" w:eastAsiaTheme="minorEastAsia"/>
        </w:rPr>
      </w:pPr>
      <w:r>
        <w:rPr>
          <w:rFonts w:asciiTheme="minorEastAsia" w:hAnsiTheme="minorEastAsia" w:eastAsiaTheme="minorEastAsia"/>
        </w:rPr>
        <w:t>西南、华南：多山区，适合电动三轮车进行短途运输，且充电便利性相对较好，电动化转型速度快。</w:t>
      </w:r>
    </w:p>
    <w:p>
      <w:pPr>
        <w:ind w:firstLine="480"/>
        <w:rPr>
          <w:rFonts w:asciiTheme="minorEastAsia" w:hAnsiTheme="minorEastAsia" w:eastAsiaTheme="minorEastAsia"/>
        </w:rPr>
      </w:pPr>
      <w:r>
        <w:rPr>
          <w:rFonts w:asciiTheme="minorEastAsia" w:hAnsiTheme="minorEastAsia" w:eastAsiaTheme="minorEastAsia"/>
        </w:rPr>
        <w:t>东北：受国四排放标准实施影响，柴油车置换需求集中释放。</w:t>
      </w:r>
    </w:p>
    <w:p>
      <w:pPr>
        <w:ind w:firstLine="480"/>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.企业竞争格局</w:t>
      </w:r>
    </w:p>
    <w:p>
      <w:pPr>
        <w:ind w:firstLine="480"/>
        <w:rPr>
          <w:rFonts w:asciiTheme="minorEastAsia" w:hAnsiTheme="minorEastAsia" w:eastAsiaTheme="minorEastAsia"/>
        </w:rPr>
      </w:pPr>
      <w:r>
        <w:rPr>
          <w:rFonts w:asciiTheme="minorEastAsia" w:hAnsiTheme="minorEastAsia" w:eastAsiaTheme="minorEastAsia"/>
        </w:rPr>
        <w:t>头部品牌：时风、五征、福田、东风等品牌凭借渠道下沉和价格优势，占据市场主要份额，</w:t>
      </w:r>
      <w:r>
        <w:rPr>
          <w:rFonts w:hint="eastAsia" w:asciiTheme="minorEastAsia" w:hAnsiTheme="minorEastAsia" w:eastAsiaTheme="minorEastAsia"/>
        </w:rPr>
        <w:t>四家企业</w:t>
      </w:r>
      <w:r>
        <w:rPr>
          <w:rFonts w:asciiTheme="minorEastAsia" w:hAnsiTheme="minorEastAsia" w:eastAsiaTheme="minorEastAsia"/>
        </w:rPr>
        <w:t>市占率超</w:t>
      </w:r>
      <w:r>
        <w:rPr>
          <w:rFonts w:hint="eastAsia" w:asciiTheme="minorEastAsia" w:hAnsiTheme="minorEastAsia" w:eastAsiaTheme="minorEastAsia"/>
        </w:rPr>
        <w:t>过</w:t>
      </w:r>
      <w:r>
        <w:rPr>
          <w:rFonts w:asciiTheme="minorEastAsia" w:hAnsiTheme="minorEastAsia" w:eastAsiaTheme="minorEastAsia"/>
        </w:rPr>
        <w:t>50%。其中，时风占比18%，五征占比 15%，福田占比 12%，东风占比 10%。</w:t>
      </w:r>
    </w:p>
    <w:p>
      <w:pPr>
        <w:ind w:firstLine="480"/>
        <w:rPr>
          <w:rFonts w:asciiTheme="minorEastAsia" w:hAnsiTheme="minorEastAsia" w:eastAsiaTheme="minorEastAsia"/>
        </w:rPr>
      </w:pPr>
      <w:r>
        <w:rPr>
          <w:rFonts w:asciiTheme="minorEastAsia" w:hAnsiTheme="minorEastAsia" w:eastAsiaTheme="minorEastAsia"/>
        </w:rPr>
        <w:t>第二梯队：宗申、隆鑫、大运等品牌通过区域差异化和灵活金融政策维持份额，市占率在 20%-30%。</w:t>
      </w:r>
    </w:p>
    <w:p>
      <w:pPr>
        <w:ind w:firstLine="480"/>
        <w:rPr>
          <w:rFonts w:asciiTheme="minorEastAsia" w:hAnsiTheme="minorEastAsia" w:eastAsiaTheme="minorEastAsia"/>
        </w:rPr>
      </w:pPr>
      <w:r>
        <w:rPr>
          <w:rFonts w:asciiTheme="minorEastAsia" w:hAnsiTheme="minorEastAsia" w:eastAsiaTheme="minorEastAsia"/>
        </w:rPr>
        <w:t>新势力：金彭、淮海等电动三轮车品牌加速渗透，年增速超 25%，对传统柴油车市场形成冲击。</w:t>
      </w:r>
    </w:p>
    <w:p>
      <w:pPr>
        <w:ind w:firstLine="480"/>
        <w:rPr>
          <w:rFonts w:asciiTheme="minorEastAsia" w:hAnsiTheme="minorEastAsia" w:eastAsiaTheme="minorEastAsia"/>
        </w:rPr>
      </w:pPr>
      <w:r>
        <w:rPr>
          <w:rFonts w:asciiTheme="minorEastAsia" w:hAnsiTheme="minorEastAsia" w:eastAsiaTheme="minorEastAsia"/>
        </w:rPr>
        <w:t>4.产业发展趋势</w:t>
      </w:r>
    </w:p>
    <w:p>
      <w:pPr>
        <w:ind w:firstLine="480"/>
        <w:rPr>
          <w:rFonts w:asciiTheme="minorEastAsia" w:hAnsiTheme="minorEastAsia" w:eastAsiaTheme="minorEastAsia"/>
        </w:rPr>
      </w:pPr>
      <w:r>
        <w:rPr>
          <w:rFonts w:asciiTheme="minorEastAsia" w:hAnsiTheme="minorEastAsia" w:eastAsiaTheme="minorEastAsia"/>
        </w:rPr>
        <w:t>动力清洁化：随着环保要求提高，燃油型三轮车面临更严格排放标准，电动三轮车因节能环保、运行成本低等特点，市场占比将逐渐提升，成为行业重要发展方向。</w:t>
      </w:r>
    </w:p>
    <w:p>
      <w:pPr>
        <w:ind w:firstLine="480"/>
        <w:rPr>
          <w:rFonts w:asciiTheme="minorEastAsia" w:hAnsiTheme="minorEastAsia" w:eastAsiaTheme="minorEastAsia"/>
        </w:rPr>
      </w:pPr>
      <w:r>
        <w:rPr>
          <w:rFonts w:asciiTheme="minorEastAsia" w:hAnsiTheme="minorEastAsia" w:eastAsiaTheme="minorEastAsia"/>
        </w:rPr>
        <w:t>功能智能化：农用三轮车或将与北斗导航、自动驾驶、远程监控等技术结合，实现精准作业路径规划和无人化运输，提升农业生产效率。</w:t>
      </w:r>
    </w:p>
    <w:p>
      <w:pPr>
        <w:ind w:firstLine="480"/>
        <w:rPr>
          <w:rFonts w:asciiTheme="minorEastAsia" w:hAnsiTheme="minorEastAsia" w:eastAsiaTheme="minorEastAsia"/>
        </w:rPr>
      </w:pPr>
      <w:r>
        <w:rPr>
          <w:rFonts w:asciiTheme="minorEastAsia" w:hAnsiTheme="minorEastAsia" w:eastAsiaTheme="minorEastAsia"/>
        </w:rPr>
        <w:t>产品实用化：产品将更加注重安全性能提升，同时部分产品会配备液压升降装置、货箱翻转机构等功能模块，增强实用性。</w:t>
      </w:r>
    </w:p>
    <w:p>
      <w:pPr>
        <w:ind w:firstLine="480"/>
        <w:rPr>
          <w:rFonts w:asciiTheme="minorEastAsia" w:hAnsiTheme="minorEastAsia" w:eastAsiaTheme="minorEastAsia"/>
        </w:rPr>
      </w:pPr>
      <w:r>
        <w:rPr>
          <w:rFonts w:hint="eastAsia" w:asciiTheme="minorEastAsia" w:hAnsiTheme="minorEastAsia" w:eastAsiaTheme="minorEastAsia"/>
        </w:rPr>
        <w:t>5</w:t>
      </w:r>
      <w:r>
        <w:rPr>
          <w:rFonts w:asciiTheme="minorEastAsia" w:hAnsiTheme="minorEastAsia" w:eastAsiaTheme="minorEastAsia"/>
        </w:rPr>
        <w:t>.产业发展政策环境</w:t>
      </w:r>
    </w:p>
    <w:p>
      <w:pPr>
        <w:ind w:firstLine="480"/>
        <w:rPr>
          <w:rFonts w:asciiTheme="minorEastAsia" w:hAnsiTheme="minorEastAsia" w:eastAsiaTheme="minorEastAsia"/>
        </w:rPr>
      </w:pPr>
      <w:r>
        <w:rPr>
          <w:rFonts w:asciiTheme="minorEastAsia" w:hAnsiTheme="minorEastAsia" w:eastAsiaTheme="minorEastAsia"/>
        </w:rPr>
        <w:t>排放标准收紧：国家对非道路移动源污染治理力度加强，柴油动力设备面临排放标准收紧，部分区域可能限制高污染机型使用。</w:t>
      </w:r>
    </w:p>
    <w:p>
      <w:pPr>
        <w:ind w:firstLine="480"/>
        <w:rPr>
          <w:rFonts w:asciiTheme="minorEastAsia" w:hAnsiTheme="minorEastAsia" w:eastAsiaTheme="minorEastAsia"/>
        </w:rPr>
      </w:pPr>
      <w:r>
        <w:rPr>
          <w:rFonts w:asciiTheme="minorEastAsia" w:hAnsiTheme="minorEastAsia" w:eastAsiaTheme="minorEastAsia"/>
        </w:rPr>
        <w:t>新能源获补贴：电动化、混动化农机将享受购置补贴、充电基建等政策倾斜，有利于推动农用三轮车企业向新能源方向转型。</w:t>
      </w:r>
    </w:p>
    <w:p>
      <w:pPr>
        <w:ind w:firstLine="480"/>
        <w:rPr>
          <w:rFonts w:asciiTheme="minorEastAsia" w:hAnsiTheme="minorEastAsia" w:eastAsiaTheme="minorEastAsia"/>
        </w:rPr>
      </w:pPr>
      <w:r>
        <w:rPr>
          <w:rFonts w:asciiTheme="minorEastAsia" w:hAnsiTheme="minorEastAsia" w:eastAsiaTheme="minorEastAsia"/>
        </w:rPr>
        <w:t>智能化受重视：政策要求推进农机装备智能化升级，如 “北斗智能终端全覆盖” 的要求，促使农用三轮车行业加快数字化管理升级。</w:t>
      </w:r>
    </w:p>
    <w:p>
      <w:pPr>
        <w:ind w:firstLine="480"/>
        <w:rPr>
          <w:rFonts w:asciiTheme="minorEastAsia" w:hAnsiTheme="minorEastAsia" w:eastAsiaTheme="minorEastAsia"/>
        </w:rPr>
      </w:pPr>
      <w:r>
        <w:rPr>
          <w:rFonts w:asciiTheme="minorEastAsia" w:hAnsiTheme="minorEastAsia" w:eastAsiaTheme="minorEastAsia"/>
        </w:rPr>
        <w:t>适应特殊地形：丘陵山区农机短板补强政策，要求企业开发适应小地块、陡坡地形的特种车型，以满足不同区域的农业生产需求。</w:t>
      </w:r>
    </w:p>
    <w:p>
      <w:pPr>
        <w:ind w:firstLine="562"/>
        <w:outlineLvl w:val="1"/>
        <w:rPr>
          <w:rFonts w:ascii="黑体" w:hAnsi="黑体" w:eastAsia="黑体"/>
          <w:b/>
          <w:bCs/>
          <w:sz w:val="28"/>
          <w:szCs w:val="28"/>
        </w:rPr>
      </w:pPr>
      <w:bookmarkStart w:id="8" w:name="_Toc203061353"/>
      <w:r>
        <w:rPr>
          <w:rFonts w:ascii="黑体" w:hAnsi="黑体" w:eastAsia="黑体"/>
          <w:b/>
          <w:bCs/>
          <w:sz w:val="28"/>
          <w:szCs w:val="28"/>
        </w:rPr>
        <w:t>1</w:t>
      </w:r>
      <w:r>
        <w:rPr>
          <w:rFonts w:hint="eastAsia" w:ascii="黑体" w:hAnsi="黑体" w:eastAsia="黑体"/>
          <w:b/>
          <w:bCs/>
          <w:sz w:val="28"/>
          <w:szCs w:val="28"/>
        </w:rPr>
        <w:t>.2</w:t>
      </w:r>
      <w:r>
        <w:rPr>
          <w:rFonts w:ascii="黑体" w:hAnsi="黑体" w:eastAsia="黑体"/>
          <w:b/>
          <w:bCs/>
          <w:sz w:val="28"/>
          <w:szCs w:val="28"/>
        </w:rPr>
        <w:t xml:space="preserve"> </w:t>
      </w:r>
      <w:r>
        <w:rPr>
          <w:rFonts w:hint="eastAsia" w:ascii="黑体" w:hAnsi="黑体" w:eastAsia="黑体"/>
          <w:b/>
          <w:bCs/>
          <w:sz w:val="28"/>
          <w:szCs w:val="28"/>
        </w:rPr>
        <w:t>聊城市农业运输机械产业分析</w:t>
      </w:r>
      <w:bookmarkEnd w:id="8"/>
    </w:p>
    <w:p>
      <w:pPr>
        <w:ind w:firstLine="562"/>
        <w:outlineLvl w:val="2"/>
        <w:rPr>
          <w:rFonts w:ascii="黑体" w:hAnsi="黑体" w:eastAsia="黑体" w:cs="Helvetica"/>
          <w:b/>
          <w:color w:val="000000" w:themeColor="text1"/>
          <w:kern w:val="0"/>
          <w:sz w:val="28"/>
          <w:szCs w:val="28"/>
        </w:rPr>
      </w:pPr>
      <w:bookmarkStart w:id="9" w:name="_Toc203061354"/>
      <w:r>
        <w:rPr>
          <w:rFonts w:ascii="黑体" w:hAnsi="黑体" w:eastAsia="黑体" w:cs="Helvetica"/>
          <w:b/>
          <w:color w:val="000000" w:themeColor="text1"/>
          <w:kern w:val="0"/>
          <w:sz w:val="28"/>
          <w:szCs w:val="28"/>
        </w:rPr>
        <w:t>1</w:t>
      </w:r>
      <w:r>
        <w:rPr>
          <w:rFonts w:hint="eastAsia" w:ascii="黑体" w:hAnsi="黑体" w:eastAsia="黑体" w:cs="Helvetica"/>
          <w:b/>
          <w:color w:val="000000" w:themeColor="text1"/>
          <w:kern w:val="0"/>
          <w:sz w:val="28"/>
          <w:szCs w:val="28"/>
        </w:rPr>
        <w:t>.2.1</w:t>
      </w:r>
      <w:r>
        <w:rPr>
          <w:rFonts w:ascii="黑体" w:hAnsi="黑体" w:eastAsia="黑体" w:cs="Helvetica"/>
          <w:b/>
          <w:color w:val="000000" w:themeColor="text1"/>
          <w:kern w:val="0"/>
          <w:sz w:val="28"/>
          <w:szCs w:val="28"/>
        </w:rPr>
        <w:t xml:space="preserve"> </w:t>
      </w:r>
      <w:r>
        <w:rPr>
          <w:rFonts w:hint="eastAsia" w:ascii="黑体" w:hAnsi="黑体" w:eastAsia="黑体" w:cs="Helvetica"/>
          <w:b/>
          <w:color w:val="000000" w:themeColor="text1"/>
          <w:kern w:val="0"/>
          <w:sz w:val="28"/>
          <w:szCs w:val="28"/>
        </w:rPr>
        <w:t>产业发展概况</w:t>
      </w:r>
      <w:bookmarkEnd w:id="9"/>
    </w:p>
    <w:p>
      <w:pPr>
        <w:ind w:firstLine="480"/>
        <w:rPr>
          <w:rFonts w:asciiTheme="majorEastAsia" w:hAnsiTheme="majorEastAsia" w:eastAsiaTheme="majorEastAsia"/>
        </w:rPr>
      </w:pPr>
      <w:r>
        <w:rPr>
          <w:rFonts w:asciiTheme="majorEastAsia" w:hAnsiTheme="majorEastAsia" w:eastAsiaTheme="majorEastAsia"/>
        </w:rPr>
        <w:t>聊城市的农业运输机械</w:t>
      </w:r>
      <w:r>
        <w:rPr>
          <w:rFonts w:hint="eastAsia" w:asciiTheme="majorEastAsia" w:hAnsiTheme="majorEastAsia" w:eastAsiaTheme="majorEastAsia"/>
        </w:rPr>
        <w:t>产业</w:t>
      </w:r>
      <w:r>
        <w:rPr>
          <w:rFonts w:asciiTheme="majorEastAsia" w:hAnsiTheme="majorEastAsia" w:eastAsiaTheme="majorEastAsia"/>
        </w:rPr>
        <w:t>具有一定规模和特色</w:t>
      </w:r>
      <w:r>
        <w:rPr>
          <w:rFonts w:hint="eastAsia" w:asciiTheme="majorEastAsia" w:hAnsiTheme="majorEastAsia" w:eastAsiaTheme="majorEastAsia"/>
        </w:rPr>
        <w:t>。</w:t>
      </w:r>
    </w:p>
    <w:p>
      <w:pPr>
        <w:ind w:firstLine="480"/>
        <w:rPr>
          <w:rFonts w:asciiTheme="majorEastAsia" w:hAnsiTheme="majorEastAsia" w:eastAsiaTheme="majorEastAsia"/>
        </w:rPr>
      </w:pPr>
      <w:r>
        <w:rPr>
          <w:rFonts w:asciiTheme="majorEastAsia" w:hAnsiTheme="majorEastAsia" w:eastAsiaTheme="majorEastAsia"/>
        </w:rPr>
        <w:t>1.产业规模</w:t>
      </w:r>
    </w:p>
    <w:p>
      <w:pPr>
        <w:ind w:firstLine="480"/>
        <w:rPr>
          <w:rFonts w:asciiTheme="majorEastAsia" w:hAnsiTheme="majorEastAsia" w:eastAsiaTheme="majorEastAsia"/>
        </w:rPr>
      </w:pPr>
      <w:r>
        <w:rPr>
          <w:rFonts w:asciiTheme="majorEastAsia" w:hAnsiTheme="majorEastAsia" w:eastAsiaTheme="majorEastAsia"/>
        </w:rPr>
        <w:t>聊城市作为农业大市，农业机械产业基础雄厚。目前已形成年产农用车辆 130 万辆、发动机 150 万台、拖拉机 30 万台、联合收割机 3 万台的生产能力，实现年产值 200 亿元，从业人员 2 万余人的产业规模，其中拖拉机和三轮车产业在其中占据重要地位。</w:t>
      </w:r>
    </w:p>
    <w:p>
      <w:pPr>
        <w:ind w:firstLine="480"/>
        <w:rPr>
          <w:rFonts w:asciiTheme="majorEastAsia" w:hAnsiTheme="majorEastAsia" w:eastAsiaTheme="majorEastAsia"/>
        </w:rPr>
      </w:pPr>
      <w:r>
        <w:rPr>
          <w:rFonts w:hint="eastAsia" w:asciiTheme="majorEastAsia" w:hAnsiTheme="majorEastAsia" w:eastAsiaTheme="majorEastAsia"/>
        </w:rPr>
        <w:t>2</w:t>
      </w:r>
      <w:r>
        <w:rPr>
          <w:rFonts w:asciiTheme="majorEastAsia" w:hAnsiTheme="majorEastAsia" w:eastAsiaTheme="majorEastAsia"/>
        </w:rPr>
        <w:t>.</w:t>
      </w:r>
      <w:r>
        <w:rPr>
          <w:rFonts w:hint="eastAsia" w:asciiTheme="majorEastAsia" w:hAnsiTheme="majorEastAsia" w:eastAsiaTheme="majorEastAsia"/>
        </w:rPr>
        <w:t>企业竞争格局及市场竞争力</w:t>
      </w:r>
    </w:p>
    <w:p>
      <w:pPr>
        <w:ind w:firstLine="480"/>
        <w:rPr>
          <w:rFonts w:asciiTheme="majorEastAsia" w:hAnsiTheme="majorEastAsia" w:eastAsiaTheme="majorEastAsia"/>
        </w:rPr>
      </w:pPr>
      <w:r>
        <w:rPr>
          <w:rFonts w:hint="eastAsia" w:asciiTheme="majorEastAsia" w:hAnsiTheme="majorEastAsia" w:eastAsiaTheme="majorEastAsia"/>
        </w:rPr>
        <w:t>聊城市农业机械产业呈现出</w:t>
      </w:r>
      <w:r>
        <w:rPr>
          <w:rFonts w:asciiTheme="majorEastAsia" w:hAnsiTheme="majorEastAsia" w:eastAsiaTheme="majorEastAsia"/>
        </w:rPr>
        <w:t>大型企业主导，中小企业并存的</w:t>
      </w:r>
      <w:r>
        <w:rPr>
          <w:rFonts w:hint="eastAsia" w:asciiTheme="majorEastAsia" w:hAnsiTheme="majorEastAsia" w:eastAsiaTheme="majorEastAsia"/>
        </w:rPr>
        <w:t>企业竞争</w:t>
      </w:r>
      <w:r>
        <w:rPr>
          <w:rFonts w:asciiTheme="majorEastAsia" w:hAnsiTheme="majorEastAsia" w:eastAsiaTheme="majorEastAsia"/>
        </w:rPr>
        <w:t>格局。聊城农机生产厂家数量众多，但规模普遍较小</w:t>
      </w:r>
      <w:r>
        <w:rPr>
          <w:rFonts w:hint="eastAsia" w:asciiTheme="majorEastAsia" w:hAnsiTheme="majorEastAsia" w:eastAsiaTheme="majorEastAsia"/>
        </w:rPr>
        <w:t>，</w:t>
      </w:r>
      <w:r>
        <w:rPr>
          <w:rFonts w:asciiTheme="majorEastAsia" w:hAnsiTheme="majorEastAsia" w:eastAsiaTheme="majorEastAsia"/>
        </w:rPr>
        <w:t>大型企业在聊城农机行业占据主导地位，市场份额较高。例如山东时风（集团）有限责任公司是知名企业，在拖拉机和三轮车生产方面具有较强实力，产品不仅在国内市场有较高的占有率，还受到加纳、赞比亚、摩洛哥、坦桑尼亚等国外客商青睐</w:t>
      </w:r>
      <w:r>
        <w:rPr>
          <w:rFonts w:hint="eastAsia" w:asciiTheme="majorEastAsia" w:hAnsiTheme="majorEastAsia" w:eastAsiaTheme="majorEastAsia"/>
        </w:rPr>
        <w:t>。</w:t>
      </w:r>
      <w:r>
        <w:rPr>
          <w:rFonts w:asciiTheme="majorEastAsia" w:hAnsiTheme="majorEastAsia" w:eastAsiaTheme="majorEastAsia"/>
        </w:rPr>
        <w:t>众多中小企业产品差异化程度较低，同质化竞争现象较为严重，导致市场竞争激烈</w:t>
      </w:r>
    </w:p>
    <w:p>
      <w:pPr>
        <w:ind w:firstLine="480"/>
        <w:rPr>
          <w:rFonts w:asciiTheme="majorEastAsia" w:hAnsiTheme="majorEastAsia" w:eastAsiaTheme="majorEastAsia"/>
        </w:rPr>
      </w:pPr>
      <w:r>
        <w:rPr>
          <w:rFonts w:asciiTheme="majorEastAsia" w:hAnsiTheme="majorEastAsia" w:eastAsiaTheme="majorEastAsia"/>
        </w:rPr>
        <w:t>时风集团是聊城拖拉机和三轮车产业的龙头企业，其产品种类丰富，涵盖三轮汽车、拖拉机等，在国内外市场都有较高的知名度和市场份额。该公司从农用车生产企业转变为集三轮汽车、拖拉机、商用汽车、发动机制造，以及化纤、光伏 + 储能等新业态于一体的多元化产业集团。2024 年，时风集团实现产值 114.5 亿元，同比增长 7.8%；国际贸易额达 7319 万美元，同比增长 58%，并入选 2024 聊城市综合百强企业，跃居第四位。</w:t>
      </w:r>
    </w:p>
    <w:p>
      <w:pPr>
        <w:ind w:firstLine="480"/>
        <w:rPr>
          <w:rFonts w:asciiTheme="majorEastAsia" w:hAnsiTheme="majorEastAsia" w:eastAsiaTheme="majorEastAsia"/>
        </w:rPr>
      </w:pPr>
      <w:r>
        <w:rPr>
          <w:rFonts w:asciiTheme="majorEastAsia" w:hAnsiTheme="majorEastAsia" w:eastAsiaTheme="majorEastAsia"/>
        </w:rPr>
        <w:t>2024 年前 11 个月，聊城市出口以三轮车为主的货车 3159 辆，同比增长 63%，价值 5517.9 万元，同比增长 70.8%，三轮车以高性价比、实用性强的特点，在非洲市场广受欢迎，对非出口占比超 9 成。</w:t>
      </w:r>
    </w:p>
    <w:p>
      <w:pPr>
        <w:ind w:firstLine="480"/>
        <w:rPr>
          <w:rFonts w:asciiTheme="majorEastAsia" w:hAnsiTheme="majorEastAsia" w:eastAsiaTheme="majorEastAsia"/>
        </w:rPr>
      </w:pPr>
      <w:r>
        <w:rPr>
          <w:rFonts w:asciiTheme="majorEastAsia" w:hAnsiTheme="majorEastAsia" w:eastAsiaTheme="majorEastAsia"/>
        </w:rPr>
        <w:t>3.</w:t>
      </w:r>
      <w:r>
        <w:rPr>
          <w:rFonts w:hint="eastAsia" w:asciiTheme="majorEastAsia" w:hAnsiTheme="majorEastAsia" w:eastAsiaTheme="majorEastAsia"/>
        </w:rPr>
        <w:t>产业发展优势</w:t>
      </w:r>
    </w:p>
    <w:p>
      <w:pPr>
        <w:ind w:firstLine="480"/>
        <w:rPr>
          <w:rFonts w:asciiTheme="majorEastAsia" w:hAnsiTheme="majorEastAsia" w:eastAsiaTheme="majorEastAsia"/>
        </w:rPr>
      </w:pPr>
      <w:r>
        <w:rPr>
          <w:rFonts w:asciiTheme="majorEastAsia" w:hAnsiTheme="majorEastAsia" w:eastAsiaTheme="majorEastAsia"/>
        </w:rPr>
        <w:t>地理位置优越：聊城位于山东省西部，地处鲁西平原，是连接华北和华东的重要交通枢纽，便于农业机械的运输和销售，能够辐射周边广阔的市场。</w:t>
      </w:r>
    </w:p>
    <w:p>
      <w:pPr>
        <w:ind w:firstLine="480"/>
        <w:rPr>
          <w:rFonts w:asciiTheme="majorEastAsia" w:hAnsiTheme="majorEastAsia" w:eastAsiaTheme="majorEastAsia"/>
        </w:rPr>
      </w:pPr>
      <w:r>
        <w:rPr>
          <w:rFonts w:asciiTheme="majorEastAsia" w:hAnsiTheme="majorEastAsia" w:eastAsiaTheme="majorEastAsia"/>
        </w:rPr>
        <w:t>农业基础雄厚：作为农业大市，聊城对农业机械的需求量巨大。当地农业生产对拖拉机、三轮车等农业机械的依赖程度高，为产业发展提供了稳定的本地市场需求。</w:t>
      </w:r>
    </w:p>
    <w:p>
      <w:pPr>
        <w:ind w:firstLine="480"/>
        <w:rPr>
          <w:rFonts w:asciiTheme="majorEastAsia" w:hAnsiTheme="majorEastAsia" w:eastAsiaTheme="majorEastAsia"/>
        </w:rPr>
      </w:pPr>
      <w:r>
        <w:rPr>
          <w:rFonts w:asciiTheme="majorEastAsia" w:hAnsiTheme="majorEastAsia" w:eastAsiaTheme="majorEastAsia"/>
        </w:rPr>
        <w:t>产业集群效应：聊城农机企业在地域上形成了多个产业集聚区，通过资源共享和协同发展，降低了生产成本，提高了整个行业的竞争力。</w:t>
      </w:r>
    </w:p>
    <w:p>
      <w:pPr>
        <w:ind w:firstLine="480"/>
        <w:rPr>
          <w:rFonts w:asciiTheme="majorEastAsia" w:hAnsiTheme="majorEastAsia" w:eastAsiaTheme="majorEastAsia"/>
        </w:rPr>
      </w:pPr>
      <w:r>
        <w:rPr>
          <w:rFonts w:asciiTheme="majorEastAsia" w:hAnsiTheme="majorEastAsia" w:eastAsiaTheme="majorEastAsia"/>
        </w:rPr>
        <w:t>政策支持有力：国家和地方政府对农业机械化高度重视，出台了一系列政策支持农机行业发展，如农机购置补贴政策、农机报废更新政策等，为聊城农业机械产业发展提供了良好的政策环境。</w:t>
      </w:r>
    </w:p>
    <w:p>
      <w:pPr>
        <w:ind w:firstLine="480"/>
        <w:rPr>
          <w:rFonts w:asciiTheme="majorEastAsia" w:hAnsiTheme="majorEastAsia" w:eastAsiaTheme="majorEastAsia"/>
        </w:rPr>
      </w:pPr>
      <w:r>
        <w:rPr>
          <w:rFonts w:hint="eastAsia" w:asciiTheme="majorEastAsia" w:hAnsiTheme="majorEastAsia" w:eastAsiaTheme="majorEastAsia"/>
        </w:rPr>
        <w:t>4</w:t>
      </w:r>
      <w:r>
        <w:rPr>
          <w:rFonts w:asciiTheme="majorEastAsia" w:hAnsiTheme="majorEastAsia" w:eastAsiaTheme="majorEastAsia"/>
        </w:rPr>
        <w:t>.</w:t>
      </w:r>
      <w:r>
        <w:rPr>
          <w:rFonts w:hint="eastAsia" w:asciiTheme="majorEastAsia" w:hAnsiTheme="majorEastAsia" w:eastAsiaTheme="majorEastAsia"/>
        </w:rPr>
        <w:t>产业发展面临的挑战</w:t>
      </w:r>
    </w:p>
    <w:p>
      <w:pPr>
        <w:ind w:firstLine="480"/>
        <w:rPr>
          <w:rFonts w:asciiTheme="majorEastAsia" w:hAnsiTheme="majorEastAsia" w:eastAsiaTheme="majorEastAsia"/>
        </w:rPr>
      </w:pPr>
      <w:r>
        <w:rPr>
          <w:rFonts w:asciiTheme="majorEastAsia" w:hAnsiTheme="majorEastAsia" w:eastAsiaTheme="majorEastAsia"/>
        </w:rPr>
        <w:t>技术创新不足：虽然聊城农机行业在技术研发和产品创新方面取得了一定成果，但与发达地区相比，整体技术水平仍有待提高，高端产品研发能力相对较弱，关键核心技术仍需依赖进口。</w:t>
      </w:r>
    </w:p>
    <w:p>
      <w:pPr>
        <w:ind w:firstLine="480"/>
        <w:rPr>
          <w:rFonts w:asciiTheme="majorEastAsia" w:hAnsiTheme="majorEastAsia" w:eastAsiaTheme="majorEastAsia"/>
        </w:rPr>
      </w:pPr>
      <w:r>
        <w:rPr>
          <w:rFonts w:asciiTheme="majorEastAsia" w:hAnsiTheme="majorEastAsia" w:eastAsiaTheme="majorEastAsia"/>
        </w:rPr>
        <w:t>企业规模较小：聊城市农机生产厂家数量众多，但规模普遍较小，缺乏具有国际竞争力的大型龙头企业，在市场竞争中难以与国内外大型农机企业抗衡。</w:t>
      </w:r>
    </w:p>
    <w:p>
      <w:pPr>
        <w:ind w:firstLine="480"/>
        <w:rPr>
          <w:rFonts w:asciiTheme="majorEastAsia" w:hAnsiTheme="majorEastAsia" w:eastAsiaTheme="majorEastAsia"/>
        </w:rPr>
      </w:pPr>
      <w:r>
        <w:rPr>
          <w:rFonts w:asciiTheme="majorEastAsia" w:hAnsiTheme="majorEastAsia" w:eastAsiaTheme="majorEastAsia"/>
        </w:rPr>
        <w:t>产品同质化严重：各生产厂家的产品差异化程度较低，同质化竞争现象较为严重，导致市场竞争激烈，企业利润空间受到压缩。</w:t>
      </w:r>
    </w:p>
    <w:p>
      <w:pPr>
        <w:ind w:firstLine="480"/>
        <w:rPr>
          <w:rFonts w:asciiTheme="majorEastAsia" w:hAnsiTheme="majorEastAsia" w:eastAsiaTheme="majorEastAsia"/>
        </w:rPr>
      </w:pPr>
      <w:r>
        <w:rPr>
          <w:rFonts w:asciiTheme="majorEastAsia" w:hAnsiTheme="majorEastAsia" w:eastAsiaTheme="majorEastAsia"/>
        </w:rPr>
        <w:t>人才短缺：农机行业的发展需要大量专业技术人才和管理人才，但聊城地处相对欠发达地区，对人才的吸引力不足，人才短缺问题较为突出，制约了产业的发展。</w:t>
      </w:r>
    </w:p>
    <w:p>
      <w:pPr>
        <w:ind w:firstLine="480"/>
        <w:rPr>
          <w:rFonts w:asciiTheme="majorEastAsia" w:hAnsiTheme="majorEastAsia" w:eastAsiaTheme="majorEastAsia"/>
        </w:rPr>
      </w:pPr>
      <w:r>
        <w:rPr>
          <w:rFonts w:asciiTheme="majorEastAsia" w:hAnsiTheme="majorEastAsia" w:eastAsiaTheme="majorEastAsia"/>
        </w:rPr>
        <w:t>5.</w:t>
      </w:r>
      <w:r>
        <w:rPr>
          <w:rFonts w:hint="eastAsia" w:asciiTheme="majorEastAsia" w:hAnsiTheme="majorEastAsia" w:eastAsiaTheme="majorEastAsia"/>
        </w:rPr>
        <w:t>产业发展</w:t>
      </w:r>
      <w:r>
        <w:rPr>
          <w:rFonts w:asciiTheme="majorEastAsia" w:hAnsiTheme="majorEastAsia" w:eastAsiaTheme="majorEastAsia"/>
        </w:rPr>
        <w:t>政策</w:t>
      </w:r>
      <w:r>
        <w:rPr>
          <w:rFonts w:hint="eastAsia" w:asciiTheme="majorEastAsia" w:hAnsiTheme="majorEastAsia" w:eastAsiaTheme="majorEastAsia"/>
        </w:rPr>
        <w:t>环境</w:t>
      </w:r>
    </w:p>
    <w:p>
      <w:pPr>
        <w:ind w:firstLine="480"/>
        <w:rPr>
          <w:rFonts w:asciiTheme="majorEastAsia" w:hAnsiTheme="majorEastAsia" w:eastAsiaTheme="majorEastAsia"/>
        </w:rPr>
      </w:pPr>
      <w:r>
        <w:rPr>
          <w:rFonts w:asciiTheme="majorEastAsia" w:hAnsiTheme="majorEastAsia" w:eastAsiaTheme="majorEastAsia"/>
        </w:rPr>
        <w:t>国家及地方政府对农业机械化给予了一系列政策优惠，如财政补贴、税收优惠等，为拖拉机和三轮车产业的发展提供了良好的政策环境。聊城市还建立了由 14 个部门组成的产业链工作专班，深入开展产业链巡链诊链融链固链、招商引资等活动，为相关企业提供全方位服务，全力助推产业高质量发展</w:t>
      </w:r>
      <w:r>
        <w:rPr>
          <w:rFonts w:hint="eastAsia" w:asciiTheme="majorEastAsia" w:hAnsiTheme="majorEastAsia" w:eastAsiaTheme="majorEastAsia"/>
        </w:rPr>
        <w:t>。</w:t>
      </w:r>
    </w:p>
    <w:p>
      <w:pPr>
        <w:ind w:firstLine="480"/>
      </w:pPr>
      <w:r>
        <w:t>总体而言，</w:t>
      </w:r>
      <w:r>
        <w:rPr>
          <w:rFonts w:ascii="Segoe UI" w:hAnsi="Segoe UI" w:cs="Segoe UI"/>
          <w:shd w:val="clear" w:color="auto" w:fill="FFFFFF"/>
        </w:rPr>
        <w:t>聊城市农业机械产业在拖拉机和三轮车领域有一定的产业基础和规模，但也面临着企业创新能力需进一步提升、产品同质化等挑战，在政策的支持下，产业正朝着转型升级的方向发展。</w:t>
      </w:r>
    </w:p>
    <w:p>
      <w:pPr>
        <w:ind w:firstLine="562"/>
        <w:outlineLvl w:val="2"/>
        <w:rPr>
          <w:rFonts w:ascii="黑体" w:hAnsi="黑体" w:eastAsia="黑体" w:cs="Helvetica"/>
          <w:b/>
          <w:color w:val="000000" w:themeColor="text1"/>
          <w:kern w:val="0"/>
          <w:sz w:val="28"/>
          <w:szCs w:val="28"/>
        </w:rPr>
      </w:pPr>
      <w:bookmarkStart w:id="10" w:name="_Toc203061355"/>
      <w:r>
        <w:rPr>
          <w:rFonts w:ascii="黑体" w:hAnsi="黑体" w:eastAsia="黑体" w:cs="Helvetica"/>
          <w:b/>
          <w:color w:val="000000" w:themeColor="text1"/>
          <w:kern w:val="0"/>
          <w:sz w:val="28"/>
          <w:szCs w:val="28"/>
        </w:rPr>
        <w:t>1</w:t>
      </w:r>
      <w:r>
        <w:rPr>
          <w:rFonts w:hint="eastAsia" w:ascii="黑体" w:hAnsi="黑体" w:eastAsia="黑体" w:cs="Helvetica"/>
          <w:b/>
          <w:color w:val="000000" w:themeColor="text1"/>
          <w:kern w:val="0"/>
          <w:sz w:val="28"/>
          <w:szCs w:val="28"/>
        </w:rPr>
        <w:t>.2.2</w:t>
      </w:r>
      <w:r>
        <w:rPr>
          <w:rFonts w:ascii="黑体" w:hAnsi="黑体" w:eastAsia="黑体" w:cs="Helvetica"/>
          <w:b/>
          <w:color w:val="000000" w:themeColor="text1"/>
          <w:kern w:val="0"/>
          <w:sz w:val="28"/>
          <w:szCs w:val="28"/>
        </w:rPr>
        <w:t xml:space="preserve"> </w:t>
      </w:r>
      <w:r>
        <w:rPr>
          <w:rFonts w:hint="eastAsia" w:ascii="黑体" w:hAnsi="黑体" w:eastAsia="黑体" w:cs="Helvetica"/>
          <w:b/>
          <w:color w:val="000000" w:themeColor="text1"/>
          <w:kern w:val="0"/>
          <w:sz w:val="28"/>
          <w:szCs w:val="28"/>
        </w:rPr>
        <w:t>重点企业</w:t>
      </w:r>
      <w:bookmarkEnd w:id="10"/>
    </w:p>
    <w:p>
      <w:pPr>
        <w:ind w:firstLine="482"/>
        <w:rPr>
          <w:rFonts w:cs="Times New Roman" w:asciiTheme="minorEastAsia" w:hAnsiTheme="minorEastAsia" w:eastAsiaTheme="minorEastAsia"/>
          <w:b/>
          <w:bCs/>
        </w:rPr>
      </w:pPr>
      <w:r>
        <w:rPr>
          <w:rFonts w:cs="Times New Roman" w:asciiTheme="minorEastAsia" w:hAnsiTheme="minorEastAsia" w:eastAsiaTheme="minorEastAsia"/>
          <w:b/>
          <w:bCs/>
        </w:rPr>
        <w:t>1.时风集团</w:t>
      </w:r>
    </w:p>
    <w:p>
      <w:pPr>
        <w:ind w:firstLine="480"/>
        <w:rPr>
          <w:rFonts w:cs="Times New Roman" w:asciiTheme="minorEastAsia" w:hAnsiTheme="minorEastAsia" w:eastAsiaTheme="minorEastAsia"/>
        </w:rPr>
      </w:pPr>
      <w:r>
        <w:rPr>
          <w:rFonts w:cs="Times New Roman" w:asciiTheme="minorEastAsia" w:hAnsiTheme="minorEastAsia" w:eastAsiaTheme="minorEastAsia"/>
        </w:rPr>
        <w:t>山东时风（集团）有限责任公司成立于 1993 年 5 月 18 日，其前身可追溯至 1963 年的城关修配社。时风是一家以农用车为主业、多元化经营的大型企业集团，总占地 1500 亩，干部职工 28000 余人。</w:t>
      </w:r>
    </w:p>
    <w:p>
      <w:pPr>
        <w:ind w:firstLine="480"/>
        <w:rPr>
          <w:rFonts w:cs="Times New Roman" w:asciiTheme="minorEastAsia" w:hAnsiTheme="minorEastAsia" w:eastAsiaTheme="minorEastAsia"/>
        </w:rPr>
      </w:pPr>
      <w:r>
        <w:rPr>
          <w:rFonts w:cs="Times New Roman" w:asciiTheme="minorEastAsia" w:hAnsiTheme="minorEastAsia" w:eastAsiaTheme="minorEastAsia"/>
        </w:rPr>
        <w:t>时风集团聚焦国家新四化战略构想，建设了六大产业园，包括农用汽车产业园、农业装备产业园、热电产业园、锦纶工业布产业园、商用汽车产业园和现代农业装备产业园。公司主导产品涵盖三轮汽车、轻卡汽车、电动车、拖拉机、发动机、轮胎、联合收割机等。其中，三轮汽车产品配置完善、功能齐全、造型完美；轻卡汽车是战略产品，车身实现全数字化设计等先进工艺；拖拉机产品类型多样；自主研制的新一代环保型单缸发动机具有低排放、低噪音等优点；时风巨兴轮胎产品规格丰富，形成了较大的生产能力；玉米收获机等新兴产品也获得了市场的认可。</w:t>
      </w:r>
    </w:p>
    <w:p>
      <w:pPr>
        <w:ind w:firstLine="480"/>
        <w:rPr>
          <w:rFonts w:cs="Times New Roman" w:asciiTheme="minorEastAsia" w:hAnsiTheme="minorEastAsia" w:eastAsiaTheme="minorEastAsia"/>
        </w:rPr>
      </w:pPr>
      <w:r>
        <w:rPr>
          <w:rFonts w:cs="Times New Roman" w:asciiTheme="minorEastAsia" w:hAnsiTheme="minorEastAsia" w:eastAsiaTheme="minorEastAsia"/>
        </w:rPr>
        <w:t>在技术创新方面，时风集团设有国家级工业设计中心、国家认定企业技术中心等科研机构，建有时风中央研究院，下设 15 个研究所。公司利用 “互联网 + 时风制造”，对多种工艺和装备进行自动化、智能化和机器人化改造，引进大量高端智能设备，走进高端智慧制造新时代。</w:t>
      </w:r>
    </w:p>
    <w:p>
      <w:pPr>
        <w:ind w:firstLine="480"/>
        <w:rPr>
          <w:rFonts w:cs="Times New Roman" w:asciiTheme="minorEastAsia" w:hAnsiTheme="minorEastAsia" w:eastAsiaTheme="minorEastAsia"/>
        </w:rPr>
      </w:pPr>
      <w:r>
        <w:rPr>
          <w:rFonts w:cs="Times New Roman" w:asciiTheme="minorEastAsia" w:hAnsiTheme="minorEastAsia" w:eastAsiaTheme="minorEastAsia"/>
        </w:rPr>
        <w:t>时风集团市场网络强大，拥有 1500 多个营销网点和 2000 多家配套企业，产品远销美国、墨西哥、阿尔巴尼亚等 50 多个国家。企业荣誉众多，先后获得全国五一劳动奖、国家创新型企业等称号。经济规模也较为可观，2023 年完成工业产值 106.19 亿元，同比增长10%。</w:t>
      </w:r>
    </w:p>
    <w:p>
      <w:pPr>
        <w:ind w:firstLine="480"/>
        <w:rPr>
          <w:rFonts w:cs="Times New Roman" w:asciiTheme="minorEastAsia" w:hAnsiTheme="minorEastAsia" w:eastAsiaTheme="minorEastAsia"/>
        </w:rPr>
      </w:pPr>
      <w:r>
        <w:rPr>
          <w:rFonts w:cs="Times New Roman" w:asciiTheme="minorEastAsia" w:hAnsiTheme="minorEastAsia" w:eastAsiaTheme="minorEastAsia"/>
        </w:rPr>
        <w:t>多年来，时风集团凭借强大的实力和不断创新的精神，在农业机械等领域占据重要地位，为中国农业机械化发展和农村经济建设做出了重要贡献。</w:t>
      </w:r>
    </w:p>
    <w:p>
      <w:pPr>
        <w:ind w:firstLine="480"/>
        <w:rPr>
          <w:rFonts w:cs="Times New Roman" w:asciiTheme="minorEastAsia" w:hAnsiTheme="minorEastAsia" w:eastAsiaTheme="minorEastAsia"/>
        </w:rPr>
      </w:pPr>
      <w:r>
        <w:rPr>
          <w:rFonts w:hint="eastAsia" w:cs="Times New Roman" w:asciiTheme="minorEastAsia" w:hAnsiTheme="minorEastAsia" w:eastAsiaTheme="minorEastAsia"/>
        </w:rPr>
        <w:t>当前，</w:t>
      </w:r>
      <w:r>
        <w:rPr>
          <w:rFonts w:cs="Times New Roman" w:asciiTheme="minorEastAsia" w:hAnsiTheme="minorEastAsia" w:eastAsiaTheme="minorEastAsia"/>
        </w:rPr>
        <w:t>山东</w:t>
      </w:r>
      <w:bookmarkStart w:id="11" w:name="OLE_LINK8"/>
      <w:r>
        <w:rPr>
          <w:rFonts w:cs="Times New Roman" w:asciiTheme="minorEastAsia" w:hAnsiTheme="minorEastAsia" w:eastAsiaTheme="minorEastAsia"/>
        </w:rPr>
        <w:t>泉林秸秆</w:t>
      </w:r>
      <w:bookmarkEnd w:id="11"/>
      <w:r>
        <w:rPr>
          <w:rFonts w:cs="Times New Roman" w:asciiTheme="minorEastAsia" w:hAnsiTheme="minorEastAsia" w:eastAsiaTheme="minorEastAsia"/>
        </w:rPr>
        <w:t>高科环保股份有限公司</w:t>
      </w:r>
      <w:r>
        <w:rPr>
          <w:rFonts w:hint="eastAsia" w:cs="Times New Roman" w:asciiTheme="minorEastAsia" w:hAnsiTheme="minorEastAsia" w:eastAsiaTheme="minorEastAsia"/>
        </w:rPr>
        <w:t>共申请专利</w:t>
      </w:r>
      <w:r>
        <w:rPr>
          <w:rFonts w:cs="Times New Roman" w:asciiTheme="minorEastAsia" w:hAnsiTheme="minorEastAsia" w:eastAsiaTheme="minorEastAsia"/>
        </w:rPr>
        <w:t>10</w:t>
      </w:r>
      <w:r>
        <w:rPr>
          <w:rFonts w:hint="eastAsia" w:cs="Times New Roman" w:asciiTheme="minorEastAsia" w:hAnsiTheme="minorEastAsia" w:eastAsiaTheme="minorEastAsia"/>
        </w:rPr>
        <w:t>件，包括发明专利</w:t>
      </w:r>
      <w:r>
        <w:rPr>
          <w:rFonts w:cs="Times New Roman" w:asciiTheme="minorEastAsia" w:hAnsiTheme="minorEastAsia" w:eastAsiaTheme="minorEastAsia"/>
        </w:rPr>
        <w:t>6</w:t>
      </w:r>
      <w:r>
        <w:rPr>
          <w:rFonts w:hint="eastAsia" w:cs="Times New Roman" w:asciiTheme="minorEastAsia" w:hAnsiTheme="minorEastAsia" w:eastAsiaTheme="minorEastAsia"/>
        </w:rPr>
        <w:t>件，实用新型</w:t>
      </w:r>
      <w:r>
        <w:rPr>
          <w:rFonts w:cs="Times New Roman" w:asciiTheme="minorEastAsia" w:hAnsiTheme="minorEastAsia" w:eastAsiaTheme="minorEastAsia"/>
        </w:rPr>
        <w:t>3</w:t>
      </w:r>
      <w:r>
        <w:rPr>
          <w:rFonts w:hint="eastAsia" w:cs="Times New Roman" w:asciiTheme="minorEastAsia" w:hAnsiTheme="minorEastAsia" w:eastAsiaTheme="minorEastAsia"/>
        </w:rPr>
        <w:t>件，外观设计1件。</w:t>
      </w:r>
    </w:p>
    <w:p>
      <w:pPr>
        <w:pStyle w:val="20"/>
        <w:shd w:val="clear" w:color="auto" w:fill="FFFFFF"/>
        <w:ind w:firstLine="0" w:firstLineChars="0"/>
        <w:jc w:val="center"/>
        <w:rPr>
          <w:rFonts w:cs="Helvetica" w:asciiTheme="minorEastAsia" w:hAnsiTheme="minorEastAsia" w:eastAsiaTheme="minorEastAsia"/>
          <w:b/>
          <w:color w:val="000000" w:themeColor="text1"/>
        </w:rPr>
      </w:pPr>
      <w:r>
        <w:rPr>
          <w:rFonts w:hint="eastAsia" w:cs="Helvetica" w:asciiTheme="minorEastAsia" w:hAnsiTheme="minorEastAsia" w:eastAsiaTheme="minorEastAsia"/>
          <w:b/>
          <w:color w:val="000000" w:themeColor="text1"/>
        </w:rPr>
        <w:t>表</w:t>
      </w:r>
      <w:r>
        <w:rPr>
          <w:rFonts w:cs="Helvetica" w:asciiTheme="minorEastAsia" w:hAnsiTheme="minorEastAsia" w:eastAsiaTheme="minorEastAsia"/>
          <w:b/>
          <w:color w:val="000000" w:themeColor="text1"/>
        </w:rPr>
        <w:t xml:space="preserve">1.2-1 </w:t>
      </w:r>
      <w:r>
        <w:rPr>
          <w:rFonts w:hint="eastAsia" w:cs="Helvetica" w:asciiTheme="minorEastAsia" w:hAnsiTheme="minorEastAsia" w:eastAsiaTheme="minorEastAsia"/>
          <w:b/>
          <w:color w:val="000000" w:themeColor="text1"/>
        </w:rPr>
        <w:t>时风集团专利列表（部分）</w:t>
      </w:r>
    </w:p>
    <w:tbl>
      <w:tblPr>
        <w:tblStyle w:val="21"/>
        <w:tblW w:w="5000" w:type="pct"/>
        <w:tblInd w:w="0" w:type="dxa"/>
        <w:tblLayout w:type="autofit"/>
        <w:tblCellMar>
          <w:top w:w="0" w:type="dxa"/>
          <w:left w:w="108" w:type="dxa"/>
          <w:bottom w:w="0" w:type="dxa"/>
          <w:right w:w="108" w:type="dxa"/>
        </w:tblCellMar>
      </w:tblPr>
      <w:tblGrid>
        <w:gridCol w:w="460"/>
        <w:gridCol w:w="1612"/>
        <w:gridCol w:w="1612"/>
        <w:gridCol w:w="1612"/>
        <w:gridCol w:w="1613"/>
        <w:gridCol w:w="1613"/>
      </w:tblGrid>
      <w:tr>
        <w:tblPrEx>
          <w:tblCellMar>
            <w:top w:w="0" w:type="dxa"/>
            <w:left w:w="108" w:type="dxa"/>
            <w:bottom w:w="0" w:type="dxa"/>
            <w:right w:w="108" w:type="dxa"/>
          </w:tblCellMar>
        </w:tblPrEx>
        <w:trPr>
          <w:trHeight w:val="31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序号</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公开号</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标题</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当前申请人</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申请日</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法律状态/事件</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CN108146226B</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拖拉机热管理智能控制系统及其低功耗自动冷却的方法</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2017-12-12</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CN108547926B</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一种拖拉机自动变速传动装置</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2018-04-19</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3</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CN201030788Y</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手扶拖拉机</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2007-01-30</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4</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CN201496485U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轮式拖拉机变速传动装置</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2009-09-25</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5</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CN201907483U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一种三轮汽车前轮转向锁定系统</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2010-12-29</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6</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CN201922889U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一种三轮汽车暖风系统</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2010-12-27</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7</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CN202358080U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三轮汽车液压前轮制动系统</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2011-12-15</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8</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CN202703555U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三轮汽车碟刹前轮制动系统</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2012-08-27</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9</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CN202923707U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一种四轮驱动的拖拉机液压转向系统</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2012-12-14</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10</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CN202946623U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一种拖拉机变速箱总成</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2012-12-14</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11</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CN203005087U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四轮拖拉机直联传动机构</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2013-04-22</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12</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CN203567888U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电动三轮车用电控驻车装置</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2013-10-29</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13</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CN203920527U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一种三轮自卸汽车</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2014-06-30</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14</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CN205824087U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一种新型传动方式的拖拉机变速箱后桥总成</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2016-07-29</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15</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CN205931127U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一种前叉转向装置及蓄电池三轮车</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山东久久星新能源车辆科技有限公司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2016-08-20</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16</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CN205931135U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前叉支撑装置、前叉系统及蓄电池三轮车</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山东久久星新能源车辆科技有限公司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2016-08-20</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17</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CN206201995U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充电口组件以及电动三轮车</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山东久久星新能源车辆科技有限公司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2016-11-30</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18</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CN207128536U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一种应用于三轮汽车的空气悬架装置</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2017-09-05</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19</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CN207128989U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一种应用于三轮汽车的电动助力转向装置</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2017-09-05</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20</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CN207989441U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一种拖拉机电控液压悬挂装置</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2018-03-13</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21</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CN208119325U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一种微型电动乘用三轮车</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山东明爵新能源科技有限公司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2018-04-23</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22</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CN208153647U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一种拖拉机动力换挡装置</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2018-04-19</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23</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CN209274351U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一种电驱动的拖拉机变速装置</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2018-11-12</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24</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CN209274800U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一种全封电动三轮摩托车的中央暖风系统</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2018-12-17</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25</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CN210920002U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一种主副变速多档位三轮汽车联体后桥变速箱</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2019-06-24</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26</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CN220147142U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一种单缸发动机三轮汽车轴传动结构</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 | 山东时风商用车有限公司 | 高唐县农用车制造厂</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2023-05-31</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27</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CN221111703U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一种三轮车生产用车架工装台</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2023-11-21</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28</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CN221329514U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一种小型拖拉机用的滑阀强压升降装置</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 | 山东时风(集团)聊城农业装备有限公司 | 高唐县农用车制造厂</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2023-10-17</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29</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CN222246989U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一种具有装卸和自装功能的三轮车</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 | 山东时风商用车有限公司 | 高唐县农用车制造厂</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2024-05-31</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30</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CN2541234Y</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一种拖拉机档位锁定装置</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2002-05-15</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31</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CN2649440Y</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农用三轮车双并联液压制动装置</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2003-06-21</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全部撤销 | 无效程序 | 权利转移</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32</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CN2656194Y</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单缸机三轮农用车复合式传动机构</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2003-10-27</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33</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CN2750973Y</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机动三轮车减震器加强辅助装置</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2004-10-12</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34</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CN2751140Y</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小型拖拉机消声器</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2004-09-03</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35</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CN2825339Y</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带暖风装置驾驶室的小四轮拖拉机</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2004-11-24</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36</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CN2854117Y</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电起动手扶拖拉机</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2005-12-31</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37</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CN2871977Y</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拖拉机变速箱总成</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2006-01-25</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38</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CN2878148Y</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单缸双回路气刹制动三轮车</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2006-03-16</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39</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CN2913056Y</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轮式拖拉机后轮复合配重</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2006-03-16</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40</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CN2920707Y</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轮式拖拉机复合前配重</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山东时风(集团)有限责任公司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2006-03-21</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bl>
    <w:p>
      <w:pPr>
        <w:ind w:firstLine="480"/>
        <w:rPr>
          <w:rFonts w:ascii="Segoe UI" w:hAnsi="Segoe UI" w:cs="Segoe UI"/>
          <w:shd w:val="clear" w:color="auto" w:fill="FFFFFF"/>
        </w:rPr>
      </w:pPr>
    </w:p>
    <w:p>
      <w:pPr>
        <w:ind w:firstLine="482"/>
        <w:rPr>
          <w:rFonts w:cs="Times New Roman" w:asciiTheme="minorEastAsia" w:hAnsiTheme="minorEastAsia" w:eastAsiaTheme="minorEastAsia"/>
          <w:b/>
          <w:bCs/>
        </w:rPr>
      </w:pPr>
      <w:r>
        <w:rPr>
          <w:rFonts w:cs="Times New Roman" w:asciiTheme="minorEastAsia" w:hAnsiTheme="minorEastAsia" w:eastAsiaTheme="minorEastAsia"/>
          <w:b/>
          <w:bCs/>
        </w:rPr>
        <w:t>2.</w:t>
      </w:r>
      <w:bookmarkStart w:id="12" w:name="OLE_LINK1"/>
      <w:r>
        <w:rPr>
          <w:rFonts w:ascii="Segoe UI" w:hAnsi="Segoe UI" w:cs="Segoe UI"/>
          <w:b/>
          <w:bCs/>
          <w:shd w:val="clear" w:color="auto" w:fill="FFFFFF"/>
        </w:rPr>
        <w:t>山东双力车辆有限公司</w:t>
      </w:r>
      <w:bookmarkEnd w:id="12"/>
    </w:p>
    <w:p>
      <w:pPr>
        <w:ind w:firstLine="480"/>
        <w:rPr>
          <w:rFonts w:asciiTheme="majorEastAsia" w:hAnsiTheme="majorEastAsia" w:eastAsiaTheme="majorEastAsia"/>
        </w:rPr>
      </w:pPr>
      <w:r>
        <w:rPr>
          <w:rFonts w:asciiTheme="majorEastAsia" w:hAnsiTheme="majorEastAsia" w:eastAsiaTheme="majorEastAsia"/>
        </w:rPr>
        <w:t>山东双力车辆有限公司是聊城市重点民营企业和中国农用运输车辆协会常务理事单位，2006年底由冠县振兴机械厂与双力集团重组而成。公司现有职工600余人，资产2.5亿元，拥有600余台套先进生产装备，其总装、电泳涂装等多条生产线居行业先进水平，具备年生产10万台套的能力。</w:t>
      </w:r>
    </w:p>
    <w:p>
      <w:pPr>
        <w:ind w:firstLine="480"/>
        <w:rPr>
          <w:rFonts w:asciiTheme="majorEastAsia" w:hAnsiTheme="majorEastAsia" w:eastAsiaTheme="majorEastAsia"/>
        </w:rPr>
      </w:pPr>
      <w:r>
        <w:rPr>
          <w:rFonts w:hint="eastAsia" w:asciiTheme="majorEastAsia" w:hAnsiTheme="majorEastAsia" w:eastAsiaTheme="majorEastAsia"/>
        </w:rPr>
        <w:t>公司产品包括</w:t>
      </w:r>
      <w:r>
        <w:rPr>
          <w:rFonts w:asciiTheme="majorEastAsia" w:hAnsiTheme="majorEastAsia" w:eastAsiaTheme="majorEastAsia"/>
        </w:rPr>
        <w:t>“双力”牌大中型拖拉机、玉米收获机、三轮汽车、环卫车辆、粮食烘干机、深松机、裸苗插秧机等，形成了农用运输机械、动力机械、收获机械、收获后处理机械四大业务板块并驾齐驱的产业格局。</w:t>
      </w:r>
    </w:p>
    <w:p>
      <w:pPr>
        <w:ind w:firstLine="480"/>
        <w:rPr>
          <w:rFonts w:asciiTheme="majorEastAsia" w:hAnsiTheme="majorEastAsia" w:eastAsiaTheme="majorEastAsia"/>
        </w:rPr>
      </w:pPr>
      <w:r>
        <w:rPr>
          <w:rFonts w:hint="eastAsia" w:asciiTheme="majorEastAsia" w:hAnsiTheme="majorEastAsia" w:eastAsiaTheme="majorEastAsia"/>
        </w:rPr>
        <w:t>公司</w:t>
      </w:r>
      <w:r>
        <w:rPr>
          <w:rFonts w:asciiTheme="majorEastAsia" w:hAnsiTheme="majorEastAsia" w:eastAsiaTheme="majorEastAsia"/>
        </w:rPr>
        <w:t>建立了完整科学的质量管理体系，通过了ISO9001国际质量体系认证，先后获得“山东省重点扶持的百家企业集团”“AAA级信誉企业”等荣誉，“双力”品牌是“山东省著名商标”。公司产品销往全国20多个省、市、自治区，在同行业中享有较高荣誉，深受用户好评。</w:t>
      </w:r>
    </w:p>
    <w:p>
      <w:pPr>
        <w:ind w:firstLine="482"/>
        <w:rPr>
          <w:rFonts w:asciiTheme="majorEastAsia" w:hAnsiTheme="majorEastAsia" w:eastAsiaTheme="majorEastAsia"/>
          <w:b/>
          <w:bCs/>
        </w:rPr>
      </w:pPr>
      <w:r>
        <w:rPr>
          <w:rFonts w:asciiTheme="majorEastAsia" w:hAnsiTheme="majorEastAsia" w:eastAsiaTheme="majorEastAsia"/>
          <w:b/>
          <w:bCs/>
        </w:rPr>
        <w:t>3.聊城新泺机械有限公司</w:t>
      </w:r>
    </w:p>
    <w:p>
      <w:pPr>
        <w:ind w:firstLine="480"/>
        <w:rPr>
          <w:rFonts w:asciiTheme="majorEastAsia" w:hAnsiTheme="majorEastAsia" w:eastAsiaTheme="majorEastAsia"/>
        </w:rPr>
      </w:pPr>
      <w:r>
        <w:rPr>
          <w:rFonts w:asciiTheme="majorEastAsia" w:hAnsiTheme="majorEastAsia" w:eastAsiaTheme="majorEastAsia"/>
        </w:rPr>
        <w:t>聊城新泺机械有限公司是市属国有全资企业，成立于1994年2月18日，前身为聊城市内燃机厂，始建于1966年。公司是国务院国资委“科改企业”，省级高新技术、专精特新及科技小巨人企业，全国铸造行业50强。</w:t>
      </w:r>
    </w:p>
    <w:p>
      <w:pPr>
        <w:ind w:firstLine="480"/>
        <w:rPr>
          <w:rFonts w:asciiTheme="majorEastAsia" w:hAnsiTheme="majorEastAsia" w:eastAsiaTheme="majorEastAsia"/>
        </w:rPr>
      </w:pPr>
      <w:r>
        <w:rPr>
          <w:rFonts w:asciiTheme="majorEastAsia" w:hAnsiTheme="majorEastAsia" w:eastAsiaTheme="majorEastAsia"/>
        </w:rPr>
        <w:t>公司主要从事大中型发动机机体类、电机壳体类、箱体类、阀体类等四大系列300余种产品的铸造、机械加工和机械装配等生产作业。产品包括系列大功率柴油机和天然气发动机的机体和缸盖、大中小功率拖拉机变速箱体和后桥箱体、系列工业及风力发电用电机壳体、车辆用前后桥壳体、大中小口径阀体和泵体类零件等。</w:t>
      </w:r>
    </w:p>
    <w:p>
      <w:pPr>
        <w:ind w:firstLine="480"/>
        <w:rPr>
          <w:rFonts w:asciiTheme="majorEastAsia" w:hAnsiTheme="majorEastAsia" w:eastAsiaTheme="majorEastAsia"/>
        </w:rPr>
      </w:pPr>
      <w:r>
        <w:rPr>
          <w:rFonts w:asciiTheme="majorEastAsia" w:hAnsiTheme="majorEastAsia" w:eastAsiaTheme="majorEastAsia"/>
        </w:rPr>
        <w:t>公司拥有国内一流的铸造生产线和600余台大型精密机械加工设备，具有年产10万吨优质铸件的生产能力与年产15万吨的精密机械加工能力。通过了ISO9001质量体系认证、ISO14000环境管理体系认证等多项认证，生产的产品多次荣获中国国际铸件博览会金奖。</w:t>
      </w:r>
    </w:p>
    <w:p>
      <w:pPr>
        <w:ind w:firstLine="480"/>
        <w:rPr>
          <w:rFonts w:asciiTheme="majorEastAsia" w:hAnsiTheme="majorEastAsia" w:eastAsiaTheme="majorEastAsia"/>
        </w:rPr>
      </w:pPr>
      <w:r>
        <w:rPr>
          <w:rFonts w:asciiTheme="majorEastAsia" w:hAnsiTheme="majorEastAsia" w:eastAsiaTheme="majorEastAsia"/>
        </w:rPr>
        <w:t>公司积极拓展国内外市场，出口份额达到60%。先后与德国西门子、美国卡特彼勒、约翰</w:t>
      </w:r>
      <w:r>
        <w:rPr>
          <w:rFonts w:hint="eastAsia" w:ascii="微软雅黑" w:hAnsi="微软雅黑" w:eastAsia="微软雅黑" w:cs="微软雅黑"/>
        </w:rPr>
        <w:t>・</w:t>
      </w:r>
      <w:r>
        <w:rPr>
          <w:rFonts w:hint="eastAsia" w:ascii="宋体" w:hAnsi="宋体" w:cs="宋体"/>
        </w:rPr>
        <w:t>迪尔等世界</w:t>
      </w:r>
      <w:r>
        <w:rPr>
          <w:rFonts w:asciiTheme="majorEastAsia" w:hAnsiTheme="majorEastAsia" w:eastAsiaTheme="majorEastAsia"/>
        </w:rPr>
        <w:t>500强企业，以及国内广西玉柴、济柴、上柴等央企或国际高端制造企业达成战略合作伙伴关系。</w:t>
      </w:r>
    </w:p>
    <w:p>
      <w:pPr>
        <w:widowControl/>
        <w:spacing w:line="240" w:lineRule="auto"/>
        <w:ind w:firstLine="0" w:firstLineChars="0"/>
        <w:jc w:val="left"/>
      </w:pPr>
      <w:r>
        <w:br w:type="page"/>
      </w:r>
    </w:p>
    <w:p>
      <w:pPr>
        <w:pStyle w:val="3"/>
        <w:spacing w:before="312" w:after="312"/>
      </w:pPr>
      <w:bookmarkStart w:id="13" w:name="_Toc203061356"/>
      <w:r>
        <w:rPr>
          <w:rFonts w:hint="eastAsia"/>
        </w:rPr>
        <w:t xml:space="preserve">第二章 </w:t>
      </w:r>
      <w:r>
        <w:t>专利检索、产业专利竞争态势及风险识别</w:t>
      </w:r>
      <w:bookmarkEnd w:id="13"/>
    </w:p>
    <w:p>
      <w:pPr>
        <w:ind w:firstLine="562"/>
        <w:outlineLvl w:val="1"/>
        <w:rPr>
          <w:rFonts w:ascii="黑体" w:hAnsi="黑体" w:eastAsia="黑体"/>
          <w:b/>
          <w:bCs/>
          <w:sz w:val="28"/>
          <w:szCs w:val="28"/>
        </w:rPr>
      </w:pPr>
      <w:bookmarkStart w:id="14" w:name="_Toc203061357"/>
      <w:r>
        <w:rPr>
          <w:rFonts w:ascii="黑体" w:hAnsi="黑体" w:eastAsia="黑体"/>
          <w:b/>
          <w:bCs/>
          <w:sz w:val="28"/>
          <w:szCs w:val="28"/>
        </w:rPr>
        <w:t>2</w:t>
      </w:r>
      <w:r>
        <w:rPr>
          <w:rFonts w:hint="eastAsia" w:ascii="黑体" w:hAnsi="黑体" w:eastAsia="黑体"/>
          <w:b/>
          <w:bCs/>
          <w:sz w:val="28"/>
          <w:szCs w:val="28"/>
        </w:rPr>
        <w:t>.1 技术分解及专利检索</w:t>
      </w:r>
      <w:bookmarkEnd w:id="14"/>
    </w:p>
    <w:p>
      <w:pPr>
        <w:shd w:val="clear" w:color="auto" w:fill="FFFFFF"/>
        <w:ind w:firstLine="482"/>
        <w:rPr>
          <w:rFonts w:cs="Helvetica" w:asciiTheme="minorEastAsia" w:hAnsiTheme="minorEastAsia"/>
          <w:b/>
          <w:bCs/>
          <w:color w:val="000000" w:themeColor="text1"/>
          <w:kern w:val="0"/>
        </w:rPr>
      </w:pPr>
      <w:r>
        <w:rPr>
          <w:rFonts w:hint="eastAsia" w:cs="Helvetica" w:asciiTheme="minorEastAsia" w:hAnsiTheme="minorEastAsia"/>
          <w:b/>
          <w:bCs/>
          <w:color w:val="000000" w:themeColor="text1"/>
          <w:kern w:val="0"/>
        </w:rPr>
        <w:t>一、技术边界</w:t>
      </w:r>
    </w:p>
    <w:p>
      <w:pPr>
        <w:ind w:firstLine="482"/>
        <w:rPr>
          <w:rFonts w:asciiTheme="majorEastAsia" w:hAnsiTheme="majorEastAsia" w:eastAsiaTheme="majorEastAsia"/>
          <w:b/>
          <w:bCs/>
        </w:rPr>
      </w:pPr>
      <w:r>
        <w:rPr>
          <w:rFonts w:hint="eastAsia" w:asciiTheme="majorEastAsia" w:hAnsiTheme="majorEastAsia" w:eastAsiaTheme="majorEastAsia"/>
          <w:b/>
          <w:bCs/>
        </w:rPr>
        <w:t>（一）农用三轮车</w:t>
      </w:r>
    </w:p>
    <w:p>
      <w:pPr>
        <w:ind w:firstLine="480"/>
        <w:rPr>
          <w:rFonts w:asciiTheme="majorEastAsia" w:hAnsiTheme="majorEastAsia" w:eastAsiaTheme="majorEastAsia"/>
        </w:rPr>
      </w:pPr>
      <w:r>
        <w:rPr>
          <w:rFonts w:hint="eastAsia" w:asciiTheme="majorEastAsia" w:hAnsiTheme="majorEastAsia" w:eastAsiaTheme="majorEastAsia"/>
        </w:rPr>
        <w:t>1</w:t>
      </w:r>
      <w:r>
        <w:rPr>
          <w:rFonts w:asciiTheme="majorEastAsia" w:hAnsiTheme="majorEastAsia" w:eastAsiaTheme="majorEastAsia"/>
        </w:rPr>
        <w:t>.动力系统</w:t>
      </w:r>
    </w:p>
    <w:p>
      <w:pPr>
        <w:ind w:firstLine="480"/>
        <w:rPr>
          <w:rFonts w:asciiTheme="majorEastAsia" w:hAnsiTheme="majorEastAsia" w:eastAsiaTheme="majorEastAsia"/>
        </w:rPr>
      </w:pPr>
      <w:r>
        <w:rPr>
          <w:rFonts w:asciiTheme="majorEastAsia" w:hAnsiTheme="majorEastAsia" w:eastAsiaTheme="majorEastAsia"/>
        </w:rPr>
        <w:t>发动机：是农用三轮车的动力来源，多采用单缸或双缸柴油机，也有部分使用汽油机或电动机。柴油机具有扭矩大、燃油经济性好的特点，适合重载和复杂路况；汽油机则较为轻便，适用于一些轻型运输任务；电动机具有环保、噪音小的优点，不过续航里程可能有限。</w:t>
      </w:r>
    </w:p>
    <w:p>
      <w:pPr>
        <w:ind w:firstLine="480"/>
        <w:rPr>
          <w:rFonts w:asciiTheme="majorEastAsia" w:hAnsiTheme="majorEastAsia" w:eastAsiaTheme="majorEastAsia"/>
        </w:rPr>
      </w:pPr>
      <w:r>
        <w:rPr>
          <w:rFonts w:asciiTheme="majorEastAsia" w:hAnsiTheme="majorEastAsia" w:eastAsiaTheme="majorEastAsia"/>
        </w:rPr>
        <w:t>燃油系统：包括油箱、油管、滤清器、油泵等部件，负责将燃油输送到发动机，并对燃油进行过滤，保证发动机正常运转。</w:t>
      </w:r>
    </w:p>
    <w:p>
      <w:pPr>
        <w:ind w:firstLine="480"/>
        <w:rPr>
          <w:rFonts w:asciiTheme="majorEastAsia" w:hAnsiTheme="majorEastAsia" w:eastAsiaTheme="majorEastAsia"/>
        </w:rPr>
      </w:pPr>
      <w:r>
        <w:rPr>
          <w:rFonts w:asciiTheme="majorEastAsia" w:hAnsiTheme="majorEastAsia" w:eastAsiaTheme="majorEastAsia"/>
        </w:rPr>
        <w:t>启动系统：一般由蓄电池、启动电机、启动开关等组成，通过启动电机带动发动机曲轴旋转，实现发动机的启动。</w:t>
      </w:r>
    </w:p>
    <w:p>
      <w:pPr>
        <w:ind w:firstLine="480"/>
        <w:rPr>
          <w:rFonts w:asciiTheme="majorEastAsia" w:hAnsiTheme="majorEastAsia" w:eastAsiaTheme="majorEastAsia"/>
        </w:rPr>
      </w:pPr>
      <w:r>
        <w:rPr>
          <w:rFonts w:hint="eastAsia" w:asciiTheme="majorEastAsia" w:hAnsiTheme="majorEastAsia" w:eastAsiaTheme="majorEastAsia"/>
        </w:rPr>
        <w:t>2</w:t>
      </w:r>
      <w:r>
        <w:rPr>
          <w:rFonts w:asciiTheme="majorEastAsia" w:hAnsiTheme="majorEastAsia" w:eastAsiaTheme="majorEastAsia"/>
        </w:rPr>
        <w:t>.传动系统</w:t>
      </w:r>
    </w:p>
    <w:p>
      <w:pPr>
        <w:ind w:firstLine="480"/>
        <w:rPr>
          <w:rFonts w:asciiTheme="majorEastAsia" w:hAnsiTheme="majorEastAsia" w:eastAsiaTheme="majorEastAsia"/>
        </w:rPr>
      </w:pPr>
      <w:r>
        <w:rPr>
          <w:rFonts w:asciiTheme="majorEastAsia" w:hAnsiTheme="majorEastAsia" w:eastAsiaTheme="majorEastAsia"/>
        </w:rPr>
        <w:t>离合器：通常采用干式摩擦离合器，通过手柄操控分离或结合，用于切断或传递发动机动力至变速箱，使换挡和停车操作更加平稳。</w:t>
      </w:r>
    </w:p>
    <w:p>
      <w:pPr>
        <w:ind w:firstLine="480"/>
        <w:rPr>
          <w:rFonts w:asciiTheme="majorEastAsia" w:hAnsiTheme="majorEastAsia" w:eastAsiaTheme="majorEastAsia"/>
        </w:rPr>
      </w:pPr>
      <w:r>
        <w:rPr>
          <w:rFonts w:asciiTheme="majorEastAsia" w:hAnsiTheme="majorEastAsia" w:eastAsiaTheme="majorEastAsia"/>
        </w:rPr>
        <w:t>变速箱：常见的有 3-5 挡手动变速箱，部分车型还带有高低速挡，如爬坡挡等，可根据不同的行驶速度和载重需求进行挡位切换，改变传动比，满足车辆在各种工况下的动力要求。</w:t>
      </w:r>
    </w:p>
    <w:p>
      <w:pPr>
        <w:ind w:firstLine="480"/>
        <w:rPr>
          <w:rFonts w:asciiTheme="majorEastAsia" w:hAnsiTheme="majorEastAsia" w:eastAsiaTheme="majorEastAsia"/>
        </w:rPr>
      </w:pPr>
      <w:r>
        <w:rPr>
          <w:rFonts w:asciiTheme="majorEastAsia" w:hAnsiTheme="majorEastAsia" w:eastAsiaTheme="majorEastAsia"/>
        </w:rPr>
        <w:t>传动轴与半轴：传动轴将变速箱的动力传递至后轮，一般采用万向节结构，能够适应车身在行驶过程中的颠簸和摆动；半轴则是连接差速器和车轮的部件，将动力最终传递到驱动轮，使车辆行驶。</w:t>
      </w:r>
    </w:p>
    <w:p>
      <w:pPr>
        <w:ind w:firstLine="480"/>
        <w:rPr>
          <w:rFonts w:asciiTheme="majorEastAsia" w:hAnsiTheme="majorEastAsia" w:eastAsiaTheme="majorEastAsia"/>
        </w:rPr>
      </w:pPr>
      <w:r>
        <w:rPr>
          <w:rFonts w:hint="eastAsia" w:asciiTheme="majorEastAsia" w:hAnsiTheme="majorEastAsia" w:eastAsiaTheme="majorEastAsia"/>
        </w:rPr>
        <w:t>3</w:t>
      </w:r>
      <w:r>
        <w:rPr>
          <w:rFonts w:asciiTheme="majorEastAsia" w:hAnsiTheme="majorEastAsia" w:eastAsiaTheme="majorEastAsia"/>
        </w:rPr>
        <w:t>.行走系统</w:t>
      </w:r>
    </w:p>
    <w:p>
      <w:pPr>
        <w:ind w:firstLine="480"/>
        <w:rPr>
          <w:rFonts w:asciiTheme="majorEastAsia" w:hAnsiTheme="majorEastAsia" w:eastAsiaTheme="majorEastAsia"/>
        </w:rPr>
      </w:pPr>
      <w:r>
        <w:rPr>
          <w:rFonts w:asciiTheme="majorEastAsia" w:hAnsiTheme="majorEastAsia" w:eastAsiaTheme="majorEastAsia"/>
        </w:rPr>
        <w:t>车架：是三轮车的骨架，通常采用矩形钢管焊接而成，如 100×50mm 或 80×40mm 的钢管，具有较高的强度和刚度，能够承载车辆的重量以及运输货物的重量。</w:t>
      </w:r>
    </w:p>
    <w:p>
      <w:pPr>
        <w:ind w:firstLine="480"/>
        <w:rPr>
          <w:rFonts w:asciiTheme="majorEastAsia" w:hAnsiTheme="majorEastAsia" w:eastAsiaTheme="majorEastAsia"/>
        </w:rPr>
      </w:pPr>
      <w:r>
        <w:rPr>
          <w:rFonts w:asciiTheme="majorEastAsia" w:hAnsiTheme="majorEastAsia" w:eastAsiaTheme="majorEastAsia"/>
        </w:rPr>
        <w:t>悬挂系统：前悬挂多为麦弗逊式独立悬挂或钢板弹簧非独立悬挂，后悬挂通常为钢板弹簧 + 筒式减震器的形式，能够缓冲车辆行驶过程中的颠簸，提高行驶稳定性和舒适性，同时保证车轮与地面的良好接触。</w:t>
      </w:r>
    </w:p>
    <w:p>
      <w:pPr>
        <w:ind w:firstLine="480"/>
        <w:rPr>
          <w:rFonts w:asciiTheme="majorEastAsia" w:hAnsiTheme="majorEastAsia" w:eastAsiaTheme="majorEastAsia"/>
        </w:rPr>
      </w:pPr>
      <w:r>
        <w:rPr>
          <w:rFonts w:asciiTheme="majorEastAsia" w:hAnsiTheme="majorEastAsia" w:eastAsiaTheme="majorEastAsia"/>
        </w:rPr>
        <w:t>车轮与轮胎：车轮一般为钢制轮毂，有辐条式或盘式结构，轮胎根据使用场景不同可分为公路胎和农田胎，公路胎花纹浅、接地面积大，滚动阻力小，适合在平坦道路上行驶；农田胎则花纹深、抓地力强，能够在泥泞、松软的农田道路上防止打滑。</w:t>
      </w:r>
    </w:p>
    <w:p>
      <w:pPr>
        <w:ind w:firstLine="480"/>
        <w:rPr>
          <w:rFonts w:asciiTheme="majorEastAsia" w:hAnsiTheme="majorEastAsia" w:eastAsiaTheme="majorEastAsia"/>
        </w:rPr>
      </w:pPr>
      <w:r>
        <w:rPr>
          <w:rFonts w:hint="eastAsia" w:asciiTheme="majorEastAsia" w:hAnsiTheme="majorEastAsia" w:eastAsiaTheme="majorEastAsia"/>
        </w:rPr>
        <w:t>4</w:t>
      </w:r>
      <w:r>
        <w:rPr>
          <w:rFonts w:asciiTheme="majorEastAsia" w:hAnsiTheme="majorEastAsia" w:eastAsiaTheme="majorEastAsia"/>
        </w:rPr>
        <w:t>.转向系统</w:t>
      </w:r>
    </w:p>
    <w:p>
      <w:pPr>
        <w:ind w:firstLine="480"/>
        <w:rPr>
          <w:rFonts w:asciiTheme="majorEastAsia" w:hAnsiTheme="majorEastAsia" w:eastAsiaTheme="majorEastAsia"/>
        </w:rPr>
      </w:pPr>
      <w:r>
        <w:rPr>
          <w:rFonts w:asciiTheme="majorEastAsia" w:hAnsiTheme="majorEastAsia" w:eastAsiaTheme="majorEastAsia"/>
        </w:rPr>
        <w:t>转向器：常见的有齿轮齿条式或循环球式转向器，将驾驶员转动方向盘的力转化为转向轮的偏转力，实现车辆的转向操作，转向比一般在 16-20:1 之间，方向盘自由行程通常≤30°。</w:t>
      </w:r>
    </w:p>
    <w:p>
      <w:pPr>
        <w:ind w:firstLine="480"/>
        <w:rPr>
          <w:rFonts w:asciiTheme="majorEastAsia" w:hAnsiTheme="majorEastAsia" w:eastAsiaTheme="majorEastAsia"/>
        </w:rPr>
      </w:pPr>
      <w:r>
        <w:rPr>
          <w:rFonts w:asciiTheme="majorEastAsia" w:hAnsiTheme="majorEastAsia" w:eastAsiaTheme="majorEastAsia"/>
        </w:rPr>
        <w:t>转向传动机构：包括转向拉杆、转向节等部件，将转向器输出的力传递到前轮，使前轮按照驾驶员的意愿偏转，实现车辆的转向。</w:t>
      </w:r>
    </w:p>
    <w:p>
      <w:pPr>
        <w:ind w:firstLine="480"/>
        <w:rPr>
          <w:rFonts w:asciiTheme="majorEastAsia" w:hAnsiTheme="majorEastAsia" w:eastAsiaTheme="majorEastAsia"/>
        </w:rPr>
      </w:pPr>
      <w:r>
        <w:rPr>
          <w:rFonts w:hint="eastAsia" w:asciiTheme="majorEastAsia" w:hAnsiTheme="majorEastAsia" w:eastAsiaTheme="majorEastAsia"/>
        </w:rPr>
        <w:t>5</w:t>
      </w:r>
      <w:r>
        <w:rPr>
          <w:rFonts w:asciiTheme="majorEastAsia" w:hAnsiTheme="majorEastAsia" w:eastAsiaTheme="majorEastAsia"/>
        </w:rPr>
        <w:t>.制动系统</w:t>
      </w:r>
    </w:p>
    <w:p>
      <w:pPr>
        <w:ind w:firstLine="480"/>
        <w:rPr>
          <w:rFonts w:asciiTheme="majorEastAsia" w:hAnsiTheme="majorEastAsia" w:eastAsiaTheme="majorEastAsia"/>
        </w:rPr>
      </w:pPr>
      <w:r>
        <w:rPr>
          <w:rFonts w:asciiTheme="majorEastAsia" w:hAnsiTheme="majorEastAsia" w:eastAsiaTheme="majorEastAsia"/>
        </w:rPr>
        <w:t>行车制动装置：一般采用鼓式制动器或盘式制动器，常见的是前轮鼓刹 + 后轮鼓刹（或油刹）的双回路制动系统，通过制动踏板控制，能够在车辆行驶过程中实现减速和停车操作，制动距离（30km/h）通常≤8m。</w:t>
      </w:r>
    </w:p>
    <w:p>
      <w:pPr>
        <w:ind w:firstLine="480"/>
        <w:rPr>
          <w:rFonts w:asciiTheme="majorEastAsia" w:hAnsiTheme="majorEastAsia" w:eastAsiaTheme="majorEastAsia"/>
        </w:rPr>
      </w:pPr>
      <w:r>
        <w:rPr>
          <w:rFonts w:asciiTheme="majorEastAsia" w:hAnsiTheme="majorEastAsia" w:eastAsiaTheme="majorEastAsia"/>
        </w:rPr>
        <w:t>驻车制动装置：也就是手刹，用于在车辆停车时防止车辆滑动，一般作用于后轮，多采用机械式或液压式制动方式。</w:t>
      </w:r>
    </w:p>
    <w:p>
      <w:pPr>
        <w:ind w:firstLine="480"/>
        <w:rPr>
          <w:rFonts w:asciiTheme="majorEastAsia" w:hAnsiTheme="majorEastAsia" w:eastAsiaTheme="majorEastAsia"/>
        </w:rPr>
      </w:pPr>
      <w:r>
        <w:rPr>
          <w:rFonts w:hint="eastAsia" w:asciiTheme="majorEastAsia" w:hAnsiTheme="majorEastAsia" w:eastAsiaTheme="majorEastAsia"/>
        </w:rPr>
        <w:t>6</w:t>
      </w:r>
      <w:r>
        <w:rPr>
          <w:rFonts w:asciiTheme="majorEastAsia" w:hAnsiTheme="majorEastAsia" w:eastAsiaTheme="majorEastAsia"/>
        </w:rPr>
        <w:t>.车身及货箱</w:t>
      </w:r>
    </w:p>
    <w:p>
      <w:pPr>
        <w:ind w:firstLine="480"/>
        <w:rPr>
          <w:rFonts w:asciiTheme="majorEastAsia" w:hAnsiTheme="majorEastAsia" w:eastAsiaTheme="majorEastAsia"/>
        </w:rPr>
      </w:pPr>
      <w:r>
        <w:rPr>
          <w:rFonts w:asciiTheme="majorEastAsia" w:hAnsiTheme="majorEastAsia" w:eastAsiaTheme="majorEastAsia"/>
        </w:rPr>
        <w:t>车身：包括驾驶室、车架覆盖件等部分，为驾驶员提供操作空间和保护，部分三轮车的驾驶室还具备一定的密封和减震功能，以提高驾驶舒适性。</w:t>
      </w:r>
    </w:p>
    <w:p>
      <w:pPr>
        <w:ind w:firstLine="480"/>
        <w:rPr>
          <w:rFonts w:asciiTheme="majorEastAsia" w:hAnsiTheme="majorEastAsia" w:eastAsiaTheme="majorEastAsia"/>
        </w:rPr>
      </w:pPr>
      <w:r>
        <w:rPr>
          <w:rFonts w:asciiTheme="majorEastAsia" w:hAnsiTheme="majorEastAsia" w:eastAsiaTheme="majorEastAsia"/>
        </w:rPr>
        <w:t>货箱：用于装载货物，材质多为 Q235 钢板，底板厚度 2-3mm，边板高度 300-500mm，根据需要可设计成可折叠或自卸式，自卸式货箱通常配备液压自卸缸，举升角度≥45°。</w:t>
      </w:r>
    </w:p>
    <w:p>
      <w:pPr>
        <w:ind w:firstLine="482"/>
        <w:rPr>
          <w:rFonts w:asciiTheme="majorEastAsia" w:hAnsiTheme="majorEastAsia" w:eastAsiaTheme="majorEastAsia"/>
          <w:b/>
          <w:bCs/>
        </w:rPr>
      </w:pPr>
      <w:r>
        <w:rPr>
          <w:rFonts w:hint="eastAsia" w:asciiTheme="majorEastAsia" w:hAnsiTheme="majorEastAsia" w:eastAsiaTheme="majorEastAsia"/>
          <w:b/>
          <w:bCs/>
        </w:rPr>
        <w:t>（二）农用拖拉机</w:t>
      </w:r>
    </w:p>
    <w:p>
      <w:pPr>
        <w:ind w:firstLine="480"/>
        <w:rPr>
          <w:rFonts w:asciiTheme="majorEastAsia" w:hAnsiTheme="majorEastAsia" w:eastAsiaTheme="majorEastAsia"/>
        </w:rPr>
      </w:pPr>
      <w:r>
        <w:rPr>
          <w:rFonts w:hint="eastAsia" w:asciiTheme="majorEastAsia" w:hAnsiTheme="majorEastAsia" w:eastAsiaTheme="majorEastAsia"/>
        </w:rPr>
        <w:t>1</w:t>
      </w:r>
      <w:r>
        <w:rPr>
          <w:rFonts w:asciiTheme="majorEastAsia" w:hAnsiTheme="majorEastAsia" w:eastAsiaTheme="majorEastAsia"/>
        </w:rPr>
        <w:t>.</w:t>
      </w:r>
      <w:r>
        <w:rPr>
          <w:rFonts w:hint="eastAsia" w:asciiTheme="majorEastAsia" w:hAnsiTheme="majorEastAsia" w:eastAsiaTheme="majorEastAsia"/>
        </w:rPr>
        <w:t>动力系统</w:t>
      </w:r>
    </w:p>
    <w:p>
      <w:pPr>
        <w:ind w:firstLine="480"/>
        <w:rPr>
          <w:rFonts w:asciiTheme="majorEastAsia" w:hAnsiTheme="majorEastAsia" w:eastAsiaTheme="majorEastAsia"/>
        </w:rPr>
      </w:pPr>
      <w:r>
        <w:rPr>
          <w:rFonts w:hint="eastAsia" w:asciiTheme="majorEastAsia" w:hAnsiTheme="majorEastAsia" w:eastAsiaTheme="majorEastAsia"/>
        </w:rPr>
        <w:t>发动机：</w:t>
      </w:r>
      <w:r>
        <w:rPr>
          <w:rFonts w:asciiTheme="majorEastAsia" w:hAnsiTheme="majorEastAsia" w:eastAsiaTheme="majorEastAsia"/>
        </w:rPr>
        <w:t>发动机是拖拉机的动力源，决定了拖拉机的动力性能和作业能力，常见为柴油机（少数小型拖拉机采用汽油机）</w:t>
      </w:r>
      <w:r>
        <w:rPr>
          <w:rFonts w:hint="eastAsia" w:asciiTheme="majorEastAsia" w:hAnsiTheme="majorEastAsia" w:eastAsiaTheme="majorEastAsia"/>
        </w:rPr>
        <w:t>。</w:t>
      </w:r>
    </w:p>
    <w:p>
      <w:pPr>
        <w:ind w:firstLine="480"/>
        <w:rPr>
          <w:rFonts w:asciiTheme="majorEastAsia" w:hAnsiTheme="majorEastAsia" w:eastAsiaTheme="majorEastAsia"/>
        </w:rPr>
      </w:pPr>
      <w:r>
        <w:rPr>
          <w:rFonts w:asciiTheme="majorEastAsia" w:hAnsiTheme="majorEastAsia" w:eastAsiaTheme="majorEastAsia"/>
        </w:rPr>
        <w:t>燃油系统：包括油箱、油管、滤清器、油泵等部件，负责将燃油输送到发动机，并对燃油进行过滤，保证发动机正常运转。</w:t>
      </w:r>
    </w:p>
    <w:p>
      <w:pPr>
        <w:ind w:firstLine="480"/>
        <w:rPr>
          <w:rFonts w:asciiTheme="majorEastAsia" w:hAnsiTheme="majorEastAsia" w:eastAsiaTheme="majorEastAsia"/>
        </w:rPr>
      </w:pPr>
      <w:r>
        <w:rPr>
          <w:rFonts w:asciiTheme="majorEastAsia" w:hAnsiTheme="majorEastAsia" w:eastAsiaTheme="majorEastAsia"/>
        </w:rPr>
        <w:t>启动系统：由蓄电池、启动电机、启动开关等组成，用于启动发动机，部分拖拉机配备预热装置应对低温环境。</w:t>
      </w:r>
    </w:p>
    <w:p>
      <w:pPr>
        <w:ind w:firstLine="480"/>
        <w:rPr>
          <w:rFonts w:asciiTheme="majorEastAsia" w:hAnsiTheme="majorEastAsia" w:eastAsiaTheme="majorEastAsia"/>
        </w:rPr>
      </w:pPr>
      <w:r>
        <w:rPr>
          <w:rFonts w:asciiTheme="majorEastAsia" w:hAnsiTheme="majorEastAsia" w:eastAsiaTheme="majorEastAsia"/>
        </w:rPr>
        <w:t>2.传动系统</w:t>
      </w:r>
    </w:p>
    <w:p>
      <w:pPr>
        <w:ind w:firstLine="480"/>
        <w:rPr>
          <w:rFonts w:asciiTheme="majorEastAsia" w:hAnsiTheme="majorEastAsia" w:eastAsiaTheme="majorEastAsia"/>
        </w:rPr>
      </w:pPr>
      <w:r>
        <w:rPr>
          <w:rFonts w:asciiTheme="majorEastAsia" w:hAnsiTheme="majorEastAsia" w:eastAsiaTheme="majorEastAsia"/>
        </w:rPr>
        <w:t>离合器：多为干式摩擦离合器，用于切断或传递动力，便于换挡和停车，部分大型拖拉机采用液压操纵离合器。</w:t>
      </w:r>
    </w:p>
    <w:p>
      <w:pPr>
        <w:ind w:firstLine="480"/>
        <w:rPr>
          <w:rFonts w:asciiTheme="majorEastAsia" w:hAnsiTheme="majorEastAsia" w:eastAsiaTheme="majorEastAsia"/>
        </w:rPr>
      </w:pPr>
      <w:r>
        <w:rPr>
          <w:rFonts w:asciiTheme="majorEastAsia" w:hAnsiTheme="majorEastAsia" w:eastAsiaTheme="majorEastAsia"/>
        </w:rPr>
        <w:t>变速箱：分为手动变速箱（常见 8 挡、12 挡等）或无级变速（CVT），通过不同挡位调整速比，适应耕地、播种、运输等不同工况，部分机型带有爬行挡（低速高扭矩）用于重负荷作业。</w:t>
      </w:r>
    </w:p>
    <w:p>
      <w:pPr>
        <w:ind w:firstLine="480"/>
        <w:rPr>
          <w:rFonts w:asciiTheme="majorEastAsia" w:hAnsiTheme="majorEastAsia" w:eastAsiaTheme="majorEastAsia"/>
        </w:rPr>
      </w:pPr>
      <w:r>
        <w:rPr>
          <w:rFonts w:asciiTheme="majorEastAsia" w:hAnsiTheme="majorEastAsia" w:eastAsiaTheme="majorEastAsia"/>
        </w:rPr>
        <w:t>中央传动与差速器：中央传动将变速箱动力传递至差速器，差速器使左右驱动轮在转弯时以不同速度转动，避免打滑。</w:t>
      </w:r>
    </w:p>
    <w:p>
      <w:pPr>
        <w:ind w:firstLine="480"/>
        <w:rPr>
          <w:rFonts w:asciiTheme="majorEastAsia" w:hAnsiTheme="majorEastAsia" w:eastAsiaTheme="majorEastAsia"/>
        </w:rPr>
      </w:pPr>
      <w:r>
        <w:rPr>
          <w:rFonts w:asciiTheme="majorEastAsia" w:hAnsiTheme="majorEastAsia" w:eastAsiaTheme="majorEastAsia"/>
        </w:rPr>
        <w:t>最终传动：进一步降低转速、增大扭矩，将动力传递至驱动轮，多采用齿轮传动或行星齿轮结构。</w:t>
      </w:r>
    </w:p>
    <w:p>
      <w:pPr>
        <w:ind w:firstLine="480"/>
        <w:rPr>
          <w:rFonts w:asciiTheme="majorEastAsia" w:hAnsiTheme="majorEastAsia" w:eastAsiaTheme="majorEastAsia"/>
        </w:rPr>
      </w:pPr>
      <w:r>
        <w:rPr>
          <w:rFonts w:asciiTheme="majorEastAsia" w:hAnsiTheme="majorEastAsia" w:eastAsiaTheme="majorEastAsia"/>
        </w:rPr>
        <w:t>3.行走系统</w:t>
      </w:r>
    </w:p>
    <w:p>
      <w:pPr>
        <w:ind w:firstLine="480"/>
        <w:rPr>
          <w:rFonts w:asciiTheme="majorEastAsia" w:hAnsiTheme="majorEastAsia" w:eastAsiaTheme="majorEastAsia"/>
        </w:rPr>
      </w:pPr>
      <w:r>
        <w:rPr>
          <w:rFonts w:asciiTheme="majorEastAsia" w:hAnsiTheme="majorEastAsia" w:eastAsiaTheme="majorEastAsia"/>
        </w:rPr>
        <w:t>车架：分为整体式（刚性车架）或铰接式（适用于四轮驱动拖拉机，提高转向灵活性），采用高强度钢材焊接或螺栓连接，承载全车重量。</w:t>
      </w:r>
    </w:p>
    <w:p>
      <w:pPr>
        <w:ind w:firstLine="480"/>
        <w:rPr>
          <w:rFonts w:asciiTheme="majorEastAsia" w:hAnsiTheme="majorEastAsia" w:eastAsiaTheme="majorEastAsia"/>
        </w:rPr>
      </w:pPr>
      <w:r>
        <w:rPr>
          <w:rFonts w:asciiTheme="majorEastAsia" w:hAnsiTheme="majorEastAsia" w:eastAsiaTheme="majorEastAsia"/>
        </w:rPr>
        <w:t>悬挂装置：前悬挂多为弹簧或液压减震，后悬挂为液压悬挂系统（如三点悬挂），用于连接农机具（如犁、旋耕机等），并控制农具的升降和作业深度。</w:t>
      </w:r>
    </w:p>
    <w:p>
      <w:pPr>
        <w:ind w:firstLine="480"/>
        <w:rPr>
          <w:rFonts w:asciiTheme="majorEastAsia" w:hAnsiTheme="majorEastAsia" w:eastAsiaTheme="majorEastAsia"/>
        </w:rPr>
      </w:pPr>
      <w:r>
        <w:rPr>
          <w:rFonts w:asciiTheme="majorEastAsia" w:hAnsiTheme="majorEastAsia" w:eastAsiaTheme="majorEastAsia"/>
        </w:rPr>
        <w:t>驱动轮与轮胎：驱动轮多为大尺寸宽胎（如人字胎），增加接地面积，减少农田压实；前轮为导向轮，部分拖拉机为四轮驱动（4WD），提升泥泞或松软地块的通过性。</w:t>
      </w:r>
    </w:p>
    <w:p>
      <w:pPr>
        <w:ind w:firstLine="480"/>
        <w:rPr>
          <w:rFonts w:asciiTheme="majorEastAsia" w:hAnsiTheme="majorEastAsia" w:eastAsiaTheme="majorEastAsia"/>
        </w:rPr>
      </w:pPr>
      <w:r>
        <w:rPr>
          <w:rFonts w:asciiTheme="majorEastAsia" w:hAnsiTheme="majorEastAsia" w:eastAsiaTheme="majorEastAsia"/>
        </w:rPr>
        <w:t>4.转向系统</w:t>
      </w:r>
    </w:p>
    <w:p>
      <w:pPr>
        <w:ind w:firstLine="480"/>
        <w:rPr>
          <w:rFonts w:asciiTheme="majorEastAsia" w:hAnsiTheme="majorEastAsia" w:eastAsiaTheme="majorEastAsia"/>
        </w:rPr>
      </w:pPr>
      <w:r>
        <w:rPr>
          <w:rFonts w:asciiTheme="majorEastAsia" w:hAnsiTheme="majorEastAsia" w:eastAsiaTheme="majorEastAsia"/>
        </w:rPr>
        <w:t>转向器：常见液压助力转向（齿轮齿条式或循环球式），减轻驾驶员操作强度，转向角度一般为 30°-45°，铰接式拖拉机转向更为灵活。</w:t>
      </w:r>
    </w:p>
    <w:p>
      <w:pPr>
        <w:ind w:firstLine="480"/>
        <w:rPr>
          <w:rFonts w:asciiTheme="majorEastAsia" w:hAnsiTheme="majorEastAsia" w:eastAsiaTheme="majorEastAsia"/>
        </w:rPr>
      </w:pPr>
      <w:r>
        <w:rPr>
          <w:rFonts w:asciiTheme="majorEastAsia" w:hAnsiTheme="majorEastAsia" w:eastAsiaTheme="majorEastAsia"/>
        </w:rPr>
        <w:t>转向传动机构：通过转向拉杆、转向节等部件，将转向器的力传递至前轮，实现转向。</w:t>
      </w:r>
    </w:p>
    <w:p>
      <w:pPr>
        <w:ind w:firstLine="480"/>
        <w:rPr>
          <w:rFonts w:asciiTheme="majorEastAsia" w:hAnsiTheme="majorEastAsia" w:eastAsiaTheme="majorEastAsia"/>
        </w:rPr>
      </w:pPr>
      <w:r>
        <w:rPr>
          <w:rFonts w:asciiTheme="majorEastAsia" w:hAnsiTheme="majorEastAsia" w:eastAsiaTheme="majorEastAsia"/>
        </w:rPr>
        <w:t>5.制动系统</w:t>
      </w:r>
    </w:p>
    <w:p>
      <w:pPr>
        <w:ind w:firstLine="480"/>
        <w:rPr>
          <w:rFonts w:asciiTheme="majorEastAsia" w:hAnsiTheme="majorEastAsia" w:eastAsiaTheme="majorEastAsia"/>
        </w:rPr>
      </w:pPr>
      <w:r>
        <w:rPr>
          <w:rFonts w:asciiTheme="majorEastAsia" w:hAnsiTheme="majorEastAsia" w:eastAsiaTheme="majorEastAsia"/>
        </w:rPr>
        <w:t>行车制动：多采用鼓式或盘式制动器，分为机械制动、液压制动或气压制动，双回路设计确保安全性，部分拖拉机配备差速锁制动，防止单边打滑。</w:t>
      </w:r>
    </w:p>
    <w:p>
      <w:pPr>
        <w:ind w:firstLine="480"/>
        <w:rPr>
          <w:rFonts w:asciiTheme="majorEastAsia" w:hAnsiTheme="majorEastAsia" w:eastAsiaTheme="majorEastAsia"/>
        </w:rPr>
      </w:pPr>
      <w:r>
        <w:rPr>
          <w:rFonts w:asciiTheme="majorEastAsia" w:hAnsiTheme="majorEastAsia" w:eastAsiaTheme="majorEastAsia"/>
        </w:rPr>
        <w:t>驻车制动：通过手刹（机械拉杆或液压）作用于驱动轮，防止车辆停放时滑动。</w:t>
      </w:r>
    </w:p>
    <w:p>
      <w:pPr>
        <w:ind w:firstLine="480"/>
        <w:rPr>
          <w:rFonts w:asciiTheme="majorEastAsia" w:hAnsiTheme="majorEastAsia" w:eastAsiaTheme="majorEastAsia"/>
        </w:rPr>
      </w:pPr>
      <w:r>
        <w:rPr>
          <w:rFonts w:hint="eastAsia" w:asciiTheme="majorEastAsia" w:hAnsiTheme="majorEastAsia" w:eastAsiaTheme="majorEastAsia"/>
        </w:rPr>
        <w:t>6</w:t>
      </w:r>
      <w:r>
        <w:rPr>
          <w:rFonts w:asciiTheme="majorEastAsia" w:hAnsiTheme="majorEastAsia" w:eastAsiaTheme="majorEastAsia"/>
        </w:rPr>
        <w:t>.电气系统</w:t>
      </w:r>
    </w:p>
    <w:p>
      <w:pPr>
        <w:ind w:firstLine="480"/>
        <w:rPr>
          <w:rFonts w:asciiTheme="majorEastAsia" w:hAnsiTheme="majorEastAsia" w:eastAsiaTheme="majorEastAsia"/>
        </w:rPr>
      </w:pPr>
      <w:r>
        <w:rPr>
          <w:rFonts w:asciiTheme="majorEastAsia" w:hAnsiTheme="majorEastAsia" w:eastAsiaTheme="majorEastAsia"/>
        </w:rPr>
        <w:t>电气系统为拖拉机的控制、照明、信号等提供电力，包括：</w:t>
      </w:r>
    </w:p>
    <w:p>
      <w:pPr>
        <w:ind w:firstLine="480"/>
        <w:rPr>
          <w:rFonts w:asciiTheme="majorEastAsia" w:hAnsiTheme="majorEastAsia" w:eastAsiaTheme="majorEastAsia"/>
        </w:rPr>
      </w:pPr>
      <w:r>
        <w:rPr>
          <w:rFonts w:asciiTheme="majorEastAsia" w:hAnsiTheme="majorEastAsia" w:eastAsiaTheme="majorEastAsia"/>
        </w:rPr>
        <w:t>电源设备：蓄电池（12V 或 24V）、发电机（交流发电机），为全车用电设备供电。</w:t>
      </w:r>
    </w:p>
    <w:p>
      <w:pPr>
        <w:ind w:firstLine="480"/>
        <w:rPr>
          <w:rFonts w:asciiTheme="majorEastAsia" w:hAnsiTheme="majorEastAsia" w:eastAsiaTheme="majorEastAsia"/>
        </w:rPr>
      </w:pPr>
      <w:r>
        <w:rPr>
          <w:rFonts w:asciiTheme="majorEastAsia" w:hAnsiTheme="majorEastAsia" w:eastAsiaTheme="majorEastAsia"/>
        </w:rPr>
        <w:t>照明与信号装置：前大灯、尾灯、转向灯、刹车灯、工作灯（用于夜间作业），以及喇叭、故障报警灯等。</w:t>
      </w:r>
    </w:p>
    <w:p>
      <w:pPr>
        <w:ind w:firstLine="480"/>
        <w:rPr>
          <w:rFonts w:asciiTheme="majorEastAsia" w:hAnsiTheme="majorEastAsia" w:eastAsiaTheme="majorEastAsia"/>
        </w:rPr>
      </w:pPr>
      <w:r>
        <w:rPr>
          <w:rFonts w:asciiTheme="majorEastAsia" w:hAnsiTheme="majorEastAsia" w:eastAsiaTheme="majorEastAsia"/>
        </w:rPr>
        <w:t>电控系统：现代拖拉机多配备电控单元（ECU），控制发动机喷油、液压系统、自动导航等，部分高端机型支持 GPS 自动驾驶。</w:t>
      </w:r>
    </w:p>
    <w:p>
      <w:pPr>
        <w:ind w:firstLine="480"/>
        <w:rPr>
          <w:rFonts w:asciiTheme="majorEastAsia" w:hAnsiTheme="majorEastAsia" w:eastAsiaTheme="majorEastAsia"/>
        </w:rPr>
      </w:pPr>
      <w:r>
        <w:rPr>
          <w:rFonts w:hint="eastAsia" w:asciiTheme="majorEastAsia" w:hAnsiTheme="majorEastAsia" w:eastAsiaTheme="majorEastAsia"/>
        </w:rPr>
        <w:t>7</w:t>
      </w:r>
      <w:r>
        <w:rPr>
          <w:rFonts w:asciiTheme="majorEastAsia" w:hAnsiTheme="majorEastAsia" w:eastAsiaTheme="majorEastAsia"/>
        </w:rPr>
        <w:t>.工作装置</w:t>
      </w:r>
    </w:p>
    <w:p>
      <w:pPr>
        <w:ind w:firstLine="480"/>
        <w:rPr>
          <w:rFonts w:asciiTheme="majorEastAsia" w:hAnsiTheme="majorEastAsia" w:eastAsiaTheme="majorEastAsia"/>
        </w:rPr>
      </w:pPr>
      <w:r>
        <w:rPr>
          <w:rFonts w:asciiTheme="majorEastAsia" w:hAnsiTheme="majorEastAsia" w:eastAsiaTheme="majorEastAsia"/>
        </w:rPr>
        <w:t>工作装置是拖拉机实现农业作业的核心部件，根据用途不同可分为：</w:t>
      </w:r>
    </w:p>
    <w:p>
      <w:pPr>
        <w:ind w:firstLine="480"/>
        <w:rPr>
          <w:rFonts w:asciiTheme="majorEastAsia" w:hAnsiTheme="majorEastAsia" w:eastAsiaTheme="majorEastAsia"/>
        </w:rPr>
      </w:pPr>
      <w:r>
        <w:rPr>
          <w:rFonts w:asciiTheme="majorEastAsia" w:hAnsiTheme="majorEastAsia" w:eastAsiaTheme="majorEastAsia"/>
        </w:rPr>
        <w:t>液压悬挂系统：通过液压油泵、油缸和分配器，控制三点悬挂装置的升降，连接犁、旋耕机、播种机等农具，部分机型配备力调节、位调节功能，精确控制农具作业深度。</w:t>
      </w:r>
    </w:p>
    <w:p>
      <w:pPr>
        <w:ind w:firstLine="480"/>
        <w:rPr>
          <w:rFonts w:asciiTheme="majorEastAsia" w:hAnsiTheme="majorEastAsia" w:eastAsiaTheme="majorEastAsia"/>
        </w:rPr>
      </w:pPr>
      <w:r>
        <w:rPr>
          <w:rFonts w:asciiTheme="majorEastAsia" w:hAnsiTheme="majorEastAsia" w:eastAsiaTheme="majorEastAsia"/>
        </w:rPr>
        <w:t>动力输出轴（PTO）：位于拖拉机后部，通过变速箱取力，输出动力驱动农机具（如秸秆还田机、收割机等），转速通常为 540r/min 或 1000r/min。</w:t>
      </w:r>
    </w:p>
    <w:p>
      <w:pPr>
        <w:ind w:firstLine="480"/>
        <w:rPr>
          <w:rFonts w:asciiTheme="majorEastAsia" w:hAnsiTheme="majorEastAsia" w:eastAsiaTheme="majorEastAsia"/>
        </w:rPr>
      </w:pPr>
      <w:r>
        <w:rPr>
          <w:rFonts w:asciiTheme="majorEastAsia" w:hAnsiTheme="majorEastAsia" w:eastAsiaTheme="majorEastAsia"/>
        </w:rPr>
        <w:t>牵引装置：用于牵引拖车、播种机等，分为挂钩式或牵引杆式，承载牵引负荷。</w:t>
      </w:r>
    </w:p>
    <w:p>
      <w:pPr>
        <w:ind w:firstLine="480"/>
        <w:rPr>
          <w:rFonts w:asciiTheme="majorEastAsia" w:hAnsiTheme="majorEastAsia" w:eastAsiaTheme="majorEastAsia"/>
        </w:rPr>
      </w:pPr>
      <w:r>
        <w:rPr>
          <w:rFonts w:asciiTheme="majorEastAsia" w:hAnsiTheme="majorEastAsia" w:eastAsiaTheme="majorEastAsia"/>
        </w:rPr>
        <w:t>其他专用装置：如播种施肥一体机的配套装置、果园拖拉机的低矮车身设计、水田拖拉机的防陷履带等。</w:t>
      </w:r>
    </w:p>
    <w:p>
      <w:pPr>
        <w:ind w:firstLine="480"/>
        <w:rPr>
          <w:rFonts w:asciiTheme="majorEastAsia" w:hAnsiTheme="majorEastAsia" w:eastAsiaTheme="majorEastAsia"/>
        </w:rPr>
      </w:pPr>
      <w:r>
        <w:rPr>
          <w:rFonts w:hint="eastAsia" w:asciiTheme="majorEastAsia" w:hAnsiTheme="majorEastAsia" w:eastAsiaTheme="majorEastAsia"/>
        </w:rPr>
        <w:t>8</w:t>
      </w:r>
      <w:r>
        <w:rPr>
          <w:rFonts w:asciiTheme="majorEastAsia" w:hAnsiTheme="majorEastAsia" w:eastAsiaTheme="majorEastAsia"/>
        </w:rPr>
        <w:t>.驾驶室与操纵系统</w:t>
      </w:r>
    </w:p>
    <w:p>
      <w:pPr>
        <w:ind w:firstLine="480"/>
        <w:rPr>
          <w:rFonts w:asciiTheme="majorEastAsia" w:hAnsiTheme="majorEastAsia" w:eastAsiaTheme="majorEastAsia"/>
        </w:rPr>
      </w:pPr>
      <w:r>
        <w:rPr>
          <w:rFonts w:asciiTheme="majorEastAsia" w:hAnsiTheme="majorEastAsia" w:eastAsiaTheme="majorEastAsia"/>
        </w:rPr>
        <w:t>驾驶室：分为开放式或封闭式，封闭式驾驶室配备空调、减震座椅、隔音降噪装置，提升驾驶舒适性，部分高端机型带有悬浮驾驶室减少颠簸。</w:t>
      </w:r>
    </w:p>
    <w:p>
      <w:pPr>
        <w:ind w:firstLine="480"/>
        <w:rPr>
          <w:rFonts w:asciiTheme="majorEastAsia" w:hAnsiTheme="majorEastAsia" w:eastAsiaTheme="majorEastAsia"/>
        </w:rPr>
      </w:pPr>
      <w:r>
        <w:rPr>
          <w:rFonts w:asciiTheme="majorEastAsia" w:hAnsiTheme="majorEastAsia" w:eastAsiaTheme="majorEastAsia"/>
        </w:rPr>
        <w:t>操纵装置：包括方向盘、变速杆、离合器踏板、制动踏板、液压操纵手柄（控制悬挂和 PTO）、电控按钮（如自动导航、差速锁开关）等，布局符合人机工程学，便于驾驶员操作。</w:t>
      </w:r>
    </w:p>
    <w:p>
      <w:pPr>
        <w:pStyle w:val="2"/>
        <w:ind w:firstLine="482"/>
        <w:rPr>
          <w:b/>
          <w:bCs/>
        </w:rPr>
      </w:pPr>
      <w:r>
        <w:rPr>
          <w:rFonts w:hint="eastAsia"/>
          <w:b/>
          <w:bCs/>
        </w:rPr>
        <w:t>二、技术分解</w:t>
      </w:r>
    </w:p>
    <w:p>
      <w:pPr>
        <w:ind w:firstLine="0" w:firstLineChars="0"/>
        <w:jc w:val="center"/>
        <w:rPr>
          <w:rFonts w:ascii="宋体" w:hAnsi="宋体"/>
          <w:b/>
          <w:bCs/>
        </w:rPr>
      </w:pPr>
      <w:r>
        <w:rPr>
          <w:rFonts w:hint="eastAsia" w:ascii="宋体" w:hAnsi="宋体"/>
          <w:b/>
          <w:bCs/>
        </w:rPr>
        <w:t>表</w:t>
      </w:r>
      <w:r>
        <w:rPr>
          <w:rFonts w:ascii="宋体" w:hAnsi="宋体"/>
          <w:b/>
          <w:bCs/>
        </w:rPr>
        <w:t xml:space="preserve">2.1-1 </w:t>
      </w:r>
      <w:r>
        <w:rPr>
          <w:rFonts w:hint="eastAsia" w:ascii="宋体" w:hAnsi="宋体"/>
          <w:b/>
          <w:bCs/>
        </w:rPr>
        <w:t>农业运输机械技术分解表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8"/>
        <w:gridCol w:w="2098"/>
        <w:gridCol w:w="2098"/>
        <w:gridCol w:w="2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pct"/>
            <w:vAlign w:val="center"/>
          </w:tcPr>
          <w:p>
            <w:pPr>
              <w:ind w:firstLine="0" w:firstLineChars="0"/>
              <w:jc w:val="center"/>
              <w:rPr>
                <w:rFonts w:ascii="宋体" w:hAnsi="宋体"/>
                <w:b/>
                <w:bCs/>
              </w:rPr>
            </w:pPr>
            <w:r>
              <w:rPr>
                <w:rFonts w:hint="eastAsia" w:ascii="宋体" w:hAnsi="宋体"/>
                <w:b/>
                <w:bCs/>
              </w:rPr>
              <w:t>一级分支</w:t>
            </w:r>
          </w:p>
        </w:tc>
        <w:tc>
          <w:tcPr>
            <w:tcW w:w="1231" w:type="pct"/>
            <w:vAlign w:val="center"/>
          </w:tcPr>
          <w:p>
            <w:pPr>
              <w:ind w:firstLine="0" w:firstLineChars="0"/>
              <w:jc w:val="center"/>
              <w:rPr>
                <w:rFonts w:ascii="宋体" w:hAnsi="宋体"/>
                <w:b/>
                <w:bCs/>
              </w:rPr>
            </w:pPr>
            <w:r>
              <w:rPr>
                <w:rFonts w:hint="eastAsia" w:ascii="宋体" w:hAnsi="宋体"/>
                <w:b/>
                <w:bCs/>
              </w:rPr>
              <w:t>二级分支</w:t>
            </w:r>
          </w:p>
        </w:tc>
        <w:tc>
          <w:tcPr>
            <w:tcW w:w="1231" w:type="pct"/>
          </w:tcPr>
          <w:p>
            <w:pPr>
              <w:ind w:firstLine="0" w:firstLineChars="0"/>
              <w:jc w:val="center"/>
              <w:rPr>
                <w:rFonts w:ascii="宋体" w:hAnsi="宋体"/>
                <w:b/>
                <w:bCs/>
              </w:rPr>
            </w:pPr>
            <w:r>
              <w:rPr>
                <w:rFonts w:hint="eastAsia" w:ascii="宋体" w:hAnsi="宋体"/>
                <w:b/>
                <w:bCs/>
              </w:rPr>
              <w:t>三级分支</w:t>
            </w:r>
          </w:p>
        </w:tc>
        <w:tc>
          <w:tcPr>
            <w:tcW w:w="1231" w:type="pct"/>
          </w:tcPr>
          <w:p>
            <w:pPr>
              <w:ind w:firstLine="0" w:firstLineChars="0"/>
              <w:jc w:val="center"/>
              <w:rPr>
                <w:rFonts w:ascii="宋体" w:hAnsi="宋体"/>
                <w:b/>
                <w:bCs/>
              </w:rPr>
            </w:pPr>
            <w:r>
              <w:rPr>
                <w:rFonts w:hint="eastAsia" w:ascii="宋体" w:hAnsi="宋体"/>
                <w:b/>
                <w:bCs/>
              </w:rPr>
              <w:t>四级分支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07" w:type="pct"/>
            <w:vMerge w:val="restart"/>
            <w:vAlign w:val="center"/>
          </w:tcPr>
          <w:p>
            <w:pPr>
              <w:ind w:firstLine="0" w:firstLineChars="0"/>
              <w:jc w:val="center"/>
              <w:rPr>
                <w:rFonts w:ascii="宋体" w:hAnsi="宋体"/>
              </w:rPr>
            </w:pPr>
            <w:bookmarkStart w:id="15" w:name="_Hlk200120072"/>
            <w:r>
              <w:rPr>
                <w:rFonts w:hint="eastAsia" w:ascii="宋体" w:hAnsi="宋体"/>
              </w:rPr>
              <w:t>农业运输机械</w:t>
            </w:r>
          </w:p>
        </w:tc>
        <w:tc>
          <w:tcPr>
            <w:tcW w:w="1231" w:type="pct"/>
            <w:vMerge w:val="restart"/>
            <w:vAlign w:val="center"/>
          </w:tcPr>
          <w:p>
            <w:pPr>
              <w:ind w:firstLine="0" w:firstLineChars="0"/>
              <w:jc w:val="center"/>
              <w:rPr>
                <w:rFonts w:ascii="宋体" w:hAnsi="宋体"/>
              </w:rPr>
            </w:pPr>
            <w:r>
              <w:rPr>
                <w:rFonts w:hint="eastAsia" w:ascii="宋体" w:hAnsi="宋体"/>
              </w:rPr>
              <w:t>农用三轮车</w:t>
            </w:r>
          </w:p>
        </w:tc>
        <w:tc>
          <w:tcPr>
            <w:tcW w:w="1231" w:type="pct"/>
            <w:vMerge w:val="restart"/>
            <w:vAlign w:val="center"/>
          </w:tcPr>
          <w:p>
            <w:pPr>
              <w:ind w:firstLine="0" w:firstLineChars="0"/>
              <w:jc w:val="center"/>
            </w:pPr>
            <w:r>
              <w:rPr>
                <w:rFonts w:hint="eastAsia"/>
              </w:rPr>
              <w:t>动力系统</w:t>
            </w:r>
          </w:p>
        </w:tc>
        <w:tc>
          <w:tcPr>
            <w:tcW w:w="1231" w:type="pct"/>
            <w:vAlign w:val="center"/>
          </w:tcPr>
          <w:p>
            <w:pPr>
              <w:ind w:firstLine="0" w:firstLineChars="0"/>
              <w:jc w:val="center"/>
            </w:pPr>
            <w:r>
              <w:rPr>
                <w:rFonts w:hint="eastAsia"/>
              </w:rPr>
              <w:t>发动机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0" w:firstLineChars="0"/>
              <w:jc w:val="center"/>
              <w:rPr>
                <w:rFonts w:ascii="宋体" w:hAnsi="宋体"/>
              </w:rP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rPr>
                <w:rFonts w:hint="eastAsia"/>
              </w:rPr>
              <w:t>燃油系统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0" w:firstLineChars="0"/>
              <w:jc w:val="center"/>
              <w:rPr>
                <w:rFonts w:ascii="宋体" w:hAnsi="宋体"/>
              </w:rP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rPr>
                <w:rFonts w:hint="eastAsia"/>
              </w:rPr>
              <w:t>启动系统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07" w:type="pct"/>
            <w:vMerge w:val="continue"/>
            <w:vAlign w:val="center"/>
          </w:tcPr>
          <w:p>
            <w:pPr>
              <w:ind w:firstLine="0" w:firstLineChars="0"/>
              <w:jc w:val="center"/>
              <w:rPr>
                <w:rFonts w:ascii="宋体" w:hAnsi="宋体"/>
              </w:rPr>
            </w:pPr>
            <w:bookmarkStart w:id="16" w:name="_Hlk200544638"/>
          </w:p>
        </w:tc>
        <w:tc>
          <w:tcPr>
            <w:tcW w:w="1231" w:type="pct"/>
            <w:vMerge w:val="continue"/>
            <w:vAlign w:val="center"/>
          </w:tcPr>
          <w:p>
            <w:pPr>
              <w:ind w:firstLine="0" w:firstLineChars="0"/>
              <w:jc w:val="center"/>
              <w:rPr>
                <w:rStyle w:val="24"/>
                <w:rFonts w:ascii="Segoe UI" w:hAnsi="Segoe UI" w:cs="Segoe UI"/>
                <w:b w:val="0"/>
                <w:bCs w:val="0"/>
                <w:shd w:val="clear" w:color="auto" w:fill="FFFFFF"/>
              </w:rPr>
            </w:pPr>
          </w:p>
        </w:tc>
        <w:tc>
          <w:tcPr>
            <w:tcW w:w="1231" w:type="pct"/>
            <w:vMerge w:val="restart"/>
            <w:vAlign w:val="center"/>
          </w:tcPr>
          <w:p>
            <w:pPr>
              <w:ind w:firstLine="0" w:firstLineChars="0"/>
              <w:jc w:val="center"/>
            </w:pPr>
            <w:r>
              <w:rPr>
                <w:rFonts w:hint="eastAsia"/>
              </w:rPr>
              <w:t>传动系统</w:t>
            </w:r>
          </w:p>
        </w:tc>
        <w:tc>
          <w:tcPr>
            <w:tcW w:w="1231" w:type="pct"/>
            <w:vAlign w:val="center"/>
          </w:tcPr>
          <w:p>
            <w:pPr>
              <w:ind w:firstLine="0" w:firstLineChars="0"/>
              <w:jc w:val="center"/>
            </w:pPr>
            <w:r>
              <w:rPr>
                <w:rFonts w:hint="eastAsia"/>
              </w:rPr>
              <w:t>离合器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0" w:firstLineChars="0"/>
              <w:jc w:val="center"/>
              <w:rPr>
                <w:rStyle w:val="24"/>
                <w:rFonts w:ascii="Segoe UI" w:hAnsi="Segoe UI" w:cs="Segoe UI"/>
                <w:b w:val="0"/>
                <w:bCs w:val="0"/>
                <w:shd w:val="clear" w:color="auto" w:fill="FFFFFF"/>
              </w:rP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rPr>
                <w:rFonts w:hint="eastAsia"/>
              </w:rPr>
              <w:t>变速箱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0" w:firstLineChars="0"/>
              <w:jc w:val="center"/>
              <w:rPr>
                <w:rStyle w:val="24"/>
                <w:rFonts w:ascii="Segoe UI" w:hAnsi="Segoe UI" w:cs="Segoe UI"/>
                <w:b w:val="0"/>
                <w:bCs w:val="0"/>
                <w:shd w:val="clear" w:color="auto" w:fill="FFFFFF"/>
              </w:rP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rPr>
                <w:rFonts w:hint="eastAsia"/>
              </w:rPr>
              <w:t>传动轴</w:t>
            </w:r>
          </w:p>
        </w:tc>
      </w:tr>
      <w:bookmarkEnd w:id="1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0" w:firstLineChars="0"/>
              <w:jc w:val="center"/>
            </w:pPr>
          </w:p>
        </w:tc>
        <w:tc>
          <w:tcPr>
            <w:tcW w:w="1231" w:type="pct"/>
            <w:vMerge w:val="restart"/>
            <w:vAlign w:val="center"/>
          </w:tcPr>
          <w:p>
            <w:pPr>
              <w:ind w:firstLine="0" w:firstLineChars="0"/>
              <w:jc w:val="center"/>
            </w:pPr>
            <w:r>
              <w:rPr>
                <w:rFonts w:hint="eastAsia"/>
              </w:rPr>
              <w:t>行走系统</w:t>
            </w:r>
          </w:p>
        </w:tc>
        <w:tc>
          <w:tcPr>
            <w:tcW w:w="1231" w:type="pct"/>
            <w:vAlign w:val="center"/>
          </w:tcPr>
          <w:p>
            <w:pPr>
              <w:ind w:firstLine="0" w:firstLineChars="0"/>
              <w:jc w:val="center"/>
            </w:pPr>
            <w:r>
              <w:rPr>
                <w:rFonts w:hint="eastAsia"/>
              </w:rPr>
              <w:t>车架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0" w:firstLineChars="0"/>
              <w:jc w:val="cente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rPr>
                <w:rFonts w:hint="eastAsia"/>
              </w:rPr>
              <w:t>悬挂系统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0" w:firstLineChars="0"/>
              <w:jc w:val="cente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rPr>
                <w:rFonts w:hint="eastAsia"/>
              </w:rPr>
              <w:t>车轮与轮胎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0" w:firstLineChars="0"/>
              <w:jc w:val="center"/>
            </w:pPr>
          </w:p>
        </w:tc>
        <w:tc>
          <w:tcPr>
            <w:tcW w:w="1231" w:type="pct"/>
            <w:vMerge w:val="restart"/>
            <w:vAlign w:val="center"/>
          </w:tcPr>
          <w:p>
            <w:pPr>
              <w:ind w:firstLine="0" w:firstLineChars="0"/>
              <w:jc w:val="center"/>
            </w:pPr>
            <w:r>
              <w:rPr>
                <w:rFonts w:hint="eastAsia"/>
              </w:rPr>
              <w:t>转向系统</w:t>
            </w:r>
          </w:p>
        </w:tc>
        <w:tc>
          <w:tcPr>
            <w:tcW w:w="1231" w:type="pct"/>
            <w:vAlign w:val="center"/>
          </w:tcPr>
          <w:p>
            <w:pPr>
              <w:ind w:firstLine="0" w:firstLineChars="0"/>
              <w:jc w:val="center"/>
            </w:pPr>
            <w:r>
              <w:rPr>
                <w:rFonts w:hint="eastAsia"/>
              </w:rPr>
              <w:t>转向器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0" w:firstLineChars="0"/>
              <w:jc w:val="cente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rPr>
                <w:rFonts w:hint="eastAsia"/>
              </w:rPr>
              <w:t>转向传动机构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07" w:type="pct"/>
            <w:vMerge w:val="continue"/>
            <w:vAlign w:val="center"/>
          </w:tcPr>
          <w:p>
            <w:pPr>
              <w:ind w:firstLine="0" w:firstLineChars="0"/>
              <w:jc w:val="center"/>
              <w:rPr>
                <w:rFonts w:ascii="宋体" w:hAnsi="宋体"/>
              </w:rPr>
            </w:pPr>
            <w:bookmarkStart w:id="17" w:name="_Hlk200545090"/>
          </w:p>
        </w:tc>
        <w:tc>
          <w:tcPr>
            <w:tcW w:w="1231" w:type="pct"/>
            <w:vMerge w:val="continue"/>
            <w:vAlign w:val="center"/>
          </w:tcPr>
          <w:p>
            <w:pPr>
              <w:ind w:firstLine="0" w:firstLineChars="0"/>
              <w:jc w:val="center"/>
              <w:rPr>
                <w:rStyle w:val="24"/>
                <w:rFonts w:ascii="Segoe UI" w:hAnsi="Segoe UI" w:cs="Segoe UI"/>
                <w:b w:val="0"/>
                <w:bCs w:val="0"/>
                <w:shd w:val="clear" w:color="auto" w:fill="FFFFFF"/>
              </w:rPr>
            </w:pPr>
          </w:p>
        </w:tc>
        <w:tc>
          <w:tcPr>
            <w:tcW w:w="1231" w:type="pct"/>
            <w:vMerge w:val="restart"/>
            <w:vAlign w:val="center"/>
          </w:tcPr>
          <w:p>
            <w:pPr>
              <w:ind w:firstLine="0" w:firstLineChars="0"/>
              <w:jc w:val="center"/>
            </w:pPr>
            <w:r>
              <w:rPr>
                <w:rFonts w:hint="eastAsia"/>
              </w:rPr>
              <w:t>制动系统</w:t>
            </w:r>
          </w:p>
        </w:tc>
        <w:tc>
          <w:tcPr>
            <w:tcW w:w="1231" w:type="pct"/>
            <w:vAlign w:val="center"/>
          </w:tcPr>
          <w:p>
            <w:pPr>
              <w:ind w:firstLine="0" w:firstLineChars="0"/>
              <w:jc w:val="center"/>
            </w:pPr>
            <w:r>
              <w:rPr>
                <w:rFonts w:hint="eastAsia"/>
              </w:rPr>
              <w:t>行车制动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0" w:firstLineChars="0"/>
              <w:jc w:val="center"/>
              <w:rPr>
                <w:rStyle w:val="24"/>
                <w:rFonts w:ascii="Segoe UI" w:hAnsi="Segoe UI" w:cs="Segoe UI"/>
                <w:b w:val="0"/>
                <w:bCs w:val="0"/>
                <w:shd w:val="clear" w:color="auto" w:fill="FFFFFF"/>
              </w:rP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rPr>
                <w:rFonts w:hint="eastAsia"/>
              </w:rPr>
              <w:t>驻车制动</w:t>
            </w:r>
          </w:p>
        </w:tc>
      </w:tr>
      <w:bookmarkEnd w:id="1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0" w:firstLineChars="0"/>
              <w:jc w:val="center"/>
            </w:pPr>
          </w:p>
        </w:tc>
        <w:tc>
          <w:tcPr>
            <w:tcW w:w="1231" w:type="pct"/>
            <w:vMerge w:val="restart"/>
            <w:vAlign w:val="center"/>
          </w:tcPr>
          <w:p>
            <w:pPr>
              <w:ind w:firstLine="0" w:firstLineChars="0"/>
              <w:jc w:val="center"/>
            </w:pPr>
            <w:r>
              <w:rPr>
                <w:rFonts w:hint="eastAsia"/>
              </w:rPr>
              <w:t>车身及货箱</w:t>
            </w:r>
          </w:p>
        </w:tc>
        <w:tc>
          <w:tcPr>
            <w:tcW w:w="1231" w:type="pct"/>
            <w:vAlign w:val="center"/>
          </w:tcPr>
          <w:p>
            <w:pPr>
              <w:ind w:firstLine="0" w:firstLineChars="0"/>
              <w:jc w:val="center"/>
            </w:pPr>
            <w:r>
              <w:rPr>
                <w:rFonts w:hint="eastAsia"/>
              </w:rPr>
              <w:t>车身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0" w:firstLineChars="0"/>
              <w:jc w:val="cente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rPr>
                <w:rFonts w:hint="eastAsia"/>
              </w:rPr>
              <w:t>货箱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07" w:type="pct"/>
            <w:vMerge w:val="continue"/>
            <w:vAlign w:val="center"/>
          </w:tcPr>
          <w:p>
            <w:pPr>
              <w:ind w:firstLine="0" w:firstLineChars="0"/>
              <w:jc w:val="center"/>
              <w:rPr>
                <w:rFonts w:ascii="宋体" w:hAnsi="宋体"/>
              </w:rPr>
            </w:pPr>
          </w:p>
        </w:tc>
        <w:tc>
          <w:tcPr>
            <w:tcW w:w="1231" w:type="pct"/>
            <w:vMerge w:val="restart"/>
            <w:vAlign w:val="center"/>
          </w:tcPr>
          <w:p>
            <w:pPr>
              <w:ind w:firstLine="0" w:firstLineChars="0"/>
              <w:jc w:val="center"/>
            </w:pPr>
            <w:r>
              <w:rPr>
                <w:rFonts w:hint="eastAsia"/>
              </w:rPr>
              <w:t>农用拖拉机</w:t>
            </w:r>
          </w:p>
        </w:tc>
        <w:tc>
          <w:tcPr>
            <w:tcW w:w="1231" w:type="pct"/>
            <w:vMerge w:val="restart"/>
            <w:vAlign w:val="center"/>
          </w:tcPr>
          <w:p>
            <w:pPr>
              <w:ind w:firstLine="0" w:firstLineChars="0"/>
              <w:jc w:val="center"/>
            </w:pPr>
            <w:r>
              <w:rPr>
                <w:rFonts w:hint="eastAsia"/>
              </w:rPr>
              <w:t>动力系统</w:t>
            </w:r>
          </w:p>
        </w:tc>
        <w:tc>
          <w:tcPr>
            <w:tcW w:w="1231" w:type="pct"/>
            <w:vAlign w:val="center"/>
          </w:tcPr>
          <w:p>
            <w:pPr>
              <w:ind w:firstLine="0" w:firstLineChars="0"/>
              <w:jc w:val="center"/>
            </w:pPr>
            <w:r>
              <w:rPr>
                <w:rFonts w:hint="eastAsia"/>
              </w:rPr>
              <w:t>发动机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0" w:firstLineChars="0"/>
              <w:jc w:val="cente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rPr>
                <w:rFonts w:hint="eastAsia"/>
              </w:rPr>
              <w:t>燃油系统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0" w:firstLineChars="0"/>
              <w:jc w:val="cente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rPr>
                <w:rFonts w:hint="eastAsia"/>
              </w:rPr>
              <w:t>启动系统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480"/>
              <w:jc w:val="center"/>
            </w:pPr>
          </w:p>
        </w:tc>
        <w:tc>
          <w:tcPr>
            <w:tcW w:w="1231" w:type="pct"/>
            <w:vMerge w:val="restart"/>
            <w:vAlign w:val="center"/>
          </w:tcPr>
          <w:p>
            <w:pPr>
              <w:ind w:firstLine="0" w:firstLineChars="0"/>
              <w:jc w:val="center"/>
            </w:pPr>
            <w:r>
              <w:rPr>
                <w:rFonts w:hint="eastAsia"/>
              </w:rPr>
              <w:t>传动系统</w:t>
            </w:r>
          </w:p>
        </w:tc>
        <w:tc>
          <w:tcPr>
            <w:tcW w:w="1231" w:type="pct"/>
            <w:vAlign w:val="center"/>
          </w:tcPr>
          <w:p>
            <w:pPr>
              <w:ind w:firstLine="0" w:firstLineChars="0"/>
              <w:jc w:val="center"/>
            </w:pPr>
            <w:r>
              <w:rPr>
                <w:rFonts w:hint="eastAsia"/>
              </w:rPr>
              <w:t>离合器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480"/>
              <w:jc w:val="cente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rPr>
                <w:rFonts w:hint="eastAsia"/>
              </w:rPr>
              <w:t>变速箱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480"/>
              <w:jc w:val="cente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t>中央传动与差速器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480"/>
              <w:jc w:val="center"/>
            </w:pPr>
          </w:p>
        </w:tc>
        <w:tc>
          <w:tcPr>
            <w:tcW w:w="1231" w:type="pct"/>
            <w:vMerge w:val="restart"/>
            <w:vAlign w:val="center"/>
          </w:tcPr>
          <w:p>
            <w:pPr>
              <w:ind w:firstLine="0" w:firstLineChars="0"/>
              <w:jc w:val="center"/>
            </w:pPr>
            <w:r>
              <w:rPr>
                <w:rFonts w:hint="eastAsia"/>
              </w:rPr>
              <w:t>行走系统</w:t>
            </w:r>
          </w:p>
        </w:tc>
        <w:tc>
          <w:tcPr>
            <w:tcW w:w="1231" w:type="pct"/>
            <w:vAlign w:val="center"/>
          </w:tcPr>
          <w:p>
            <w:pPr>
              <w:ind w:firstLine="0" w:firstLineChars="0"/>
              <w:jc w:val="center"/>
            </w:pPr>
            <w:r>
              <w:rPr>
                <w:rFonts w:hint="eastAsia"/>
              </w:rPr>
              <w:t>车架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480"/>
              <w:jc w:val="cente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rPr>
                <w:rFonts w:hint="eastAsia"/>
              </w:rPr>
              <w:t>悬挂系统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480"/>
              <w:jc w:val="cente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rPr>
                <w:rFonts w:hint="eastAsia"/>
              </w:rPr>
              <w:t>驱动轮与轮胎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480"/>
              <w:jc w:val="center"/>
            </w:pPr>
          </w:p>
        </w:tc>
        <w:tc>
          <w:tcPr>
            <w:tcW w:w="1231" w:type="pct"/>
            <w:vMerge w:val="restart"/>
            <w:vAlign w:val="center"/>
          </w:tcPr>
          <w:p>
            <w:pPr>
              <w:ind w:firstLine="0" w:firstLineChars="0"/>
              <w:jc w:val="center"/>
            </w:pPr>
            <w:r>
              <w:rPr>
                <w:rFonts w:hint="eastAsia"/>
              </w:rPr>
              <w:t>转向系统</w:t>
            </w:r>
          </w:p>
        </w:tc>
        <w:tc>
          <w:tcPr>
            <w:tcW w:w="1231" w:type="pct"/>
            <w:vAlign w:val="center"/>
          </w:tcPr>
          <w:p>
            <w:pPr>
              <w:ind w:firstLine="0" w:firstLineChars="0"/>
              <w:jc w:val="center"/>
            </w:pPr>
            <w:r>
              <w:rPr>
                <w:rFonts w:hint="eastAsia"/>
              </w:rPr>
              <w:t>转向器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480"/>
              <w:jc w:val="cente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rPr>
                <w:rFonts w:hint="eastAsia"/>
              </w:rPr>
              <w:t>转向传动机构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480"/>
              <w:jc w:val="center"/>
            </w:pPr>
          </w:p>
        </w:tc>
        <w:tc>
          <w:tcPr>
            <w:tcW w:w="1231" w:type="pct"/>
            <w:vMerge w:val="restart"/>
            <w:vAlign w:val="center"/>
          </w:tcPr>
          <w:p>
            <w:pPr>
              <w:ind w:firstLine="0" w:firstLineChars="0"/>
              <w:jc w:val="center"/>
            </w:pPr>
            <w:r>
              <w:rPr>
                <w:rFonts w:hint="eastAsia"/>
              </w:rPr>
              <w:t>制动系统</w:t>
            </w:r>
          </w:p>
        </w:tc>
        <w:tc>
          <w:tcPr>
            <w:tcW w:w="1231" w:type="pct"/>
            <w:vAlign w:val="center"/>
          </w:tcPr>
          <w:p>
            <w:pPr>
              <w:ind w:firstLine="0" w:firstLineChars="0"/>
              <w:jc w:val="center"/>
            </w:pPr>
            <w:r>
              <w:rPr>
                <w:rFonts w:hint="eastAsia"/>
              </w:rPr>
              <w:t>行车制动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480"/>
              <w:jc w:val="cente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rPr>
                <w:rFonts w:hint="eastAsia"/>
              </w:rPr>
              <w:t>驻车制动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480"/>
              <w:jc w:val="center"/>
            </w:pPr>
          </w:p>
        </w:tc>
        <w:tc>
          <w:tcPr>
            <w:tcW w:w="1231" w:type="pct"/>
            <w:vMerge w:val="restart"/>
            <w:vAlign w:val="center"/>
          </w:tcPr>
          <w:p>
            <w:pPr>
              <w:ind w:firstLine="0" w:firstLineChars="0"/>
              <w:jc w:val="center"/>
            </w:pPr>
            <w:r>
              <w:rPr>
                <w:rFonts w:hint="eastAsia"/>
              </w:rPr>
              <w:t>电气系统</w:t>
            </w:r>
          </w:p>
        </w:tc>
        <w:tc>
          <w:tcPr>
            <w:tcW w:w="1231" w:type="pct"/>
            <w:vAlign w:val="center"/>
          </w:tcPr>
          <w:p>
            <w:pPr>
              <w:ind w:firstLine="0" w:firstLineChars="0"/>
              <w:jc w:val="center"/>
            </w:pPr>
            <w:r>
              <w:rPr>
                <w:rFonts w:hint="eastAsia"/>
              </w:rPr>
              <w:t>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480"/>
              <w:jc w:val="cente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rPr>
                <w:rFonts w:hint="eastAsia"/>
              </w:rPr>
              <w:t>照明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480"/>
              <w:jc w:val="cente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rPr>
                <w:rFonts w:hint="eastAsia"/>
              </w:rPr>
              <w:t>电控系统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480"/>
              <w:jc w:val="center"/>
            </w:pPr>
          </w:p>
        </w:tc>
        <w:tc>
          <w:tcPr>
            <w:tcW w:w="1231" w:type="pct"/>
            <w:vMerge w:val="restart"/>
            <w:vAlign w:val="center"/>
          </w:tcPr>
          <w:p>
            <w:pPr>
              <w:ind w:firstLine="0" w:firstLineChars="0"/>
              <w:jc w:val="center"/>
            </w:pPr>
            <w:r>
              <w:rPr>
                <w:rFonts w:hint="eastAsia"/>
              </w:rPr>
              <w:t>工作装置</w:t>
            </w:r>
          </w:p>
        </w:tc>
        <w:tc>
          <w:tcPr>
            <w:tcW w:w="1231" w:type="pct"/>
            <w:vAlign w:val="center"/>
          </w:tcPr>
          <w:p>
            <w:pPr>
              <w:ind w:firstLine="0" w:firstLineChars="0"/>
              <w:jc w:val="center"/>
            </w:pPr>
            <w:r>
              <w:t>液压悬挂系统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480"/>
              <w:jc w:val="cente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t>动力输出轴（PTO）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480"/>
              <w:jc w:val="cente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t>牵引装置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480"/>
              <w:jc w:val="cente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t>其他专用装置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480"/>
              <w:jc w:val="center"/>
            </w:pPr>
          </w:p>
        </w:tc>
        <w:tc>
          <w:tcPr>
            <w:tcW w:w="1231" w:type="pct"/>
            <w:vMerge w:val="restart"/>
            <w:vAlign w:val="center"/>
          </w:tcPr>
          <w:p>
            <w:pPr>
              <w:ind w:firstLine="0" w:firstLineChars="0"/>
              <w:jc w:val="center"/>
            </w:pPr>
            <w:r>
              <w:rPr>
                <w:rFonts w:hint="eastAsia"/>
              </w:rPr>
              <w:t>驾驶室与操纵系统</w:t>
            </w:r>
          </w:p>
        </w:tc>
        <w:tc>
          <w:tcPr>
            <w:tcW w:w="1231" w:type="pct"/>
            <w:vAlign w:val="center"/>
          </w:tcPr>
          <w:p>
            <w:pPr>
              <w:ind w:firstLine="0" w:firstLineChars="0"/>
              <w:jc w:val="center"/>
            </w:pPr>
            <w:r>
              <w:t>驾驶室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pct"/>
            <w:vMerge w:val="continue"/>
            <w:vAlign w:val="center"/>
          </w:tcPr>
          <w:p>
            <w:pPr>
              <w:ind w:firstLine="0" w:firstLineChars="0"/>
              <w:jc w:val="center"/>
              <w:rPr>
                <w:rFonts w:ascii="宋体" w:hAnsi="宋体"/>
              </w:rPr>
            </w:pPr>
          </w:p>
        </w:tc>
        <w:tc>
          <w:tcPr>
            <w:tcW w:w="1231" w:type="pct"/>
            <w:vMerge w:val="continue"/>
            <w:vAlign w:val="center"/>
          </w:tcPr>
          <w:p>
            <w:pPr>
              <w:ind w:firstLine="480"/>
              <w:jc w:val="center"/>
            </w:pPr>
          </w:p>
        </w:tc>
        <w:tc>
          <w:tcPr>
            <w:tcW w:w="1231" w:type="pct"/>
            <w:vMerge w:val="continue"/>
            <w:vAlign w:val="center"/>
          </w:tcPr>
          <w:p>
            <w:pPr>
              <w:ind w:firstLine="0" w:firstLineChars="0"/>
              <w:jc w:val="center"/>
            </w:pPr>
          </w:p>
        </w:tc>
        <w:tc>
          <w:tcPr>
            <w:tcW w:w="1231" w:type="pct"/>
            <w:vAlign w:val="center"/>
          </w:tcPr>
          <w:p>
            <w:pPr>
              <w:ind w:firstLine="0" w:firstLineChars="0"/>
              <w:jc w:val="center"/>
            </w:pPr>
            <w:r>
              <w:rPr>
                <w:rFonts w:hint="eastAsia"/>
              </w:rPr>
              <w:t>操纵系统</w:t>
            </w:r>
          </w:p>
        </w:tc>
      </w:tr>
      <w:bookmarkEnd w:id="15"/>
    </w:tbl>
    <w:p>
      <w:pPr>
        <w:ind w:firstLine="482"/>
        <w:rPr>
          <w:b/>
          <w:bCs/>
        </w:rPr>
      </w:pPr>
    </w:p>
    <w:p>
      <w:pPr>
        <w:pStyle w:val="2"/>
        <w:ind w:firstLine="482"/>
        <w:rPr>
          <w:b/>
          <w:bCs/>
        </w:rPr>
      </w:pPr>
      <w:r>
        <w:rPr>
          <w:rFonts w:hint="eastAsia"/>
          <w:b/>
          <w:bCs/>
        </w:rPr>
        <w:t>三、检索范围</w:t>
      </w:r>
    </w:p>
    <w:p>
      <w:pPr>
        <w:ind w:firstLine="480"/>
        <w:rPr>
          <w:rFonts w:ascii="宋体" w:hAnsi="宋体" w:cs="楷体"/>
          <w:color w:val="000000" w:themeColor="text1"/>
        </w:rPr>
      </w:pPr>
      <w:r>
        <w:rPr>
          <w:rFonts w:hint="eastAsia" w:ascii="宋体" w:hAnsi="宋体" w:cs="楷体"/>
          <w:color w:val="000000" w:themeColor="text1"/>
        </w:rPr>
        <w:t>本次</w:t>
      </w:r>
      <w:r>
        <w:rPr>
          <w:rFonts w:ascii="宋体" w:hAnsi="宋体" w:cs="楷体"/>
          <w:color w:val="000000" w:themeColor="text1"/>
        </w:rPr>
        <w:t>分析报告综合了分类号检索策略、关键词检索策略以及申请人或发明人追踪检索策略。</w:t>
      </w:r>
    </w:p>
    <w:p>
      <w:pPr>
        <w:ind w:firstLine="480"/>
        <w:rPr>
          <w:rFonts w:ascii="宋体" w:hAnsi="宋体" w:cs="楷体"/>
          <w:color w:val="000000" w:themeColor="text1"/>
        </w:rPr>
      </w:pPr>
      <w:r>
        <w:rPr>
          <w:rFonts w:ascii="宋体" w:hAnsi="宋体" w:cs="楷体"/>
          <w:color w:val="000000" w:themeColor="text1"/>
        </w:rPr>
        <w:t>分类号检索策略</w:t>
      </w:r>
      <w:r>
        <w:rPr>
          <w:rFonts w:hint="eastAsia" w:ascii="宋体" w:hAnsi="宋体" w:cs="楷体"/>
          <w:color w:val="000000" w:themeColor="text1"/>
        </w:rPr>
        <w:t>：采用</w:t>
      </w:r>
      <w:r>
        <w:rPr>
          <w:rFonts w:ascii="宋体" w:hAnsi="宋体" w:cs="楷体"/>
          <w:color w:val="000000" w:themeColor="text1"/>
        </w:rPr>
        <w:t>国际上通用的专利文献分类规</w:t>
      </w:r>
      <w:r>
        <w:rPr>
          <w:rFonts w:hint="eastAsia" w:ascii="宋体" w:hAnsi="宋体" w:cs="楷体"/>
          <w:color w:val="000000" w:themeColor="text1"/>
        </w:rPr>
        <w:t>--</w:t>
      </w:r>
      <w:r>
        <w:rPr>
          <w:rFonts w:ascii="宋体" w:hAnsi="宋体" w:cs="楷体"/>
          <w:color w:val="000000" w:themeColor="text1"/>
        </w:rPr>
        <w:t>IPC分类规则</w:t>
      </w:r>
      <w:r>
        <w:rPr>
          <w:rFonts w:hint="eastAsia" w:ascii="宋体" w:hAnsi="宋体" w:cs="楷体"/>
          <w:color w:val="000000" w:themeColor="text1"/>
        </w:rPr>
        <w:t>，</w:t>
      </w:r>
      <w:r>
        <w:rPr>
          <w:rFonts w:ascii="宋体" w:hAnsi="宋体" w:cs="楷体"/>
          <w:color w:val="000000" w:themeColor="text1"/>
        </w:rPr>
        <w:t>另外，针对EPO、USPTO以及JPO</w:t>
      </w:r>
      <w:r>
        <w:rPr>
          <w:rFonts w:hint="eastAsia" w:ascii="宋体" w:hAnsi="宋体" w:cs="楷体"/>
          <w:color w:val="000000" w:themeColor="text1"/>
        </w:rPr>
        <w:t>，</w:t>
      </w:r>
      <w:r>
        <w:rPr>
          <w:rFonts w:ascii="宋体" w:hAnsi="宋体" w:cs="楷体"/>
          <w:color w:val="000000" w:themeColor="text1"/>
        </w:rPr>
        <w:t>分别采用ECLA、UC、FI/FT等分类体系，对其公布的文献、部分外国专利文献和一些非专利文献进行分类检索。在本报告中根据</w:t>
      </w:r>
      <w:r>
        <w:rPr>
          <w:rFonts w:hint="eastAsia" w:ascii="宋体" w:hAnsi="宋体" w:cs="楷体"/>
          <w:color w:val="000000" w:themeColor="text1"/>
        </w:rPr>
        <w:t>达宝文</w:t>
      </w:r>
      <w:r>
        <w:rPr>
          <w:rFonts w:ascii="宋体" w:hAnsi="宋体" w:cs="楷体"/>
          <w:color w:val="000000" w:themeColor="text1"/>
        </w:rPr>
        <w:t>公司提供的相关技术资料进行技术分解，重点选择IPC分类体系进行检索。</w:t>
      </w:r>
    </w:p>
    <w:p>
      <w:pPr>
        <w:ind w:firstLine="480"/>
        <w:rPr>
          <w:rFonts w:ascii="宋体" w:hAnsi="宋体" w:cs="楷体"/>
          <w:color w:val="000000" w:themeColor="text1"/>
        </w:rPr>
      </w:pPr>
      <w:r>
        <w:rPr>
          <w:rFonts w:ascii="宋体" w:hAnsi="宋体" w:cs="楷体"/>
          <w:color w:val="000000" w:themeColor="text1"/>
        </w:rPr>
        <w:t>关键词检索策略</w:t>
      </w:r>
      <w:r>
        <w:rPr>
          <w:rFonts w:hint="eastAsia" w:ascii="宋体" w:hAnsi="宋体" w:cs="楷体"/>
          <w:color w:val="000000" w:themeColor="text1"/>
        </w:rPr>
        <w:t>：</w:t>
      </w:r>
      <w:r>
        <w:rPr>
          <w:rFonts w:ascii="宋体" w:hAnsi="宋体" w:cs="楷体"/>
          <w:color w:val="000000" w:themeColor="text1"/>
        </w:rPr>
        <w:t>本报告针对关键词在标题</w:t>
      </w:r>
      <w:r>
        <w:rPr>
          <w:rFonts w:hint="eastAsia" w:ascii="宋体" w:hAnsi="宋体" w:cs="楷体"/>
          <w:color w:val="000000" w:themeColor="text1"/>
        </w:rPr>
        <w:t>、</w:t>
      </w:r>
      <w:r>
        <w:rPr>
          <w:rFonts w:ascii="宋体" w:hAnsi="宋体" w:cs="楷体"/>
          <w:color w:val="000000" w:themeColor="text1"/>
        </w:rPr>
        <w:t>摘要</w:t>
      </w:r>
      <w:r>
        <w:rPr>
          <w:rFonts w:hint="eastAsia" w:ascii="宋体" w:hAnsi="宋体" w:cs="楷体"/>
          <w:color w:val="000000" w:themeColor="text1"/>
        </w:rPr>
        <w:t>、</w:t>
      </w:r>
      <w:r>
        <w:rPr>
          <w:rFonts w:ascii="宋体" w:hAnsi="宋体" w:cs="楷体"/>
          <w:color w:val="000000" w:themeColor="text1"/>
        </w:rPr>
        <w:t>权利要求书</w:t>
      </w:r>
      <w:r>
        <w:rPr>
          <w:rFonts w:hint="eastAsia" w:ascii="宋体" w:hAnsi="宋体" w:cs="楷体"/>
          <w:color w:val="000000" w:themeColor="text1"/>
        </w:rPr>
        <w:t>、</w:t>
      </w:r>
      <w:r>
        <w:rPr>
          <w:rFonts w:ascii="宋体" w:hAnsi="宋体" w:cs="楷体"/>
          <w:color w:val="000000" w:themeColor="text1"/>
        </w:rPr>
        <w:t>和全文中进行检索</w:t>
      </w:r>
      <w:r>
        <w:rPr>
          <w:rFonts w:hint="eastAsia" w:ascii="宋体" w:hAnsi="宋体" w:cs="楷体"/>
          <w:color w:val="000000" w:themeColor="text1"/>
        </w:rPr>
        <w:t>，</w:t>
      </w:r>
      <w:r>
        <w:rPr>
          <w:rFonts w:ascii="宋体" w:hAnsi="宋体" w:cs="楷体"/>
          <w:color w:val="000000" w:themeColor="text1"/>
        </w:rPr>
        <w:t>着重在权利要求书中进行检索</w:t>
      </w:r>
      <w:r>
        <w:rPr>
          <w:rFonts w:hint="eastAsia" w:ascii="宋体" w:hAnsi="宋体" w:cs="楷体"/>
          <w:color w:val="000000" w:themeColor="text1"/>
        </w:rPr>
        <w:t>。</w:t>
      </w:r>
    </w:p>
    <w:p>
      <w:pPr>
        <w:ind w:firstLine="480"/>
        <w:rPr>
          <w:rFonts w:ascii="宋体" w:hAnsi="宋体" w:cs="楷体"/>
          <w:color w:val="000000" w:themeColor="text1"/>
        </w:rPr>
      </w:pPr>
      <w:r>
        <w:rPr>
          <w:rFonts w:ascii="宋体" w:hAnsi="宋体" w:cs="楷体"/>
          <w:color w:val="000000" w:themeColor="text1"/>
        </w:rPr>
        <w:t>1.</w:t>
      </w:r>
      <w:r>
        <w:rPr>
          <w:rFonts w:ascii="宋体" w:hAnsi="宋体"/>
          <w:color w:val="000000" w:themeColor="text1"/>
        </w:rPr>
        <w:t>摘要检索</w:t>
      </w:r>
      <w:r>
        <w:rPr>
          <w:rFonts w:hint="eastAsia" w:ascii="宋体" w:hAnsi="宋体"/>
          <w:color w:val="000000" w:themeColor="text1"/>
        </w:rPr>
        <w:t>：</w:t>
      </w:r>
      <w:r>
        <w:rPr>
          <w:rFonts w:ascii="宋体" w:hAnsi="宋体"/>
          <w:color w:val="000000" w:themeColor="text1"/>
        </w:rPr>
        <w:t>摘要是说明书、</w:t>
      </w:r>
      <w:r>
        <w:rPr>
          <w:rFonts w:ascii="宋体" w:hAnsi="宋体" w:cs="楷体"/>
          <w:color w:val="000000" w:themeColor="text1"/>
        </w:rPr>
        <w:t>权利要求书和附图中所包含的公开内容的概要，其一般</w:t>
      </w:r>
      <w:r>
        <w:rPr>
          <w:rFonts w:hint="eastAsia" w:ascii="宋体" w:hAnsi="宋体" w:cs="楷体"/>
          <w:color w:val="000000" w:themeColor="text1"/>
        </w:rPr>
        <w:t>涵盖</w:t>
      </w:r>
      <w:r>
        <w:rPr>
          <w:rFonts w:ascii="宋体" w:hAnsi="宋体" w:cs="楷体"/>
          <w:color w:val="000000" w:themeColor="text1"/>
        </w:rPr>
        <w:t>发明所属技术领域</w:t>
      </w:r>
      <w:r>
        <w:rPr>
          <w:rFonts w:hint="eastAsia" w:ascii="宋体" w:hAnsi="宋体" w:cs="楷体"/>
          <w:color w:val="000000" w:themeColor="text1"/>
        </w:rPr>
        <w:t>、</w:t>
      </w:r>
      <w:r>
        <w:rPr>
          <w:rFonts w:ascii="宋体" w:hAnsi="宋体" w:cs="楷体"/>
          <w:color w:val="000000" w:themeColor="text1"/>
        </w:rPr>
        <w:t>要解决的技术问题、通过发明解决该技术问题的方案的要点和发明的用途。</w:t>
      </w:r>
    </w:p>
    <w:p>
      <w:pPr>
        <w:ind w:firstLine="480"/>
        <w:rPr>
          <w:rFonts w:ascii="宋体" w:hAnsi="宋体" w:cs="楷体"/>
          <w:color w:val="000000" w:themeColor="text1"/>
        </w:rPr>
      </w:pPr>
      <w:r>
        <w:rPr>
          <w:rFonts w:hint="eastAsia" w:ascii="宋体" w:hAnsi="宋体" w:cs="楷体"/>
          <w:color w:val="000000" w:themeColor="text1"/>
        </w:rPr>
        <w:t>2</w:t>
      </w:r>
      <w:r>
        <w:rPr>
          <w:rFonts w:ascii="宋体" w:hAnsi="宋体" w:cs="楷体"/>
          <w:color w:val="000000" w:themeColor="text1"/>
        </w:rPr>
        <w:t>.</w:t>
      </w:r>
      <w:r>
        <w:rPr>
          <w:rFonts w:hint="eastAsia" w:ascii="宋体" w:hAnsi="宋体" w:cs="楷体"/>
          <w:color w:val="000000" w:themeColor="text1"/>
        </w:rPr>
        <w:t>权利要求检索：</w:t>
      </w:r>
      <w:r>
        <w:rPr>
          <w:rFonts w:ascii="宋体" w:hAnsi="宋体" w:cs="楷体"/>
          <w:color w:val="000000" w:themeColor="text1"/>
        </w:rPr>
        <w:t>权利要求书是专利文件中限定专利保护范围的文件部分。权利要求书记载发明或者实用新型的技术特征。权利要求具有独立权利要求，也可以有从属权利要求。独立权利要求从整体上反映发明或者实用新型的技术方案，记载解决技术问题所需的必要技术特征。从属权利要求用附加的技术特征，对引用的权利要求做进一步限定。</w:t>
      </w:r>
    </w:p>
    <w:p>
      <w:pPr>
        <w:ind w:firstLine="480"/>
        <w:rPr>
          <w:rFonts w:ascii="宋体" w:hAnsi="宋体" w:cs="楷体"/>
          <w:color w:val="000000" w:themeColor="text1"/>
        </w:rPr>
      </w:pPr>
      <w:r>
        <w:rPr>
          <w:rFonts w:ascii="宋体" w:hAnsi="宋体" w:cs="楷体"/>
          <w:color w:val="000000" w:themeColor="text1"/>
        </w:rPr>
        <w:t>3.全文检索</w:t>
      </w:r>
      <w:r>
        <w:rPr>
          <w:rFonts w:hint="eastAsia" w:ascii="宋体" w:hAnsi="宋体" w:cs="楷体"/>
          <w:color w:val="000000" w:themeColor="text1"/>
        </w:rPr>
        <w:t>：</w:t>
      </w:r>
      <w:r>
        <w:rPr>
          <w:rFonts w:ascii="宋体" w:hAnsi="宋体"/>
          <w:color w:val="000000" w:themeColor="text1"/>
        </w:rPr>
        <w:t>对于全文库的检索，更关注一些技术细节，或者技术参数等等。在进行全文检索时对关键词进行选择与对文摘库进行检索时侧重点有所不同，对于全文库的检索，更多的关注关键词的“全”。</w:t>
      </w:r>
      <w:r>
        <w:rPr>
          <w:rFonts w:hint="eastAsia" w:ascii="宋体" w:hAnsi="宋体" w:cs="楷体"/>
          <w:color w:val="000000" w:themeColor="text1"/>
        </w:rPr>
        <w:t>通过对</w:t>
      </w:r>
      <w:r>
        <w:rPr>
          <w:rFonts w:ascii="宋体" w:hAnsi="宋体" w:cs="楷体"/>
          <w:color w:val="000000" w:themeColor="text1"/>
        </w:rPr>
        <w:t>全文库的检索，</w:t>
      </w:r>
      <w:r>
        <w:rPr>
          <w:rFonts w:hint="eastAsia" w:ascii="宋体" w:hAnsi="宋体" w:cs="楷体"/>
          <w:color w:val="000000" w:themeColor="text1"/>
        </w:rPr>
        <w:t>可以</w:t>
      </w:r>
      <w:r>
        <w:rPr>
          <w:rFonts w:ascii="宋体" w:hAnsi="宋体" w:cs="楷体"/>
          <w:color w:val="000000" w:themeColor="text1"/>
        </w:rPr>
        <w:t>保证检索的查全率。</w:t>
      </w:r>
    </w:p>
    <w:p>
      <w:pPr>
        <w:ind w:firstLine="480"/>
        <w:rPr>
          <w:rFonts w:ascii="宋体" w:hAnsi="宋体"/>
        </w:rPr>
      </w:pPr>
      <w:r>
        <w:rPr>
          <w:rFonts w:hint="eastAsia" w:ascii="宋体" w:hAnsi="宋体"/>
        </w:rPr>
        <w:t>应当声明，受专利审查进度的影响，2</w:t>
      </w:r>
      <w:r>
        <w:rPr>
          <w:rFonts w:ascii="宋体" w:hAnsi="宋体"/>
        </w:rPr>
        <w:t>024</w:t>
      </w:r>
      <w:r>
        <w:rPr>
          <w:rFonts w:hint="eastAsia" w:ascii="宋体" w:hAnsi="宋体"/>
        </w:rPr>
        <w:t>年与2</w:t>
      </w:r>
      <w:r>
        <w:rPr>
          <w:rFonts w:ascii="宋体" w:hAnsi="宋体"/>
        </w:rPr>
        <w:t>025</w:t>
      </w:r>
      <w:r>
        <w:rPr>
          <w:rFonts w:hint="eastAsia" w:ascii="宋体" w:hAnsi="宋体"/>
        </w:rPr>
        <w:t>年的部分专利仍未公开，所以本报告中2</w:t>
      </w:r>
      <w:r>
        <w:rPr>
          <w:rFonts w:ascii="宋体" w:hAnsi="宋体"/>
        </w:rPr>
        <w:t>024</w:t>
      </w:r>
      <w:r>
        <w:rPr>
          <w:rFonts w:hint="eastAsia" w:ascii="宋体" w:hAnsi="宋体"/>
        </w:rPr>
        <w:t>年与2</w:t>
      </w:r>
      <w:r>
        <w:rPr>
          <w:rFonts w:ascii="宋体" w:hAnsi="宋体"/>
        </w:rPr>
        <w:t>025</w:t>
      </w:r>
      <w:r>
        <w:rPr>
          <w:rFonts w:hint="eastAsia" w:ascii="宋体" w:hAnsi="宋体"/>
        </w:rPr>
        <w:t>年的专利数量只包含了已经公开的专利数量，所以2</w:t>
      </w:r>
      <w:r>
        <w:rPr>
          <w:rFonts w:ascii="宋体" w:hAnsi="宋体"/>
        </w:rPr>
        <w:t>024</w:t>
      </w:r>
      <w:r>
        <w:rPr>
          <w:rFonts w:hint="eastAsia" w:ascii="宋体" w:hAnsi="宋体"/>
        </w:rPr>
        <w:t>年与2</w:t>
      </w:r>
      <w:r>
        <w:rPr>
          <w:rFonts w:ascii="宋体" w:hAnsi="宋体"/>
        </w:rPr>
        <w:t>025</w:t>
      </w:r>
      <w:r>
        <w:rPr>
          <w:rFonts w:hint="eastAsia" w:ascii="宋体" w:hAnsi="宋体"/>
        </w:rPr>
        <w:t>年的专利数量不具备参考价值，下文中将不再赘述。</w:t>
      </w:r>
    </w:p>
    <w:p>
      <w:pPr>
        <w:ind w:firstLine="482"/>
        <w:rPr>
          <w:rFonts w:ascii="宋体" w:hAnsi="宋体"/>
          <w:b/>
          <w:bCs/>
        </w:rPr>
      </w:pPr>
      <w:r>
        <w:rPr>
          <w:rFonts w:hint="eastAsia" w:ascii="宋体" w:hAnsi="宋体"/>
          <w:b/>
          <w:bCs/>
        </w:rPr>
        <w:t>四、主要检索式</w:t>
      </w:r>
    </w:p>
    <w:p>
      <w:pPr>
        <w:pStyle w:val="20"/>
        <w:shd w:val="clear" w:color="auto" w:fill="FFFFFF"/>
        <w:ind w:firstLine="0" w:firstLineChars="0"/>
        <w:jc w:val="center"/>
        <w:rPr>
          <w:rFonts w:cs="Helvetica" w:asciiTheme="minorEastAsia" w:hAnsiTheme="minorEastAsia" w:eastAsiaTheme="minorEastAsia"/>
          <w:b/>
          <w:color w:val="000000" w:themeColor="text1"/>
        </w:rPr>
      </w:pPr>
      <w:r>
        <w:rPr>
          <w:rFonts w:hint="eastAsia" w:cs="Helvetica" w:asciiTheme="minorEastAsia" w:hAnsiTheme="minorEastAsia" w:eastAsiaTheme="minorEastAsia"/>
          <w:b/>
          <w:color w:val="000000" w:themeColor="text1"/>
        </w:rPr>
        <w:t>表</w:t>
      </w:r>
      <w:r>
        <w:rPr>
          <w:rFonts w:cs="Helvetica" w:asciiTheme="minorEastAsia" w:hAnsiTheme="minorEastAsia" w:eastAsiaTheme="minorEastAsia"/>
          <w:b/>
          <w:color w:val="000000" w:themeColor="text1"/>
        </w:rPr>
        <w:t>2.1-2</w:t>
      </w:r>
      <w:r>
        <w:rPr>
          <w:rFonts w:hint="eastAsia" w:cs="Helvetica" w:asciiTheme="minorEastAsia" w:hAnsiTheme="minorEastAsia" w:eastAsiaTheme="minorEastAsia"/>
          <w:b/>
          <w:color w:val="000000" w:themeColor="text1"/>
        </w:rPr>
        <w:t xml:space="preserve"> 专利检索式</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ind w:firstLine="0" w:firstLineChars="0"/>
              <w:jc w:val="center"/>
              <w:rPr>
                <w:rFonts w:ascii="宋体" w:hAnsi="宋体"/>
                <w:b/>
                <w:bCs/>
              </w:rPr>
            </w:pPr>
            <w:r>
              <w:rPr>
                <w:rFonts w:hint="eastAsia" w:ascii="宋体" w:hAnsi="宋体"/>
                <w:b/>
                <w:bCs/>
              </w:rPr>
              <w:t>检索式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5000" w:type="pct"/>
            <w:vAlign w:val="center"/>
          </w:tcPr>
          <w:p>
            <w:pPr>
              <w:ind w:firstLine="0" w:firstLineChars="0"/>
              <w:rPr>
                <w:rFonts w:asciiTheme="minorEastAsia" w:hAnsiTheme="minorEastAsia" w:eastAsiaTheme="minorEastAsia"/>
              </w:rPr>
            </w:pPr>
            <w:r>
              <w:rPr>
                <w:rFonts w:asciiTheme="minorEastAsia" w:hAnsiTheme="minorEastAsia" w:eastAsiaTheme="minorEastAsia"/>
              </w:rPr>
              <w:t>TAC_ALL:(三轮车) AND TAC_ALL:(</w:t>
            </w:r>
            <w:r>
              <w:rPr>
                <w:rFonts w:hint="eastAsia" w:asciiTheme="minorEastAsia" w:hAnsiTheme="minorEastAsia" w:eastAsiaTheme="minorEastAsia"/>
              </w:rPr>
              <w:t xml:space="preserve">农业 </w:t>
            </w:r>
            <w:r>
              <w:rPr>
                <w:rFonts w:asciiTheme="minorEastAsia" w:hAnsiTheme="minorEastAsia" w:eastAsiaTheme="minorEastAsia"/>
              </w:rPr>
              <w:t xml:space="preserve">OR </w:t>
            </w:r>
            <w:r>
              <w:rPr>
                <w:rFonts w:hint="eastAsia" w:asciiTheme="minorEastAsia" w:hAnsiTheme="minorEastAsia" w:eastAsiaTheme="minorEastAsia"/>
              </w:rPr>
              <w:t xml:space="preserve">农村 </w:t>
            </w:r>
            <w:r>
              <w:rPr>
                <w:rFonts w:asciiTheme="minorEastAsia" w:hAnsiTheme="minorEastAsia" w:eastAsiaTheme="minorEastAsia"/>
              </w:rPr>
              <w:t xml:space="preserve">OR </w:t>
            </w:r>
            <w:r>
              <w:rPr>
                <w:rFonts w:hint="eastAsia" w:asciiTheme="minorEastAsia" w:hAnsiTheme="minorEastAsia" w:eastAsiaTheme="minorEastAsia"/>
              </w:rPr>
              <w:t xml:space="preserve">农用 </w:t>
            </w:r>
            <w:r>
              <w:rPr>
                <w:rFonts w:asciiTheme="minorEastAsia" w:hAnsiTheme="minorEastAsia" w:eastAsiaTheme="minorEastAsia"/>
              </w:rPr>
              <w:t xml:space="preserve">OR </w:t>
            </w:r>
            <w:r>
              <w:rPr>
                <w:rFonts w:hint="eastAsia" w:asciiTheme="minorEastAsia" w:hAnsiTheme="minorEastAsia" w:eastAsiaTheme="minorEastAsia"/>
              </w:rPr>
              <w:t>农田</w:t>
            </w:r>
            <w:r>
              <w:rPr>
                <w:rFonts w:asciiTheme="minorEastAsia" w:hAnsiTheme="minorEastAsia" w:eastAsiaTheme="minorEastAsia"/>
              </w:rPr>
              <w:t xml:space="preserve">) AND TAC_ALL:(结构 OR 车架 OR </w:t>
            </w:r>
            <w:r>
              <w:rPr>
                <w:rFonts w:hint="eastAsia" w:asciiTheme="minorEastAsia" w:hAnsiTheme="minorEastAsia" w:eastAsiaTheme="minorEastAsia"/>
              </w:rPr>
              <w:t xml:space="preserve">发动机 </w:t>
            </w:r>
            <w:r>
              <w:rPr>
                <w:rFonts w:asciiTheme="minorEastAsia" w:hAnsiTheme="minorEastAsia" w:eastAsiaTheme="minorEastAsia"/>
              </w:rPr>
              <w:t xml:space="preserve">OR 动力 OR 传动 OR </w:t>
            </w:r>
            <w:r>
              <w:rPr>
                <w:rFonts w:hint="eastAsia" w:asciiTheme="minorEastAsia" w:hAnsiTheme="minorEastAsia" w:eastAsiaTheme="minorEastAsia"/>
              </w:rPr>
              <w:t xml:space="preserve">制动 </w:t>
            </w:r>
            <w:r>
              <w:rPr>
                <w:rFonts w:asciiTheme="minorEastAsia" w:hAnsiTheme="minorEastAsia" w:eastAsiaTheme="minorEastAsia"/>
              </w:rPr>
              <w:t xml:space="preserve">OR </w:t>
            </w:r>
            <w:r>
              <w:rPr>
                <w:rFonts w:hint="eastAsia" w:asciiTheme="minorEastAsia" w:hAnsiTheme="minorEastAsia" w:eastAsiaTheme="minorEastAsia"/>
              </w:rPr>
              <w:t xml:space="preserve">转向 </w:t>
            </w:r>
            <w:r>
              <w:rPr>
                <w:rFonts w:asciiTheme="minorEastAsia" w:hAnsiTheme="minorEastAsia" w:eastAsiaTheme="minorEastAsia"/>
              </w:rPr>
              <w:t xml:space="preserve">OR </w:t>
            </w:r>
            <w:r>
              <w:rPr>
                <w:rFonts w:hint="eastAsia" w:asciiTheme="minorEastAsia" w:hAnsiTheme="minorEastAsia" w:eastAsiaTheme="minorEastAsia"/>
              </w:rPr>
              <w:t xml:space="preserve">刹车 </w:t>
            </w:r>
            <w:r>
              <w:rPr>
                <w:rFonts w:asciiTheme="minorEastAsia" w:hAnsiTheme="minorEastAsia" w:eastAsiaTheme="minorEastAsia"/>
              </w:rPr>
              <w:t xml:space="preserve">OR </w:t>
            </w:r>
            <w:r>
              <w:rPr>
                <w:rFonts w:hint="eastAsia" w:asciiTheme="minorEastAsia" w:hAnsiTheme="minorEastAsia" w:eastAsiaTheme="minorEastAsia"/>
              </w:rPr>
              <w:t xml:space="preserve">货箱 </w:t>
            </w:r>
            <w:r>
              <w:rPr>
                <w:rFonts w:asciiTheme="minorEastAsia" w:hAnsiTheme="minorEastAsia" w:eastAsiaTheme="minorEastAsia"/>
              </w:rPr>
              <w:t xml:space="preserve">OR </w:t>
            </w:r>
            <w:r>
              <w:rPr>
                <w:rFonts w:hint="eastAsia" w:asciiTheme="minorEastAsia" w:hAnsiTheme="minorEastAsia" w:eastAsiaTheme="minorEastAsia"/>
              </w:rPr>
              <w:t>车身</w:t>
            </w:r>
            <w:r>
              <w:rPr>
                <w:rFonts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5000" w:type="pct"/>
            <w:vAlign w:val="center"/>
          </w:tcPr>
          <w:p>
            <w:pPr>
              <w:ind w:firstLine="0" w:firstLineChars="0"/>
              <w:rPr>
                <w:rFonts w:asciiTheme="minorEastAsia" w:hAnsiTheme="minorEastAsia" w:eastAsiaTheme="minorEastAsia"/>
              </w:rPr>
            </w:pPr>
            <w:r>
              <w:rPr>
                <w:rFonts w:asciiTheme="minorEastAsia" w:hAnsiTheme="minorEastAsia" w:eastAsiaTheme="minorEastAsia"/>
              </w:rPr>
              <w:t>TAC_ALL:(Tricycle) AND TAC_ALL:(Agriculture OR Rural OR Agricultural OR Farmland) AND TAC_ALL: (Structure OR Frame OR Engine OR Power OR Transmission OR Braking OR Steering OR Braking OR Body)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1" w:hRule="atLeast"/>
        </w:trPr>
        <w:tc>
          <w:tcPr>
            <w:tcW w:w="5000" w:type="pct"/>
            <w:vAlign w:val="center"/>
          </w:tcPr>
          <w:p>
            <w:pPr>
              <w:ind w:firstLine="0" w:firstLineChars="0"/>
              <w:rPr>
                <w:rFonts w:asciiTheme="minorEastAsia" w:hAnsiTheme="minorEastAsia" w:eastAsiaTheme="minorEastAsia"/>
              </w:rPr>
            </w:pPr>
            <w:r>
              <w:rPr>
                <w:rFonts w:asciiTheme="minorEastAsia" w:hAnsiTheme="minorEastAsia" w:eastAsiaTheme="minorEastAsia"/>
              </w:rPr>
              <w:t>TAC_ALL:(三轮车) AND TAC_ALL:(</w:t>
            </w:r>
            <w:r>
              <w:rPr>
                <w:rFonts w:hint="eastAsia" w:asciiTheme="minorEastAsia" w:hAnsiTheme="minorEastAsia" w:eastAsiaTheme="minorEastAsia"/>
              </w:rPr>
              <w:t xml:space="preserve">农业 </w:t>
            </w:r>
            <w:r>
              <w:rPr>
                <w:rFonts w:asciiTheme="minorEastAsia" w:hAnsiTheme="minorEastAsia" w:eastAsiaTheme="minorEastAsia"/>
              </w:rPr>
              <w:t xml:space="preserve">OR </w:t>
            </w:r>
            <w:r>
              <w:rPr>
                <w:rFonts w:hint="eastAsia" w:asciiTheme="minorEastAsia" w:hAnsiTheme="minorEastAsia" w:eastAsiaTheme="minorEastAsia"/>
              </w:rPr>
              <w:t xml:space="preserve">农村 </w:t>
            </w:r>
            <w:r>
              <w:rPr>
                <w:rFonts w:asciiTheme="minorEastAsia" w:hAnsiTheme="minorEastAsia" w:eastAsiaTheme="minorEastAsia"/>
              </w:rPr>
              <w:t xml:space="preserve">OR </w:t>
            </w:r>
            <w:r>
              <w:rPr>
                <w:rFonts w:hint="eastAsia" w:asciiTheme="minorEastAsia" w:hAnsiTheme="minorEastAsia" w:eastAsiaTheme="minorEastAsia"/>
              </w:rPr>
              <w:t xml:space="preserve">农用 </w:t>
            </w:r>
            <w:r>
              <w:rPr>
                <w:rFonts w:asciiTheme="minorEastAsia" w:hAnsiTheme="minorEastAsia" w:eastAsiaTheme="minorEastAsia"/>
              </w:rPr>
              <w:t xml:space="preserve">OR </w:t>
            </w:r>
            <w:r>
              <w:rPr>
                <w:rFonts w:hint="eastAsia" w:asciiTheme="minorEastAsia" w:hAnsiTheme="minorEastAsia" w:eastAsiaTheme="minorEastAsia"/>
              </w:rPr>
              <w:t>农田</w:t>
            </w:r>
            <w:r>
              <w:rPr>
                <w:rFonts w:asciiTheme="minorEastAsia" w:hAnsiTheme="minorEastAsia" w:eastAsiaTheme="minorEastAsia"/>
              </w:rPr>
              <w:t>) AND (载重 OR 货箱 OR 悬挂系统 OR 装卸装置 OR 农具适配 OR 播种 OR 施肥 OR 喷雾 OR 收割辅助)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5" w:hRule="atLeast"/>
        </w:trPr>
        <w:tc>
          <w:tcPr>
            <w:tcW w:w="5000" w:type="pct"/>
            <w:vAlign w:val="center"/>
          </w:tcPr>
          <w:p>
            <w:pPr>
              <w:ind w:firstLine="0" w:firstLineChars="0"/>
              <w:rPr>
                <w:rFonts w:asciiTheme="minorEastAsia" w:hAnsiTheme="minorEastAsia" w:eastAsiaTheme="minorEastAsia"/>
              </w:rPr>
            </w:pPr>
            <w:r>
              <w:rPr>
                <w:rFonts w:asciiTheme="minorEastAsia" w:hAnsiTheme="minorEastAsia" w:eastAsiaTheme="minorEastAsia"/>
              </w:rPr>
              <w:t>TAC_ALL:(三轮车) AND TAC_ALL:(</w:t>
            </w:r>
            <w:r>
              <w:rPr>
                <w:rFonts w:hint="eastAsia" w:asciiTheme="minorEastAsia" w:hAnsiTheme="minorEastAsia" w:eastAsiaTheme="minorEastAsia"/>
              </w:rPr>
              <w:t xml:space="preserve">农业 </w:t>
            </w:r>
            <w:r>
              <w:rPr>
                <w:rFonts w:asciiTheme="minorEastAsia" w:hAnsiTheme="minorEastAsia" w:eastAsiaTheme="minorEastAsia"/>
              </w:rPr>
              <w:t xml:space="preserve">OR </w:t>
            </w:r>
            <w:r>
              <w:rPr>
                <w:rFonts w:hint="eastAsia" w:asciiTheme="minorEastAsia" w:hAnsiTheme="minorEastAsia" w:eastAsiaTheme="minorEastAsia"/>
              </w:rPr>
              <w:t xml:space="preserve">农村 </w:t>
            </w:r>
            <w:r>
              <w:rPr>
                <w:rFonts w:asciiTheme="minorEastAsia" w:hAnsiTheme="minorEastAsia" w:eastAsiaTheme="minorEastAsia"/>
              </w:rPr>
              <w:t xml:space="preserve">OR </w:t>
            </w:r>
            <w:r>
              <w:rPr>
                <w:rFonts w:hint="eastAsia" w:asciiTheme="minorEastAsia" w:hAnsiTheme="minorEastAsia" w:eastAsiaTheme="minorEastAsia"/>
              </w:rPr>
              <w:t xml:space="preserve">农用 </w:t>
            </w:r>
            <w:r>
              <w:rPr>
                <w:rFonts w:asciiTheme="minorEastAsia" w:hAnsiTheme="minorEastAsia" w:eastAsiaTheme="minorEastAsia"/>
              </w:rPr>
              <w:t xml:space="preserve">OR </w:t>
            </w:r>
            <w:r>
              <w:rPr>
                <w:rFonts w:hint="eastAsia" w:asciiTheme="minorEastAsia" w:hAnsiTheme="minorEastAsia" w:eastAsiaTheme="minorEastAsia"/>
              </w:rPr>
              <w:t>农田</w:t>
            </w:r>
            <w:r>
              <w:rPr>
                <w:rFonts w:asciiTheme="minorEastAsia" w:hAnsiTheme="minorEastAsia" w:eastAsiaTheme="minorEastAsia"/>
              </w:rPr>
              <w:t>) AND (智能控制 OR 物联网 OR 自动驾驶 OR 倒车影像 OR 制动系统 OR 防侧翻 OR 灯光安全 OR 预警系统)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trPr>
        <w:tc>
          <w:tcPr>
            <w:tcW w:w="5000" w:type="pct"/>
            <w:vAlign w:val="center"/>
          </w:tcPr>
          <w:p>
            <w:pPr>
              <w:ind w:firstLine="0" w:firstLineChars="0"/>
              <w:rPr>
                <w:rFonts w:asciiTheme="minorEastAsia" w:hAnsiTheme="minorEastAsia" w:eastAsiaTheme="minorEastAsia"/>
              </w:rPr>
            </w:pPr>
            <w:r>
              <w:rPr>
                <w:rFonts w:asciiTheme="minorEastAsia" w:hAnsiTheme="minorEastAsia" w:eastAsiaTheme="minorEastAsia"/>
              </w:rPr>
              <w:t>TAC_ALL:(三轮车) AND TAC_ALL:(</w:t>
            </w:r>
            <w:r>
              <w:rPr>
                <w:rFonts w:hint="eastAsia" w:asciiTheme="minorEastAsia" w:hAnsiTheme="minorEastAsia" w:eastAsiaTheme="minorEastAsia"/>
              </w:rPr>
              <w:t xml:space="preserve">农业 </w:t>
            </w:r>
            <w:r>
              <w:rPr>
                <w:rFonts w:asciiTheme="minorEastAsia" w:hAnsiTheme="minorEastAsia" w:eastAsiaTheme="minorEastAsia"/>
              </w:rPr>
              <w:t xml:space="preserve">OR </w:t>
            </w:r>
            <w:r>
              <w:rPr>
                <w:rFonts w:hint="eastAsia" w:asciiTheme="minorEastAsia" w:hAnsiTheme="minorEastAsia" w:eastAsiaTheme="minorEastAsia"/>
              </w:rPr>
              <w:t xml:space="preserve">农村 </w:t>
            </w:r>
            <w:r>
              <w:rPr>
                <w:rFonts w:asciiTheme="minorEastAsia" w:hAnsiTheme="minorEastAsia" w:eastAsiaTheme="minorEastAsia"/>
              </w:rPr>
              <w:t xml:space="preserve">OR </w:t>
            </w:r>
            <w:r>
              <w:rPr>
                <w:rFonts w:hint="eastAsia" w:asciiTheme="minorEastAsia" w:hAnsiTheme="minorEastAsia" w:eastAsiaTheme="minorEastAsia"/>
              </w:rPr>
              <w:t xml:space="preserve">农用 </w:t>
            </w:r>
            <w:r>
              <w:rPr>
                <w:rFonts w:asciiTheme="minorEastAsia" w:hAnsiTheme="minorEastAsia" w:eastAsiaTheme="minorEastAsia"/>
              </w:rPr>
              <w:t xml:space="preserve">OR </w:t>
            </w:r>
            <w:r>
              <w:rPr>
                <w:rFonts w:hint="eastAsia" w:asciiTheme="minorEastAsia" w:hAnsiTheme="minorEastAsia" w:eastAsiaTheme="minorEastAsia"/>
              </w:rPr>
              <w:t>农田</w:t>
            </w:r>
            <w:r>
              <w:rPr>
                <w:rFonts w:asciiTheme="minorEastAsia" w:hAnsiTheme="minorEastAsia" w:eastAsiaTheme="minorEastAsia"/>
              </w:rPr>
              <w:t>) AND (山地 OR 泥泞 OR 越野 OR 防滑 OR 高通过性 OR 轮胎设计 OR 减震系统 OR 地形适应)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4" w:hRule="atLeast"/>
        </w:trPr>
        <w:tc>
          <w:tcPr>
            <w:tcW w:w="5000" w:type="pct"/>
            <w:vAlign w:val="center"/>
          </w:tcPr>
          <w:p>
            <w:pPr>
              <w:ind w:firstLine="0" w:firstLineChars="0"/>
              <w:rPr>
                <w:rFonts w:asciiTheme="minorEastAsia" w:hAnsiTheme="minorEastAsia" w:eastAsiaTheme="minorEastAsia"/>
              </w:rPr>
            </w:pPr>
            <w:bookmarkStart w:id="18" w:name="OLE_LINK4"/>
            <w:r>
              <w:rPr>
                <w:rFonts w:asciiTheme="minorEastAsia" w:hAnsiTheme="minorEastAsia" w:eastAsiaTheme="minorEastAsia"/>
              </w:rPr>
              <w:t>TAC</w:t>
            </w:r>
            <w:r>
              <w:rPr>
                <w:rFonts w:hint="eastAsia" w:asciiTheme="minorEastAsia" w:hAnsiTheme="minorEastAsia" w:eastAsiaTheme="minorEastAsia"/>
              </w:rPr>
              <w:t>_ALL:(三轮车) AND IPC:( B62D</w:t>
            </w:r>
            <w:r>
              <w:rPr>
                <w:rFonts w:asciiTheme="minorEastAsia" w:hAnsiTheme="minorEastAsia" w:eastAsiaTheme="minorEastAsia"/>
              </w:rPr>
              <w:t xml:space="preserve"> OR </w:t>
            </w:r>
            <w:r>
              <w:rPr>
                <w:rFonts w:hint="eastAsia" w:asciiTheme="minorEastAsia" w:hAnsiTheme="minorEastAsia" w:eastAsiaTheme="minorEastAsia"/>
              </w:rPr>
              <w:t>B60K</w:t>
            </w:r>
            <w:r>
              <w:rPr>
                <w:rFonts w:asciiTheme="minorEastAsia" w:hAnsiTheme="minorEastAsia" w:eastAsiaTheme="minorEastAsia"/>
              </w:rPr>
              <w:t xml:space="preserve"> OR </w:t>
            </w:r>
            <w:r>
              <w:rPr>
                <w:rFonts w:hint="eastAsia" w:asciiTheme="minorEastAsia" w:hAnsiTheme="minorEastAsia" w:eastAsiaTheme="minorEastAsia"/>
              </w:rPr>
              <w:t>F16H</w:t>
            </w:r>
            <w:r>
              <w:rPr>
                <w:rFonts w:asciiTheme="minorEastAsia" w:hAnsiTheme="minorEastAsia" w:eastAsiaTheme="minorEastAsia"/>
              </w:rPr>
              <w:t xml:space="preserve"> OR </w:t>
            </w:r>
            <w:r>
              <w:rPr>
                <w:rFonts w:hint="eastAsia" w:asciiTheme="minorEastAsia" w:hAnsiTheme="minorEastAsia" w:eastAsiaTheme="minorEastAsia"/>
              </w:rPr>
              <w:t>B60B</w:t>
            </w:r>
            <w:r>
              <w:rPr>
                <w:rFonts w:asciiTheme="minorEastAsia" w:hAnsiTheme="minorEastAsia" w:eastAsiaTheme="minorEastAsia"/>
              </w:rPr>
              <w:t xml:space="preserve"> OR </w:t>
            </w:r>
            <w:r>
              <w:rPr>
                <w:rFonts w:hint="eastAsia" w:asciiTheme="minorEastAsia" w:hAnsiTheme="minorEastAsia" w:eastAsiaTheme="minorEastAsia"/>
              </w:rPr>
              <w:t>B60L</w:t>
            </w:r>
            <w:r>
              <w:rPr>
                <w:rFonts w:asciiTheme="minorEastAsia" w:hAnsiTheme="minorEastAsia" w:eastAsiaTheme="minorEastAsia"/>
              </w:rPr>
              <w:t xml:space="preserve"> OR </w:t>
            </w:r>
            <w:r>
              <w:rPr>
                <w:rFonts w:hint="eastAsia" w:asciiTheme="minorEastAsia" w:hAnsiTheme="minorEastAsia" w:eastAsiaTheme="minorEastAsia"/>
              </w:rPr>
              <w:t>B23K</w:t>
            </w:r>
            <w:r>
              <w:rPr>
                <w:rFonts w:asciiTheme="minorEastAsia" w:hAnsiTheme="minorEastAsia" w:eastAsiaTheme="minorEastAsia"/>
              </w:rPr>
              <w:t xml:space="preserve"> OR </w:t>
            </w:r>
            <w:r>
              <w:rPr>
                <w:rFonts w:hint="eastAsia" w:asciiTheme="minorEastAsia" w:hAnsiTheme="minorEastAsia" w:eastAsiaTheme="minorEastAsia"/>
              </w:rPr>
              <w:t>H02K</w:t>
            </w:r>
            <w:r>
              <w:rPr>
                <w:rFonts w:asciiTheme="minorEastAsia" w:hAnsiTheme="minorEastAsia" w:eastAsiaTheme="minorEastAsia"/>
              </w:rPr>
              <w:t xml:space="preserve"> OR </w:t>
            </w:r>
            <w:r>
              <w:rPr>
                <w:rFonts w:hint="eastAsia" w:asciiTheme="minorEastAsia" w:hAnsiTheme="minorEastAsia" w:eastAsiaTheme="minorEastAsia"/>
              </w:rPr>
              <w:t>B60P)</w:t>
            </w:r>
            <w:bookmarkEnd w:id="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4" w:hRule="atLeast"/>
        </w:trPr>
        <w:tc>
          <w:tcPr>
            <w:tcW w:w="5000" w:type="pct"/>
            <w:vAlign w:val="center"/>
          </w:tcPr>
          <w:p>
            <w:pPr>
              <w:ind w:firstLine="0" w:firstLineChars="0"/>
              <w:rPr>
                <w:rFonts w:asciiTheme="minorEastAsia" w:hAnsiTheme="minorEastAsia" w:eastAsiaTheme="minorEastAsia"/>
              </w:rPr>
            </w:pPr>
            <w:r>
              <w:rPr>
                <w:rFonts w:asciiTheme="minorEastAsia" w:hAnsiTheme="minorEastAsia" w:eastAsiaTheme="minorEastAsia"/>
              </w:rPr>
              <w:t>TAC</w:t>
            </w:r>
            <w:r>
              <w:rPr>
                <w:rFonts w:hint="eastAsia" w:asciiTheme="minorEastAsia" w:hAnsiTheme="minorEastAsia" w:eastAsiaTheme="minorEastAsia"/>
              </w:rPr>
              <w:t>_ALL:(拖拉机)</w:t>
            </w:r>
            <w:r>
              <w:rPr>
                <w:rFonts w:asciiTheme="minorEastAsia" w:hAnsiTheme="minorEastAsia" w:eastAsiaTheme="minorEastAsia"/>
              </w:rPr>
              <w:t xml:space="preserve"> AND TAC_ALL:(发动机 OR 电动驱动 OR 混合动力 OR 燃料电池 OR 动力</w:t>
            </w:r>
            <w:r>
              <w:rPr>
                <w:rFonts w:hint="eastAsia" w:asciiTheme="minorEastAsia" w:hAnsiTheme="minorEastAsia" w:eastAsiaTheme="minorEastAsia"/>
              </w:rPr>
              <w:t>系统</w:t>
            </w:r>
            <w:r>
              <w:rPr>
                <w:rFonts w:asciiTheme="minorEastAsia" w:hAnsiTheme="minorEastAsia" w:eastAsiaTheme="minorEastAsia"/>
              </w:rPr>
              <w:t xml:space="preserve"> OR 传动系统</w:t>
            </w:r>
            <w:r>
              <w:rPr>
                <w:rFonts w:hint="eastAsia" w:asciiTheme="minorEastAsia" w:hAnsiTheme="minorEastAsia" w:eastAsiaTheme="minorEastAsia"/>
              </w:rPr>
              <w:t xml:space="preserve"> </w:t>
            </w:r>
            <w:r>
              <w:rPr>
                <w:rFonts w:asciiTheme="minorEastAsia" w:hAnsiTheme="minorEastAsia" w:eastAsiaTheme="minorEastAsia"/>
              </w:rPr>
              <w:t>OR智能控制 OR 自动驾驶 OR 自动导航 OR 传感器 OR 控制器 OR 物联网 OR 远程控制</w:t>
            </w:r>
            <w:r>
              <w:rPr>
                <w:rFonts w:hint="eastAsia" w:asciiTheme="minorEastAsia" w:hAnsiTheme="minorEastAsia" w:eastAsiaTheme="minorEastAsia"/>
              </w:rPr>
              <w:t xml:space="preserve"> </w:t>
            </w:r>
            <w:r>
              <w:rPr>
                <w:rFonts w:asciiTheme="minorEastAsia" w:hAnsiTheme="minorEastAsia" w:eastAsiaTheme="minorEastAsia"/>
              </w:rPr>
              <w:t>OR犁耕装置 OR 播种装置 OR 施肥装置 OR 收割装置 OR 旋耕机 OR 农具悬挂系统</w:t>
            </w:r>
            <w:r>
              <w:rPr>
                <w:rFonts w:hint="eastAsia" w:asciiTheme="minorEastAsia" w:hAnsiTheme="minorEastAsia" w:eastAsiaTheme="minorEastAsia"/>
              </w:rPr>
              <w:t xml:space="preserve"> </w:t>
            </w:r>
            <w:r>
              <w:rPr>
                <w:rFonts w:asciiTheme="minorEastAsia" w:hAnsiTheme="minorEastAsia" w:eastAsiaTheme="minorEastAsia"/>
              </w:rPr>
              <w:t>OR底盘 OR 车架 OR 车轮 OR 履带 OR 悬挂系统 OR 转向系统 OR 制动系统</w:t>
            </w:r>
            <w:r>
              <w:rPr>
                <w:rFonts w:hint="eastAsia" w:asciiTheme="minorEastAsia" w:hAnsiTheme="minorEastAsia" w:eastAsiaTheme="minorEastAsia"/>
              </w:rPr>
              <w:t xml:space="preserve"> </w:t>
            </w:r>
            <w:r>
              <w:rPr>
                <w:rFonts w:asciiTheme="minorEastAsia" w:hAnsiTheme="minorEastAsia" w:eastAsiaTheme="minorEastAsia"/>
              </w:rPr>
              <w:t>OR驾驶室 OR 座椅 OR 减震 OR 降噪 OR 安全防护 OR 翻车保护 OR 灯光系统)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5" w:hRule="atLeast"/>
        </w:trPr>
        <w:tc>
          <w:tcPr>
            <w:tcW w:w="5000" w:type="pct"/>
            <w:vAlign w:val="center"/>
          </w:tcPr>
          <w:p>
            <w:pPr>
              <w:ind w:firstLine="0" w:firstLineChars="0"/>
              <w:rPr>
                <w:rFonts w:asciiTheme="minorEastAsia" w:hAnsiTheme="minorEastAsia" w:eastAsiaTheme="minorEastAsia"/>
              </w:rPr>
            </w:pPr>
            <w:r>
              <w:rPr>
                <w:rFonts w:asciiTheme="minorEastAsia" w:hAnsiTheme="minorEastAsia" w:eastAsiaTheme="minorEastAsia"/>
              </w:rPr>
              <w:t xml:space="preserve">TAC_ALL:(Tractor) AND TAC_ALL:(Engine OR Electric Drive OR Hybrid OR </w:t>
            </w:r>
            <w:r>
              <w:rPr>
                <w:rFonts w:hint="eastAsia" w:asciiTheme="minorEastAsia" w:hAnsiTheme="minorEastAsia" w:eastAsiaTheme="minorEastAsia"/>
              </w:rPr>
              <w:t>“</w:t>
            </w:r>
            <w:r>
              <w:rPr>
                <w:rFonts w:asciiTheme="minorEastAsia" w:hAnsiTheme="minorEastAsia" w:eastAsiaTheme="minorEastAsia"/>
              </w:rPr>
              <w:t>Fuel Cell</w:t>
            </w:r>
            <w:r>
              <w:rPr>
                <w:rFonts w:hint="eastAsia" w:asciiTheme="minorEastAsia" w:hAnsiTheme="minorEastAsia" w:eastAsiaTheme="minorEastAsia"/>
              </w:rPr>
              <w:t xml:space="preserve">” </w:t>
            </w:r>
            <w:r>
              <w:rPr>
                <w:rFonts w:asciiTheme="minorEastAsia" w:hAnsiTheme="minorEastAsia" w:eastAsiaTheme="minorEastAsia"/>
              </w:rPr>
              <w:t xml:space="preserve">OR Powertrain OR Drivetrain OR Intelligent Control OR </w:t>
            </w:r>
            <w:r>
              <w:rPr>
                <w:rFonts w:hint="eastAsia" w:asciiTheme="minorEastAsia" w:hAnsiTheme="minorEastAsia" w:eastAsiaTheme="minorEastAsia"/>
              </w:rPr>
              <w:t>“</w:t>
            </w:r>
            <w:r>
              <w:rPr>
                <w:rFonts w:asciiTheme="minorEastAsia" w:hAnsiTheme="minorEastAsia" w:eastAsiaTheme="minorEastAsia"/>
              </w:rPr>
              <w:t>Autonomous Driving</w:t>
            </w:r>
            <w:r>
              <w:rPr>
                <w:rFonts w:hint="eastAsia" w:asciiTheme="minorEastAsia" w:hAnsiTheme="minorEastAsia" w:eastAsiaTheme="minorEastAsia"/>
              </w:rPr>
              <w:t xml:space="preserve">” </w:t>
            </w:r>
            <w:r>
              <w:rPr>
                <w:rFonts w:asciiTheme="minorEastAsia" w:hAnsiTheme="minorEastAsia" w:eastAsiaTheme="minorEastAsia"/>
              </w:rPr>
              <w:t xml:space="preserve">OR </w:t>
            </w:r>
            <w:r>
              <w:rPr>
                <w:rFonts w:hint="eastAsia" w:asciiTheme="minorEastAsia" w:hAnsiTheme="minorEastAsia" w:eastAsiaTheme="minorEastAsia"/>
              </w:rPr>
              <w:t>“</w:t>
            </w:r>
            <w:r>
              <w:rPr>
                <w:rFonts w:asciiTheme="minorEastAsia" w:hAnsiTheme="minorEastAsia" w:eastAsiaTheme="minorEastAsia"/>
              </w:rPr>
              <w:t>Automatic Navigation</w:t>
            </w:r>
            <w:r>
              <w:rPr>
                <w:rFonts w:hint="eastAsia" w:asciiTheme="minorEastAsia" w:hAnsiTheme="minorEastAsia" w:eastAsiaTheme="minorEastAsia"/>
              </w:rPr>
              <w:t xml:space="preserve">” </w:t>
            </w:r>
            <w:r>
              <w:rPr>
                <w:rFonts w:asciiTheme="minorEastAsia" w:hAnsiTheme="minorEastAsia" w:eastAsiaTheme="minorEastAsia"/>
              </w:rPr>
              <w:t xml:space="preserve">OR Sensors OR Controller OR Internet of Things OR </w:t>
            </w:r>
            <w:r>
              <w:rPr>
                <w:rFonts w:hint="eastAsia" w:asciiTheme="minorEastAsia" w:hAnsiTheme="minorEastAsia" w:eastAsiaTheme="minorEastAsia"/>
              </w:rPr>
              <w:t>“</w:t>
            </w:r>
            <w:r>
              <w:rPr>
                <w:rFonts w:asciiTheme="minorEastAsia" w:hAnsiTheme="minorEastAsia" w:eastAsiaTheme="minorEastAsia"/>
              </w:rPr>
              <w:t>Remote Control</w:t>
            </w:r>
            <w:r>
              <w:rPr>
                <w:rFonts w:hint="eastAsia" w:asciiTheme="minorEastAsia" w:hAnsiTheme="minorEastAsia" w:eastAsiaTheme="minorEastAsia"/>
              </w:rPr>
              <w:t xml:space="preserve">” </w:t>
            </w:r>
            <w:r>
              <w:rPr>
                <w:rFonts w:asciiTheme="minorEastAsia" w:hAnsiTheme="minorEastAsia" w:eastAsiaTheme="minorEastAsia"/>
              </w:rPr>
              <w:t xml:space="preserve">OR Ploughing OR Sowing OR Fertilization OR Harvesting OR </w:t>
            </w:r>
            <w:r>
              <w:rPr>
                <w:rFonts w:hint="eastAsia" w:asciiTheme="minorEastAsia" w:hAnsiTheme="minorEastAsia" w:eastAsiaTheme="minorEastAsia"/>
              </w:rPr>
              <w:t>“</w:t>
            </w:r>
            <w:r>
              <w:rPr>
                <w:rFonts w:asciiTheme="minorEastAsia" w:hAnsiTheme="minorEastAsia" w:eastAsiaTheme="minorEastAsia"/>
              </w:rPr>
              <w:t>Rotary Tool Suspension</w:t>
            </w:r>
            <w:r>
              <w:rPr>
                <w:rFonts w:hint="eastAsia" w:asciiTheme="minorEastAsia" w:hAnsiTheme="minorEastAsia" w:eastAsiaTheme="minorEastAsia"/>
              </w:rPr>
              <w:t xml:space="preserve">” </w:t>
            </w:r>
            <w:r>
              <w:rPr>
                <w:rFonts w:asciiTheme="minorEastAsia" w:hAnsiTheme="minorEastAsia" w:eastAsiaTheme="minorEastAsia"/>
              </w:rPr>
              <w:t xml:space="preserve">OR Chassis OR Frame OR Wheel OR Track OR Suspension OR Steering OR </w:t>
            </w:r>
            <w:r>
              <w:rPr>
                <w:rFonts w:hint="eastAsia" w:asciiTheme="minorEastAsia" w:hAnsiTheme="minorEastAsia" w:eastAsiaTheme="minorEastAsia"/>
              </w:rPr>
              <w:t>“</w:t>
            </w:r>
            <w:r>
              <w:rPr>
                <w:rFonts w:asciiTheme="minorEastAsia" w:hAnsiTheme="minorEastAsia" w:eastAsiaTheme="minorEastAsia"/>
              </w:rPr>
              <w:t>Braking System</w:t>
            </w:r>
            <w:r>
              <w:rPr>
                <w:rFonts w:hint="eastAsia" w:asciiTheme="minorEastAsia" w:hAnsiTheme="minorEastAsia" w:eastAsiaTheme="minorEastAsia"/>
              </w:rPr>
              <w:t xml:space="preserve">” </w:t>
            </w:r>
            <w:r>
              <w:rPr>
                <w:rFonts w:asciiTheme="minorEastAsia" w:hAnsiTheme="minorEastAsia" w:eastAsiaTheme="minorEastAsia"/>
              </w:rPr>
              <w:t xml:space="preserve">OR Cab OR Seat OR Seat or </w:t>
            </w:r>
            <w:r>
              <w:rPr>
                <w:rFonts w:hint="eastAsia" w:asciiTheme="minorEastAsia" w:hAnsiTheme="minorEastAsia" w:eastAsiaTheme="minorEastAsia"/>
              </w:rPr>
              <w:t>“</w:t>
            </w:r>
            <w:r>
              <w:rPr>
                <w:rFonts w:asciiTheme="minorEastAsia" w:hAnsiTheme="minorEastAsia" w:eastAsiaTheme="minorEastAsia"/>
              </w:rPr>
              <w:t>Noise Reduction</w:t>
            </w:r>
            <w:r>
              <w:rPr>
                <w:rFonts w:hint="eastAsia" w:asciiTheme="minorEastAsia" w:hAnsiTheme="minorEastAsia" w:eastAsiaTheme="minorEastAsia"/>
              </w:rPr>
              <w:t xml:space="preserve">” </w:t>
            </w:r>
            <w:r>
              <w:rPr>
                <w:rFonts w:asciiTheme="minorEastAsia" w:hAnsiTheme="minorEastAsia" w:eastAsiaTheme="minorEastAsia"/>
              </w:rPr>
              <w:t xml:space="preserve">OR Safety OR </w:t>
            </w:r>
            <w:r>
              <w:rPr>
                <w:rFonts w:hint="eastAsia" w:asciiTheme="minorEastAsia" w:hAnsiTheme="minorEastAsia" w:eastAsiaTheme="minorEastAsia"/>
              </w:rPr>
              <w:t>“</w:t>
            </w:r>
            <w:r>
              <w:rPr>
                <w:rFonts w:asciiTheme="minorEastAsia" w:hAnsiTheme="minorEastAsia" w:eastAsiaTheme="minorEastAsia"/>
              </w:rPr>
              <w:t>Rollover Protection</w:t>
            </w:r>
            <w:r>
              <w:rPr>
                <w:rFonts w:hint="eastAsia" w:asciiTheme="minorEastAsia" w:hAnsiTheme="minorEastAsia" w:eastAsiaTheme="minorEastAsia"/>
              </w:rPr>
              <w:t>”</w:t>
            </w:r>
            <w:r>
              <w:rPr>
                <w:rFonts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4" w:hRule="atLeast"/>
        </w:trPr>
        <w:tc>
          <w:tcPr>
            <w:tcW w:w="5000" w:type="pct"/>
            <w:vAlign w:val="center"/>
          </w:tcPr>
          <w:p>
            <w:pPr>
              <w:ind w:firstLine="0" w:firstLineChars="0"/>
              <w:rPr>
                <w:rFonts w:asciiTheme="minorEastAsia" w:hAnsiTheme="minorEastAsia" w:eastAsiaTheme="minorEastAsia"/>
              </w:rPr>
            </w:pPr>
            <w:r>
              <w:rPr>
                <w:rFonts w:asciiTheme="minorEastAsia" w:hAnsiTheme="minorEastAsia" w:eastAsiaTheme="minorEastAsia"/>
              </w:rPr>
              <w:t>TAC</w:t>
            </w:r>
            <w:r>
              <w:rPr>
                <w:rFonts w:hint="eastAsia" w:asciiTheme="minorEastAsia" w:hAnsiTheme="minorEastAsia" w:eastAsiaTheme="minorEastAsia"/>
              </w:rPr>
              <w:t>_ALL:(拖拉机) AND IPC:( A01B</w:t>
            </w:r>
            <w:r>
              <w:rPr>
                <w:rFonts w:asciiTheme="minorEastAsia" w:hAnsiTheme="minorEastAsia" w:eastAsiaTheme="minorEastAsia"/>
              </w:rPr>
              <w:t xml:space="preserve"> OR </w:t>
            </w:r>
            <w:r>
              <w:rPr>
                <w:rFonts w:hint="eastAsia" w:asciiTheme="minorEastAsia" w:hAnsiTheme="minorEastAsia" w:eastAsiaTheme="minorEastAsia"/>
              </w:rPr>
              <w:t xml:space="preserve">B62D </w:t>
            </w:r>
            <w:r>
              <w:rPr>
                <w:rFonts w:asciiTheme="minorEastAsia" w:hAnsiTheme="minorEastAsia" w:eastAsiaTheme="minorEastAsia"/>
              </w:rPr>
              <w:t xml:space="preserve">OR </w:t>
            </w:r>
            <w:r>
              <w:rPr>
                <w:rFonts w:hint="eastAsia" w:asciiTheme="minorEastAsia" w:hAnsiTheme="minorEastAsia" w:eastAsiaTheme="minorEastAsia"/>
              </w:rPr>
              <w:t>B60K</w:t>
            </w:r>
            <w:r>
              <w:rPr>
                <w:rFonts w:asciiTheme="minorEastAsia" w:hAnsiTheme="minorEastAsia" w:eastAsiaTheme="minorEastAsia"/>
              </w:rPr>
              <w:t xml:space="preserve"> OR </w:t>
            </w:r>
            <w:r>
              <w:rPr>
                <w:rFonts w:hint="eastAsia" w:asciiTheme="minorEastAsia" w:hAnsiTheme="minorEastAsia" w:eastAsiaTheme="minorEastAsia"/>
              </w:rPr>
              <w:t>F16H</w:t>
            </w:r>
            <w:r>
              <w:rPr>
                <w:rFonts w:asciiTheme="minorEastAsia" w:hAnsiTheme="minorEastAsia" w:eastAsiaTheme="minorEastAsia"/>
              </w:rPr>
              <w:t xml:space="preserve"> OR </w:t>
            </w:r>
            <w:r>
              <w:rPr>
                <w:rFonts w:hint="eastAsia" w:asciiTheme="minorEastAsia" w:hAnsiTheme="minorEastAsia" w:eastAsiaTheme="minorEastAsia"/>
              </w:rPr>
              <w:t>A01D</w:t>
            </w:r>
            <w:r>
              <w:rPr>
                <w:rFonts w:asciiTheme="minorEastAsia" w:hAnsiTheme="minorEastAsia" w:eastAsiaTheme="minorEastAsia"/>
              </w:rPr>
              <w:t xml:space="preserve"> OR </w:t>
            </w:r>
            <w:r>
              <w:rPr>
                <w:rFonts w:hint="eastAsia" w:asciiTheme="minorEastAsia" w:hAnsiTheme="minorEastAsia" w:eastAsiaTheme="minorEastAsia"/>
              </w:rPr>
              <w:t>B60D</w:t>
            </w:r>
            <w:r>
              <w:rPr>
                <w:rFonts w:asciiTheme="minorEastAsia" w:hAnsiTheme="minorEastAsia" w:eastAsiaTheme="minorEastAsia"/>
              </w:rPr>
              <w:t xml:space="preserve"> OR </w:t>
            </w:r>
            <w:r>
              <w:rPr>
                <w:rFonts w:hint="eastAsia" w:asciiTheme="minorEastAsia" w:hAnsiTheme="minorEastAsia" w:eastAsiaTheme="minorEastAsia"/>
              </w:rPr>
              <w:t>B60B)</w:t>
            </w:r>
          </w:p>
        </w:tc>
      </w:tr>
    </w:tbl>
    <w:p>
      <w:pPr>
        <w:pStyle w:val="2"/>
        <w:ind w:firstLine="480"/>
      </w:pPr>
    </w:p>
    <w:p>
      <w:pPr>
        <w:ind w:firstLine="480"/>
        <w:rPr>
          <w:rFonts w:ascii="宋体" w:hAnsi="宋体"/>
        </w:rPr>
      </w:pPr>
      <w:r>
        <w:rPr>
          <w:rFonts w:hint="eastAsia" w:ascii="宋体" w:hAnsi="宋体"/>
        </w:rPr>
        <w:t>在专利数据库</w:t>
      </w:r>
      <w:r>
        <w:rPr>
          <w:rFonts w:ascii="宋体" w:hAnsi="宋体"/>
        </w:rPr>
        <w:t>(</w:t>
      </w:r>
      <w:r>
        <w:rPr>
          <w:rFonts w:hint="eastAsia" w:ascii="宋体" w:hAnsi="宋体"/>
        </w:rPr>
        <w:t>智慧芽</w:t>
      </w:r>
      <w:r>
        <w:rPr>
          <w:rFonts w:ascii="宋体" w:hAnsi="宋体"/>
        </w:rPr>
        <w:t>)</w:t>
      </w:r>
      <w:r>
        <w:rPr>
          <w:rFonts w:hint="eastAsia" w:ascii="宋体" w:hAnsi="宋体"/>
        </w:rPr>
        <w:t>中检索得到全球与农业运输机械直接相关的专利</w:t>
      </w:r>
      <w:r>
        <w:rPr>
          <w:rFonts w:ascii="宋体" w:hAnsi="宋体"/>
        </w:rPr>
        <w:t>62997</w:t>
      </w:r>
      <w:r>
        <w:rPr>
          <w:rFonts w:hint="eastAsia" w:ascii="宋体" w:hAnsi="宋体"/>
        </w:rPr>
        <w:t>件，其中中国专利</w:t>
      </w:r>
      <w:r>
        <w:rPr>
          <w:rFonts w:ascii="宋体" w:hAnsi="宋体"/>
        </w:rPr>
        <w:t>19957</w:t>
      </w:r>
      <w:r>
        <w:rPr>
          <w:rFonts w:hint="eastAsia" w:ascii="宋体" w:hAnsi="宋体"/>
        </w:rPr>
        <w:t>件，国外专利</w:t>
      </w:r>
      <w:r>
        <w:rPr>
          <w:rFonts w:ascii="宋体" w:hAnsi="宋体"/>
        </w:rPr>
        <w:t>43040</w:t>
      </w:r>
      <w:r>
        <w:rPr>
          <w:rFonts w:hint="eastAsia" w:ascii="宋体" w:hAnsi="宋体"/>
        </w:rPr>
        <w:t>件。本项目后续将基于该</w:t>
      </w:r>
      <w:r>
        <w:rPr>
          <w:rFonts w:ascii="宋体" w:hAnsi="宋体"/>
        </w:rPr>
        <w:t>62997</w:t>
      </w:r>
      <w:r>
        <w:rPr>
          <w:rFonts w:hint="eastAsia" w:ascii="宋体" w:hAnsi="宋体"/>
        </w:rPr>
        <w:t>件专利形成专利数据池，并对其进行专利分析。</w:t>
      </w:r>
    </w:p>
    <w:p>
      <w:pPr>
        <w:ind w:firstLine="562"/>
        <w:outlineLvl w:val="1"/>
        <w:rPr>
          <w:rFonts w:ascii="黑体" w:hAnsi="黑体" w:eastAsia="黑体"/>
          <w:b/>
          <w:bCs/>
          <w:sz w:val="28"/>
          <w:szCs w:val="28"/>
        </w:rPr>
      </w:pPr>
      <w:bookmarkStart w:id="19" w:name="_Toc203061358"/>
      <w:r>
        <w:rPr>
          <w:rFonts w:ascii="黑体" w:hAnsi="黑体" w:eastAsia="黑体"/>
          <w:b/>
          <w:bCs/>
          <w:sz w:val="28"/>
          <w:szCs w:val="28"/>
        </w:rPr>
        <w:t>2</w:t>
      </w:r>
      <w:r>
        <w:rPr>
          <w:rFonts w:hint="eastAsia" w:ascii="黑体" w:hAnsi="黑体" w:eastAsia="黑体"/>
          <w:b/>
          <w:bCs/>
          <w:sz w:val="28"/>
          <w:szCs w:val="28"/>
        </w:rPr>
        <w:t>.2 聊城市农业运输机械产业知识产权保护现状</w:t>
      </w:r>
      <w:bookmarkEnd w:id="19"/>
    </w:p>
    <w:p>
      <w:pPr>
        <w:ind w:firstLine="482"/>
        <w:rPr>
          <w:rFonts w:ascii="宋体" w:hAnsi="宋体"/>
          <w:b/>
          <w:bCs/>
        </w:rPr>
      </w:pPr>
      <w:r>
        <w:rPr>
          <w:rFonts w:hint="eastAsia" w:ascii="宋体" w:hAnsi="宋体"/>
          <w:b/>
          <w:bCs/>
        </w:rPr>
        <w:t>1</w:t>
      </w:r>
      <w:r>
        <w:rPr>
          <w:rFonts w:ascii="宋体" w:hAnsi="宋体"/>
          <w:b/>
          <w:bCs/>
        </w:rPr>
        <w:t>.</w:t>
      </w:r>
      <w:r>
        <w:rPr>
          <w:rFonts w:hint="eastAsia" w:ascii="宋体" w:hAnsi="宋体"/>
          <w:b/>
          <w:bCs/>
        </w:rPr>
        <w:t>专利申请趋势</w:t>
      </w:r>
    </w:p>
    <w:p>
      <w:pPr>
        <w:ind w:firstLine="0" w:firstLineChars="0"/>
        <w:jc w:val="center"/>
      </w:pPr>
      <w:r>
        <w:drawing>
          <wp:inline distT="0" distB="0" distL="0" distR="0">
            <wp:extent cx="5274310" cy="24333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a:stretch>
                      <a:fillRect/>
                    </a:stretch>
                  </pic:blipFill>
                  <pic:spPr>
                    <a:xfrm>
                      <a:off x="0" y="0"/>
                      <a:ext cx="5274310" cy="2433320"/>
                    </a:xfrm>
                    <a:prstGeom prst="rect">
                      <a:avLst/>
                    </a:prstGeom>
                  </pic:spPr>
                </pic:pic>
              </a:graphicData>
            </a:graphic>
          </wp:inline>
        </w:drawing>
      </w:r>
    </w:p>
    <w:p>
      <w:pPr>
        <w:pStyle w:val="20"/>
        <w:shd w:val="clear" w:color="auto" w:fill="FFFFFF"/>
        <w:ind w:firstLine="0" w:firstLineChars="0"/>
        <w:jc w:val="center"/>
        <w:rPr>
          <w:rFonts w:cs="Helvetica" w:asciiTheme="minorEastAsia" w:hAnsiTheme="minorEastAsia" w:eastAsiaTheme="minorEastAsia"/>
          <w:b/>
          <w:color w:val="000000" w:themeColor="text1"/>
        </w:rPr>
      </w:pPr>
      <w:r>
        <w:rPr>
          <w:rFonts w:hint="eastAsia" w:cs="Helvetica" w:asciiTheme="minorEastAsia" w:hAnsiTheme="minorEastAsia" w:eastAsiaTheme="minorEastAsia"/>
          <w:b/>
          <w:color w:val="000000" w:themeColor="text1"/>
        </w:rPr>
        <w:t>图</w:t>
      </w:r>
      <w:r>
        <w:rPr>
          <w:rFonts w:cs="Helvetica" w:asciiTheme="minorEastAsia" w:hAnsiTheme="minorEastAsia" w:eastAsiaTheme="minorEastAsia"/>
          <w:b/>
          <w:color w:val="000000" w:themeColor="text1"/>
        </w:rPr>
        <w:t xml:space="preserve">2.2-1 </w:t>
      </w:r>
      <w:r>
        <w:rPr>
          <w:rFonts w:hint="eastAsia" w:cs="Helvetica" w:asciiTheme="minorEastAsia" w:hAnsiTheme="minorEastAsia" w:eastAsiaTheme="minorEastAsia"/>
          <w:b/>
          <w:color w:val="000000" w:themeColor="text1"/>
        </w:rPr>
        <w:t>聊城市相关专利申请趋势</w:t>
      </w:r>
    </w:p>
    <w:p>
      <w:pPr>
        <w:ind w:firstLine="480"/>
      </w:pPr>
      <w:r>
        <w:t>共检索到</w:t>
      </w:r>
      <w:r>
        <w:rPr>
          <w:rFonts w:hint="eastAsia"/>
        </w:rPr>
        <w:t>聊城市农业运输机械领域</w:t>
      </w:r>
      <w:r>
        <w:t>相关专利文献149</w:t>
      </w:r>
      <w:r>
        <w:rPr>
          <w:rFonts w:hint="eastAsia"/>
        </w:rPr>
        <w:t>件，总体数量是较少的。从专利年申请量来看，聊城市在农业运输机械领域的专利申请在2</w:t>
      </w:r>
      <w:r>
        <w:t>016</w:t>
      </w:r>
      <w:r>
        <w:rPr>
          <w:rFonts w:hint="eastAsia"/>
        </w:rPr>
        <w:t>年以前，年专利申请数量维持在5件左右，从2</w:t>
      </w:r>
      <w:r>
        <w:t>017</w:t>
      </w:r>
      <w:r>
        <w:rPr>
          <w:rFonts w:hint="eastAsia"/>
        </w:rPr>
        <w:t>年开始，聊城市在农业运输机械领域的年专利申请数量维持在1</w:t>
      </w:r>
      <w:r>
        <w:t>0</w:t>
      </w:r>
      <w:r>
        <w:rPr>
          <w:rFonts w:hint="eastAsia"/>
        </w:rPr>
        <w:t>件左右。2</w:t>
      </w:r>
      <w:r>
        <w:t>022</w:t>
      </w:r>
      <w:r>
        <w:rPr>
          <w:rFonts w:hint="eastAsia"/>
        </w:rPr>
        <w:t>年，聊城市在农业运输机械领域的年专利申请数量达到了历史最大值2</w:t>
      </w:r>
      <w:r>
        <w:t>1</w:t>
      </w:r>
      <w:r>
        <w:rPr>
          <w:rFonts w:hint="eastAsia"/>
        </w:rPr>
        <w:t>件。</w:t>
      </w:r>
    </w:p>
    <w:p>
      <w:pPr>
        <w:ind w:firstLine="482"/>
        <w:rPr>
          <w:rFonts w:asciiTheme="minorEastAsia" w:hAnsiTheme="minorEastAsia" w:eastAsiaTheme="minorEastAsia"/>
          <w:b/>
          <w:bCs/>
          <w:color w:val="191919"/>
          <w:shd w:val="clear" w:color="auto" w:fill="FFFFFF"/>
        </w:rPr>
      </w:pPr>
      <w:r>
        <w:rPr>
          <w:rFonts w:hint="eastAsia" w:asciiTheme="minorEastAsia" w:hAnsiTheme="minorEastAsia" w:eastAsiaTheme="minorEastAsia"/>
          <w:b/>
          <w:bCs/>
          <w:color w:val="191919"/>
          <w:shd w:val="clear" w:color="auto" w:fill="FFFFFF"/>
        </w:rPr>
        <w:t>2</w:t>
      </w:r>
      <w:r>
        <w:rPr>
          <w:rFonts w:asciiTheme="minorEastAsia" w:hAnsiTheme="minorEastAsia" w:eastAsiaTheme="minorEastAsia"/>
          <w:b/>
          <w:bCs/>
          <w:color w:val="191919"/>
          <w:shd w:val="clear" w:color="auto" w:fill="FFFFFF"/>
        </w:rPr>
        <w:t>.</w:t>
      </w:r>
      <w:r>
        <w:rPr>
          <w:rFonts w:hint="eastAsia" w:asciiTheme="minorEastAsia" w:hAnsiTheme="minorEastAsia" w:eastAsiaTheme="minorEastAsia"/>
          <w:b/>
          <w:bCs/>
          <w:color w:val="191919"/>
          <w:shd w:val="clear" w:color="auto" w:fill="FFFFFF"/>
        </w:rPr>
        <w:t>专利类型</w:t>
      </w:r>
    </w:p>
    <w:p>
      <w:pPr>
        <w:ind w:firstLine="0" w:firstLineChars="0"/>
        <w:jc w:val="center"/>
        <w:rPr>
          <w:rFonts w:asciiTheme="minorEastAsia" w:hAnsiTheme="minorEastAsia" w:eastAsiaTheme="minorEastAsia"/>
          <w:color w:val="191919"/>
          <w:shd w:val="clear" w:color="auto" w:fill="FFFFFF"/>
        </w:rPr>
      </w:pPr>
      <w:r>
        <w:rPr>
          <w:rFonts w:asciiTheme="minorEastAsia" w:hAnsiTheme="minorEastAsia" w:eastAsiaTheme="minorEastAsia"/>
          <w:color w:val="191919"/>
          <w:shd w:val="clear" w:color="auto" w:fill="FFFFFF"/>
        </w:rPr>
        <w:drawing>
          <wp:inline distT="0" distB="0" distL="0" distR="0">
            <wp:extent cx="5274310" cy="27305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a:stretch>
                      <a:fillRect/>
                    </a:stretch>
                  </pic:blipFill>
                  <pic:spPr>
                    <a:xfrm>
                      <a:off x="0" y="0"/>
                      <a:ext cx="5274310" cy="2730500"/>
                    </a:xfrm>
                    <a:prstGeom prst="rect">
                      <a:avLst/>
                    </a:prstGeom>
                  </pic:spPr>
                </pic:pic>
              </a:graphicData>
            </a:graphic>
          </wp:inline>
        </w:drawing>
      </w:r>
    </w:p>
    <w:p>
      <w:pPr>
        <w:pStyle w:val="20"/>
        <w:shd w:val="clear" w:color="auto" w:fill="FFFFFF"/>
        <w:ind w:firstLine="0" w:firstLineChars="0"/>
        <w:jc w:val="center"/>
        <w:rPr>
          <w:rFonts w:cs="Helvetica" w:asciiTheme="minorEastAsia" w:hAnsiTheme="minorEastAsia" w:eastAsiaTheme="minorEastAsia"/>
          <w:b/>
          <w:color w:val="000000" w:themeColor="text1"/>
        </w:rPr>
      </w:pPr>
      <w:r>
        <w:rPr>
          <w:rFonts w:hint="eastAsia" w:cs="Helvetica" w:asciiTheme="minorEastAsia" w:hAnsiTheme="minorEastAsia" w:eastAsiaTheme="minorEastAsia"/>
          <w:b/>
          <w:color w:val="000000" w:themeColor="text1"/>
        </w:rPr>
        <w:t>图</w:t>
      </w:r>
      <w:r>
        <w:rPr>
          <w:rFonts w:cs="Helvetica" w:asciiTheme="minorEastAsia" w:hAnsiTheme="minorEastAsia" w:eastAsiaTheme="minorEastAsia"/>
          <w:b/>
          <w:color w:val="000000" w:themeColor="text1"/>
        </w:rPr>
        <w:t xml:space="preserve">2.2-2 </w:t>
      </w:r>
      <w:r>
        <w:rPr>
          <w:rFonts w:hint="eastAsia" w:cs="Helvetica" w:asciiTheme="minorEastAsia" w:hAnsiTheme="minorEastAsia" w:eastAsiaTheme="minorEastAsia"/>
          <w:b/>
          <w:color w:val="000000" w:themeColor="text1"/>
        </w:rPr>
        <w:t>聊城市农业运输机械领域相关专利类型占比</w:t>
      </w:r>
    </w:p>
    <w:p>
      <w:pPr>
        <w:ind w:firstLine="480"/>
      </w:pPr>
      <w:r>
        <w:t>由图2.2-2可以看出，目前</w:t>
      </w:r>
      <w:r>
        <w:rPr>
          <w:rFonts w:hint="eastAsia"/>
        </w:rPr>
        <w:t>聊城市在农业运输机械领域专利申请类型主要为外观设计和实用新型专利</w:t>
      </w:r>
      <w:r>
        <w:t>，</w:t>
      </w:r>
      <w:r>
        <w:rPr>
          <w:rFonts w:hint="eastAsia"/>
        </w:rPr>
        <w:t>其中实用新型专利占比为</w:t>
      </w:r>
      <w:r>
        <w:t>56.37%</w:t>
      </w:r>
      <w:r>
        <w:rPr>
          <w:rFonts w:hint="eastAsia"/>
        </w:rPr>
        <w:t>，外观设计专利占比为</w:t>
      </w:r>
      <w:r>
        <w:t>36.24%</w:t>
      </w:r>
      <w:r>
        <w:rPr>
          <w:rFonts w:hint="eastAsia"/>
        </w:rPr>
        <w:t>，发明专利占比较低，仅为</w:t>
      </w:r>
      <w:r>
        <w:t>7.37%。</w:t>
      </w:r>
      <w:r>
        <w:rPr>
          <w:rFonts w:hint="eastAsia"/>
        </w:rPr>
        <w:t>通常来说，专利申请人为了获得专利授权证书，会将创新性较低的技术申请实用新型专利，而将创新性较高的专利申请发明专利，所以相对而言，发明专利的创新性或者说技术先进性要明显高于实用新型专利。所以，聊城市当前在农业运输机械领域的专利技术先进性相对较低，专利总体质量仍有较大的提升空间。</w:t>
      </w:r>
    </w:p>
    <w:p>
      <w:pPr>
        <w:ind w:firstLine="482"/>
        <w:rPr>
          <w:rFonts w:asciiTheme="minorEastAsia" w:hAnsiTheme="minorEastAsia" w:eastAsiaTheme="minorEastAsia"/>
          <w:b/>
          <w:bCs/>
        </w:rPr>
      </w:pPr>
      <w:r>
        <w:rPr>
          <w:rFonts w:asciiTheme="minorEastAsia" w:hAnsiTheme="minorEastAsia" w:eastAsiaTheme="minorEastAsia"/>
          <w:b/>
          <w:bCs/>
        </w:rPr>
        <w:t>3.</w:t>
      </w:r>
      <w:r>
        <w:rPr>
          <w:rFonts w:hint="eastAsia" w:asciiTheme="minorEastAsia" w:hAnsiTheme="minorEastAsia" w:eastAsiaTheme="minorEastAsia"/>
          <w:b/>
          <w:bCs/>
        </w:rPr>
        <w:t>专利法律状态</w:t>
      </w:r>
    </w:p>
    <w:p>
      <w:pPr>
        <w:ind w:firstLine="0" w:firstLineChars="0"/>
        <w:jc w:val="center"/>
        <w:rPr>
          <w:rFonts w:asciiTheme="minorEastAsia" w:hAnsiTheme="minorEastAsia" w:eastAsiaTheme="minorEastAsia"/>
          <w:color w:val="191919"/>
          <w:shd w:val="clear" w:color="auto" w:fill="FFFFFF"/>
        </w:rPr>
      </w:pPr>
      <w:r>
        <w:rPr>
          <w:rFonts w:asciiTheme="minorEastAsia" w:hAnsiTheme="minorEastAsia" w:eastAsiaTheme="minorEastAsia"/>
          <w:color w:val="191919"/>
          <w:shd w:val="clear" w:color="auto" w:fill="FFFFFF"/>
        </w:rPr>
        <w:drawing>
          <wp:inline distT="0" distB="0" distL="0" distR="0">
            <wp:extent cx="4848225" cy="278511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6"/>
                    <a:stretch>
                      <a:fillRect/>
                    </a:stretch>
                  </pic:blipFill>
                  <pic:spPr>
                    <a:xfrm>
                      <a:off x="0" y="0"/>
                      <a:ext cx="4851532" cy="2787324"/>
                    </a:xfrm>
                    <a:prstGeom prst="rect">
                      <a:avLst/>
                    </a:prstGeom>
                  </pic:spPr>
                </pic:pic>
              </a:graphicData>
            </a:graphic>
          </wp:inline>
        </w:drawing>
      </w:r>
    </w:p>
    <w:p>
      <w:pPr>
        <w:pStyle w:val="20"/>
        <w:shd w:val="clear" w:color="auto" w:fill="FFFFFF"/>
        <w:ind w:firstLine="0" w:firstLineChars="0"/>
        <w:jc w:val="center"/>
        <w:rPr>
          <w:rFonts w:cs="Helvetica" w:asciiTheme="minorEastAsia" w:hAnsiTheme="minorEastAsia" w:eastAsiaTheme="minorEastAsia"/>
          <w:b/>
          <w:color w:val="000000" w:themeColor="text1"/>
        </w:rPr>
      </w:pPr>
      <w:r>
        <w:rPr>
          <w:rFonts w:hint="eastAsia" w:cs="Helvetica" w:asciiTheme="minorEastAsia" w:hAnsiTheme="minorEastAsia" w:eastAsiaTheme="minorEastAsia"/>
          <w:b/>
          <w:color w:val="000000" w:themeColor="text1"/>
        </w:rPr>
        <w:t>图</w:t>
      </w:r>
      <w:r>
        <w:rPr>
          <w:rFonts w:cs="Helvetica" w:asciiTheme="minorEastAsia" w:hAnsiTheme="minorEastAsia" w:eastAsiaTheme="minorEastAsia"/>
          <w:b/>
          <w:color w:val="000000" w:themeColor="text1"/>
        </w:rPr>
        <w:t xml:space="preserve">2.2-3 </w:t>
      </w:r>
      <w:r>
        <w:rPr>
          <w:rFonts w:hint="eastAsia" w:cs="Helvetica" w:asciiTheme="minorEastAsia" w:hAnsiTheme="minorEastAsia" w:eastAsiaTheme="minorEastAsia"/>
          <w:b/>
          <w:color w:val="000000" w:themeColor="text1"/>
        </w:rPr>
        <w:t>聊城市农业运输机械领域相关专利法律状态</w:t>
      </w:r>
    </w:p>
    <w:p>
      <w:pPr>
        <w:ind w:firstLine="480"/>
      </w:pPr>
      <w:r>
        <w:rPr>
          <w:rFonts w:hint="eastAsia"/>
        </w:rPr>
        <w:t>通过分析当前专利法律状态的分布情况，可以了解分析目标中专利的权利状态及失效原因，以作为专利价值或管理能力评估、风险分析、技术引进或专利运营等决策行动的参考依据。从图</w:t>
      </w:r>
      <w:r>
        <w:t>2.2-3</w:t>
      </w:r>
      <w:r>
        <w:rPr>
          <w:rFonts w:hint="eastAsia"/>
        </w:rPr>
        <w:t>可以看出，聊城市目前专利健康状态较差，有</w:t>
      </w:r>
      <w:r>
        <w:t>67.11%</w:t>
      </w:r>
      <w:r>
        <w:rPr>
          <w:rFonts w:hint="eastAsia"/>
        </w:rPr>
        <w:t>的专利已经失效，仅有</w:t>
      </w:r>
      <w:r>
        <w:t>31.54%</w:t>
      </w:r>
      <w:r>
        <w:rPr>
          <w:rFonts w:hint="eastAsia"/>
        </w:rPr>
        <w:t>的专利处于有效状态，有效专利的占比较低。</w:t>
      </w:r>
    </w:p>
    <w:p>
      <w:pPr>
        <w:ind w:firstLine="562"/>
        <w:outlineLvl w:val="1"/>
        <w:rPr>
          <w:rFonts w:ascii="黑体" w:hAnsi="黑体" w:eastAsia="黑体"/>
          <w:b/>
          <w:bCs/>
          <w:sz w:val="28"/>
          <w:szCs w:val="28"/>
        </w:rPr>
      </w:pPr>
      <w:bookmarkStart w:id="20" w:name="_Toc203061359"/>
      <w:r>
        <w:rPr>
          <w:rFonts w:ascii="黑体" w:hAnsi="黑体" w:eastAsia="黑体"/>
          <w:b/>
          <w:bCs/>
          <w:sz w:val="28"/>
          <w:szCs w:val="28"/>
        </w:rPr>
        <w:t>2</w:t>
      </w:r>
      <w:r>
        <w:rPr>
          <w:rFonts w:hint="eastAsia" w:ascii="黑体" w:hAnsi="黑体" w:eastAsia="黑体"/>
          <w:b/>
          <w:bCs/>
          <w:sz w:val="28"/>
          <w:szCs w:val="28"/>
        </w:rPr>
        <w:t>.3 产业重点布局区域知识产权竞争态势</w:t>
      </w:r>
      <w:bookmarkEnd w:id="20"/>
    </w:p>
    <w:p>
      <w:pPr>
        <w:ind w:firstLine="562"/>
        <w:outlineLvl w:val="2"/>
        <w:rPr>
          <w:rFonts w:ascii="黑体" w:hAnsi="黑体" w:eastAsia="黑体" w:cs="Helvetica"/>
          <w:b/>
          <w:color w:val="000000" w:themeColor="text1"/>
          <w:kern w:val="0"/>
          <w:sz w:val="28"/>
          <w:szCs w:val="28"/>
        </w:rPr>
      </w:pPr>
      <w:bookmarkStart w:id="21" w:name="_Toc203061360"/>
      <w:r>
        <w:rPr>
          <w:rFonts w:ascii="黑体" w:hAnsi="黑体" w:eastAsia="黑体" w:cs="Helvetica"/>
          <w:b/>
          <w:color w:val="000000" w:themeColor="text1"/>
          <w:kern w:val="0"/>
          <w:sz w:val="28"/>
          <w:szCs w:val="28"/>
        </w:rPr>
        <w:t>2.3</w:t>
      </w:r>
      <w:r>
        <w:rPr>
          <w:rFonts w:hint="eastAsia" w:ascii="黑体" w:hAnsi="黑体" w:eastAsia="黑体" w:cs="Helvetica"/>
          <w:b/>
          <w:color w:val="000000" w:themeColor="text1"/>
          <w:kern w:val="0"/>
          <w:sz w:val="28"/>
          <w:szCs w:val="28"/>
        </w:rPr>
        <w:t>.1</w:t>
      </w:r>
      <w:r>
        <w:rPr>
          <w:rFonts w:ascii="黑体" w:hAnsi="黑体" w:eastAsia="黑体" w:cs="Helvetica"/>
          <w:b/>
          <w:color w:val="000000" w:themeColor="text1"/>
          <w:kern w:val="0"/>
          <w:sz w:val="28"/>
          <w:szCs w:val="28"/>
        </w:rPr>
        <w:t xml:space="preserve"> </w:t>
      </w:r>
      <w:r>
        <w:rPr>
          <w:rFonts w:hint="eastAsia" w:ascii="黑体" w:hAnsi="黑体" w:eastAsia="黑体" w:cs="Helvetica"/>
          <w:b/>
          <w:color w:val="000000" w:themeColor="text1"/>
          <w:kern w:val="0"/>
          <w:sz w:val="28"/>
          <w:szCs w:val="28"/>
        </w:rPr>
        <w:t>美国</w:t>
      </w:r>
      <w:bookmarkEnd w:id="21"/>
    </w:p>
    <w:p>
      <w:pPr>
        <w:ind w:firstLine="482"/>
        <w:rPr>
          <w:rFonts w:asciiTheme="minorEastAsia" w:hAnsiTheme="minorEastAsia" w:eastAsiaTheme="minorEastAsia"/>
          <w:b/>
          <w:bCs/>
        </w:rPr>
      </w:pPr>
      <w:r>
        <w:rPr>
          <w:rFonts w:asciiTheme="minorEastAsia" w:hAnsiTheme="minorEastAsia" w:eastAsiaTheme="minorEastAsia"/>
          <w:b/>
          <w:bCs/>
        </w:rPr>
        <w:t>1.</w:t>
      </w:r>
      <w:r>
        <w:rPr>
          <w:rFonts w:hint="eastAsia" w:asciiTheme="minorEastAsia" w:hAnsiTheme="minorEastAsia" w:eastAsiaTheme="minorEastAsia"/>
          <w:b/>
          <w:bCs/>
        </w:rPr>
        <w:t>专利申请趋势</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274310" cy="243141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7"/>
                    <a:stretch>
                      <a:fillRect/>
                    </a:stretch>
                  </pic:blipFill>
                  <pic:spPr>
                    <a:xfrm>
                      <a:off x="0" y="0"/>
                      <a:ext cx="5274310" cy="2431415"/>
                    </a:xfrm>
                    <a:prstGeom prst="rect">
                      <a:avLst/>
                    </a:prstGeom>
                  </pic:spPr>
                </pic:pic>
              </a:graphicData>
            </a:graphic>
          </wp:inline>
        </w:drawing>
      </w:r>
    </w:p>
    <w:p>
      <w:pPr>
        <w:pStyle w:val="17"/>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2.3-1美国</w:t>
      </w:r>
      <w:r>
        <w:rPr>
          <w:rFonts w:hint="eastAsia" w:asciiTheme="minorEastAsia" w:hAnsiTheme="minorEastAsia" w:eastAsiaTheme="minorEastAsia"/>
          <w:b/>
          <w:bCs/>
          <w:sz w:val="24"/>
        </w:rPr>
        <w:t>农业运输机械领域相关专利申请趋势</w:t>
      </w:r>
    </w:p>
    <w:p>
      <w:pPr>
        <w:ind w:firstLine="480"/>
        <w:rPr>
          <w:rFonts w:asciiTheme="minorEastAsia" w:hAnsiTheme="minorEastAsia" w:eastAsiaTheme="minorEastAsia"/>
        </w:rPr>
      </w:pPr>
      <w:r>
        <w:rPr>
          <w:rFonts w:asciiTheme="minorEastAsia" w:hAnsiTheme="minorEastAsia" w:eastAsiaTheme="minorEastAsia"/>
        </w:rPr>
        <w:t>共检索到</w:t>
      </w:r>
      <w:r>
        <w:rPr>
          <w:rFonts w:hint="eastAsia" w:asciiTheme="minorEastAsia" w:hAnsiTheme="minorEastAsia" w:eastAsiaTheme="minorEastAsia"/>
        </w:rPr>
        <w:t>美国农业运输机械领域</w:t>
      </w:r>
      <w:r>
        <w:rPr>
          <w:rFonts w:asciiTheme="minorEastAsia" w:hAnsiTheme="minorEastAsia" w:eastAsiaTheme="minorEastAsia"/>
        </w:rPr>
        <w:t>相关专利文献7481</w:t>
      </w:r>
      <w:r>
        <w:rPr>
          <w:rFonts w:hint="eastAsia" w:asciiTheme="minorEastAsia" w:hAnsiTheme="minorEastAsia" w:eastAsiaTheme="minorEastAsia"/>
        </w:rPr>
        <w:t>件</w:t>
      </w:r>
      <w:r>
        <w:rPr>
          <w:rFonts w:asciiTheme="minorEastAsia" w:hAnsiTheme="minorEastAsia" w:eastAsiaTheme="minorEastAsia"/>
        </w:rPr>
        <w:t>，</w:t>
      </w:r>
      <w:r>
        <w:rPr>
          <w:rFonts w:hint="eastAsia" w:asciiTheme="minorEastAsia" w:hAnsiTheme="minorEastAsia" w:eastAsiaTheme="minorEastAsia"/>
        </w:rPr>
        <w:t>美国在农业运输机械领域的专利申请开始较早，在2</w:t>
      </w:r>
      <w:r>
        <w:rPr>
          <w:rFonts w:asciiTheme="minorEastAsia" w:hAnsiTheme="minorEastAsia" w:eastAsiaTheme="minorEastAsia"/>
        </w:rPr>
        <w:t>1</w:t>
      </w:r>
      <w:r>
        <w:rPr>
          <w:rFonts w:hint="eastAsia" w:asciiTheme="minorEastAsia" w:hAnsiTheme="minorEastAsia" w:eastAsiaTheme="minorEastAsia"/>
        </w:rPr>
        <w:t>世纪初就在该领域申请了一定数量的专利。近二十年来，美国农业运输机械领域年专利申请数量基本维持4</w:t>
      </w:r>
      <w:r>
        <w:rPr>
          <w:rFonts w:asciiTheme="minorEastAsia" w:hAnsiTheme="minorEastAsia" w:eastAsiaTheme="minorEastAsia"/>
        </w:rPr>
        <w:t>0</w:t>
      </w:r>
      <w:r>
        <w:rPr>
          <w:rFonts w:hint="eastAsia" w:asciiTheme="minorEastAsia" w:hAnsiTheme="minorEastAsia" w:eastAsiaTheme="minorEastAsia"/>
        </w:rPr>
        <w:t>件左右，近几年,年专利申请数量下降主要是受专利审查周期的影响，部分专利尚未公开</w:t>
      </w:r>
      <w:r>
        <w:rPr>
          <w:rFonts w:asciiTheme="minorEastAsia" w:hAnsiTheme="minorEastAsia" w:eastAsiaTheme="minorEastAsia"/>
        </w:rPr>
        <w:t>。</w:t>
      </w:r>
    </w:p>
    <w:p>
      <w:pPr>
        <w:ind w:firstLine="482"/>
        <w:rPr>
          <w:rFonts w:asciiTheme="minorEastAsia" w:hAnsiTheme="minorEastAsia" w:eastAsiaTheme="minorEastAsia"/>
          <w:b/>
          <w:bCs/>
        </w:rPr>
      </w:pPr>
      <w:r>
        <w:rPr>
          <w:rFonts w:asciiTheme="minorEastAsia" w:hAnsiTheme="minorEastAsia" w:eastAsiaTheme="minorEastAsia"/>
          <w:b/>
          <w:bCs/>
        </w:rPr>
        <w:t>2.</w:t>
      </w:r>
      <w:r>
        <w:rPr>
          <w:rFonts w:hint="eastAsia" w:asciiTheme="minorEastAsia" w:hAnsiTheme="minorEastAsia" w:eastAsiaTheme="minorEastAsia"/>
          <w:b/>
          <w:bCs/>
        </w:rPr>
        <w:t>专利类型</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3442970" cy="28486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3450660" cy="2855332"/>
                    </a:xfrm>
                    <a:prstGeom prst="rect">
                      <a:avLst/>
                    </a:prstGeom>
                  </pic:spPr>
                </pic:pic>
              </a:graphicData>
            </a:graphic>
          </wp:inline>
        </w:drawing>
      </w:r>
    </w:p>
    <w:p>
      <w:pPr>
        <w:pStyle w:val="17"/>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2.3-2美国</w:t>
      </w:r>
      <w:r>
        <w:rPr>
          <w:rFonts w:hint="eastAsia" w:asciiTheme="minorEastAsia" w:hAnsiTheme="minorEastAsia" w:eastAsiaTheme="minorEastAsia"/>
          <w:b/>
          <w:bCs/>
          <w:sz w:val="24"/>
        </w:rPr>
        <w:t>农业运输机械领域</w:t>
      </w:r>
      <w:r>
        <w:rPr>
          <w:rFonts w:asciiTheme="minorEastAsia" w:hAnsiTheme="minorEastAsia" w:eastAsiaTheme="minorEastAsia"/>
          <w:b/>
          <w:bCs/>
          <w:sz w:val="24"/>
        </w:rPr>
        <w:t>相关专利申请类型</w:t>
      </w:r>
    </w:p>
    <w:p>
      <w:pPr>
        <w:ind w:firstLine="480"/>
        <w:rPr>
          <w:rFonts w:asciiTheme="minorEastAsia" w:hAnsiTheme="minorEastAsia" w:eastAsiaTheme="minorEastAsia"/>
        </w:rPr>
      </w:pPr>
      <w:r>
        <w:rPr>
          <w:rFonts w:asciiTheme="minorEastAsia" w:hAnsiTheme="minorEastAsia" w:eastAsiaTheme="minorEastAsia"/>
        </w:rPr>
        <w:t>由图2.3-2可以看出，目前</w:t>
      </w:r>
      <w:r>
        <w:rPr>
          <w:rFonts w:hint="eastAsia" w:asciiTheme="minorEastAsia" w:hAnsiTheme="minorEastAsia" w:eastAsiaTheme="minorEastAsia"/>
        </w:rPr>
        <w:t>美国在农业运输机械领域的专利申请类型中，发明专利</w:t>
      </w:r>
      <w:r>
        <w:rPr>
          <w:rFonts w:asciiTheme="minorEastAsia" w:hAnsiTheme="minorEastAsia" w:eastAsiaTheme="minorEastAsia"/>
        </w:rPr>
        <w:t>占比</w:t>
      </w:r>
      <w:r>
        <w:rPr>
          <w:rFonts w:hint="eastAsia" w:asciiTheme="minorEastAsia" w:hAnsiTheme="minorEastAsia" w:eastAsiaTheme="minorEastAsia"/>
        </w:rPr>
        <w:t>高达</w:t>
      </w:r>
      <w:r>
        <w:rPr>
          <w:rFonts w:asciiTheme="minorEastAsia" w:hAnsiTheme="minorEastAsia" w:eastAsiaTheme="minorEastAsia"/>
        </w:rPr>
        <w:t>93.71</w:t>
      </w:r>
      <w:r>
        <w:rPr>
          <w:rFonts w:hint="eastAsia" w:asciiTheme="minorEastAsia" w:hAnsiTheme="minorEastAsia" w:eastAsiaTheme="minorEastAsia"/>
        </w:rPr>
        <w:t>%。其中授权发明专利占比为</w:t>
      </w:r>
      <w:r>
        <w:rPr>
          <w:rFonts w:asciiTheme="minorEastAsia" w:hAnsiTheme="minorEastAsia" w:eastAsiaTheme="minorEastAsia"/>
        </w:rPr>
        <w:t>88.22</w:t>
      </w:r>
      <w:r>
        <w:rPr>
          <w:rFonts w:hint="eastAsia" w:asciiTheme="minorEastAsia" w:hAnsiTheme="minorEastAsia" w:eastAsiaTheme="minorEastAsia"/>
        </w:rPr>
        <w:t>%，发明申请占比为</w:t>
      </w:r>
      <w:r>
        <w:rPr>
          <w:rFonts w:asciiTheme="minorEastAsia" w:hAnsiTheme="minorEastAsia" w:eastAsiaTheme="minorEastAsia"/>
        </w:rPr>
        <w:t>5.49%</w:t>
      </w:r>
      <w:r>
        <w:rPr>
          <w:rFonts w:hint="eastAsia" w:asciiTheme="minorEastAsia" w:hAnsiTheme="minorEastAsia" w:eastAsiaTheme="minorEastAsia"/>
        </w:rPr>
        <w:t>。可见，美国在农业运输机械领域的专利申请技术创新性较高。</w:t>
      </w:r>
    </w:p>
    <w:p>
      <w:pPr>
        <w:ind w:firstLine="482"/>
        <w:rPr>
          <w:rFonts w:asciiTheme="minorEastAsia" w:hAnsiTheme="minorEastAsia" w:eastAsiaTheme="minorEastAsia"/>
          <w:b/>
          <w:bCs/>
        </w:rPr>
      </w:pPr>
      <w:r>
        <w:rPr>
          <w:rFonts w:asciiTheme="minorEastAsia" w:hAnsiTheme="minorEastAsia" w:eastAsiaTheme="minorEastAsia"/>
          <w:b/>
          <w:bCs/>
        </w:rPr>
        <w:t>3.</w:t>
      </w:r>
      <w:r>
        <w:rPr>
          <w:rFonts w:hint="eastAsia" w:asciiTheme="minorEastAsia" w:hAnsiTheme="minorEastAsia" w:eastAsiaTheme="minorEastAsia"/>
          <w:b/>
          <w:bCs/>
        </w:rPr>
        <w:t>专利法律状态</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029200" cy="34480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5033269" cy="3451056"/>
                    </a:xfrm>
                    <a:prstGeom prst="rect">
                      <a:avLst/>
                    </a:prstGeom>
                  </pic:spPr>
                </pic:pic>
              </a:graphicData>
            </a:graphic>
          </wp:inline>
        </w:drawing>
      </w:r>
    </w:p>
    <w:p>
      <w:pPr>
        <w:pStyle w:val="17"/>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2.3-3美国</w:t>
      </w:r>
      <w:r>
        <w:rPr>
          <w:rFonts w:hint="eastAsia" w:asciiTheme="minorEastAsia" w:hAnsiTheme="minorEastAsia" w:eastAsiaTheme="minorEastAsia"/>
          <w:b/>
          <w:bCs/>
          <w:sz w:val="24"/>
        </w:rPr>
        <w:t>农业运输机械领域相关专利法律状态</w:t>
      </w:r>
    </w:p>
    <w:p>
      <w:pPr>
        <w:ind w:firstLine="480"/>
        <w:rPr>
          <w:rFonts w:asciiTheme="minorEastAsia" w:hAnsiTheme="minorEastAsia" w:eastAsiaTheme="minorEastAsia"/>
        </w:rPr>
      </w:pPr>
      <w:r>
        <w:rPr>
          <w:rFonts w:hint="eastAsia" w:asciiTheme="minorEastAsia" w:hAnsiTheme="minorEastAsia" w:eastAsiaTheme="minorEastAsia"/>
        </w:rPr>
        <w:t>从图</w:t>
      </w:r>
      <w:r>
        <w:rPr>
          <w:rFonts w:asciiTheme="minorEastAsia" w:hAnsiTheme="minorEastAsia" w:eastAsiaTheme="minorEastAsia"/>
        </w:rPr>
        <w:t>2.3-3</w:t>
      </w:r>
      <w:r>
        <w:rPr>
          <w:rFonts w:hint="eastAsia" w:asciiTheme="minorEastAsia" w:hAnsiTheme="minorEastAsia" w:eastAsiaTheme="minorEastAsia"/>
        </w:rPr>
        <w:t>可以看出，由于美国农业运输机械产业发展较早，美国农业运输机械领域的专利申请中，有</w:t>
      </w:r>
      <w:r>
        <w:rPr>
          <w:rFonts w:asciiTheme="minorEastAsia" w:hAnsiTheme="minorEastAsia" w:eastAsiaTheme="minorEastAsia"/>
        </w:rPr>
        <w:t>84.18%</w:t>
      </w:r>
      <w:r>
        <w:rPr>
          <w:rFonts w:hint="eastAsia" w:asciiTheme="minorEastAsia" w:hAnsiTheme="minorEastAsia" w:eastAsiaTheme="minorEastAsia"/>
        </w:rPr>
        <w:t>的专利都已经过了保护期了，授权专利仅占4</w:t>
      </w:r>
      <w:r>
        <w:rPr>
          <w:rFonts w:asciiTheme="minorEastAsia" w:hAnsiTheme="minorEastAsia" w:eastAsiaTheme="minorEastAsia"/>
        </w:rPr>
        <w:t>.99%</w:t>
      </w:r>
      <w:r>
        <w:rPr>
          <w:rFonts w:hint="eastAsia" w:asciiTheme="minorEastAsia" w:hAnsiTheme="minorEastAsia" w:eastAsiaTheme="minorEastAsia"/>
        </w:rPr>
        <w:t>，审查中专利0</w:t>
      </w:r>
      <w:r>
        <w:rPr>
          <w:rFonts w:asciiTheme="minorEastAsia" w:hAnsiTheme="minorEastAsia" w:eastAsiaTheme="minorEastAsia"/>
        </w:rPr>
        <w:t>.54%</w:t>
      </w:r>
      <w:r>
        <w:rPr>
          <w:rFonts w:hint="eastAsia" w:asciiTheme="minorEastAsia" w:hAnsiTheme="minorEastAsia" w:eastAsiaTheme="minorEastAsia"/>
        </w:rPr>
        <w:t>。可见美国近些年在农业运输机械领域的技术创新活跃度较低。</w:t>
      </w:r>
    </w:p>
    <w:p>
      <w:pPr>
        <w:ind w:firstLine="562"/>
        <w:outlineLvl w:val="2"/>
        <w:rPr>
          <w:rFonts w:ascii="黑体" w:hAnsi="黑体" w:eastAsia="黑体" w:cs="Helvetica"/>
          <w:b/>
          <w:color w:val="000000" w:themeColor="text1"/>
          <w:kern w:val="0"/>
          <w:sz w:val="28"/>
          <w:szCs w:val="28"/>
        </w:rPr>
      </w:pPr>
      <w:bookmarkStart w:id="22" w:name="_Toc203061361"/>
      <w:r>
        <w:rPr>
          <w:rFonts w:ascii="黑体" w:hAnsi="黑体" w:eastAsia="黑体" w:cs="Helvetica"/>
          <w:b/>
          <w:color w:val="000000" w:themeColor="text1"/>
          <w:kern w:val="0"/>
          <w:sz w:val="28"/>
          <w:szCs w:val="28"/>
        </w:rPr>
        <w:t>2.3</w:t>
      </w:r>
      <w:r>
        <w:rPr>
          <w:rFonts w:hint="eastAsia" w:ascii="黑体" w:hAnsi="黑体" w:eastAsia="黑体" w:cs="Helvetica"/>
          <w:b/>
          <w:color w:val="000000" w:themeColor="text1"/>
          <w:kern w:val="0"/>
          <w:sz w:val="28"/>
          <w:szCs w:val="28"/>
        </w:rPr>
        <w:t>.</w:t>
      </w:r>
      <w:r>
        <w:rPr>
          <w:rFonts w:ascii="黑体" w:hAnsi="黑体" w:eastAsia="黑体" w:cs="Helvetica"/>
          <w:b/>
          <w:color w:val="000000" w:themeColor="text1"/>
          <w:kern w:val="0"/>
          <w:sz w:val="28"/>
          <w:szCs w:val="28"/>
        </w:rPr>
        <w:t xml:space="preserve">2 </w:t>
      </w:r>
      <w:r>
        <w:rPr>
          <w:rFonts w:hint="eastAsia" w:ascii="黑体" w:hAnsi="黑体" w:eastAsia="黑体" w:cs="Helvetica"/>
          <w:b/>
          <w:color w:val="000000" w:themeColor="text1"/>
          <w:kern w:val="0"/>
          <w:sz w:val="28"/>
          <w:szCs w:val="28"/>
        </w:rPr>
        <w:t>德国</w:t>
      </w:r>
      <w:bookmarkEnd w:id="22"/>
    </w:p>
    <w:p>
      <w:pPr>
        <w:ind w:firstLine="482"/>
        <w:rPr>
          <w:rFonts w:asciiTheme="minorEastAsia" w:hAnsiTheme="minorEastAsia" w:eastAsiaTheme="minorEastAsia"/>
          <w:b/>
          <w:bCs/>
          <w:color w:val="000000" w:themeColor="text1"/>
        </w:rPr>
      </w:pPr>
      <w:r>
        <w:rPr>
          <w:rFonts w:asciiTheme="minorEastAsia" w:hAnsiTheme="minorEastAsia" w:eastAsiaTheme="minorEastAsia"/>
          <w:b/>
          <w:bCs/>
          <w:color w:val="000000" w:themeColor="text1"/>
        </w:rPr>
        <w:t>1.</w:t>
      </w:r>
      <w:r>
        <w:rPr>
          <w:rFonts w:hint="eastAsia" w:asciiTheme="minorEastAsia" w:hAnsiTheme="minorEastAsia" w:eastAsiaTheme="minorEastAsia"/>
          <w:b/>
          <w:bCs/>
          <w:color w:val="000000" w:themeColor="text1"/>
        </w:rPr>
        <w:t>专利申请趋势</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274310" cy="23863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stretch>
                      <a:fillRect/>
                    </a:stretch>
                  </pic:blipFill>
                  <pic:spPr>
                    <a:xfrm>
                      <a:off x="0" y="0"/>
                      <a:ext cx="5274310" cy="2386330"/>
                    </a:xfrm>
                    <a:prstGeom prst="rect">
                      <a:avLst/>
                    </a:prstGeom>
                  </pic:spPr>
                </pic:pic>
              </a:graphicData>
            </a:graphic>
          </wp:inline>
        </w:drawing>
      </w:r>
    </w:p>
    <w:p>
      <w:pPr>
        <w:pStyle w:val="17"/>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2.3-4 德国</w:t>
      </w:r>
      <w:r>
        <w:rPr>
          <w:rFonts w:hint="eastAsia" w:asciiTheme="minorEastAsia" w:hAnsiTheme="minorEastAsia" w:eastAsiaTheme="minorEastAsia"/>
          <w:b/>
          <w:bCs/>
          <w:sz w:val="24"/>
        </w:rPr>
        <w:t>农业运输机械领域相关专利申请趋势</w:t>
      </w:r>
    </w:p>
    <w:p>
      <w:pPr>
        <w:ind w:firstLine="480"/>
        <w:rPr>
          <w:rFonts w:asciiTheme="minorEastAsia" w:hAnsiTheme="minorEastAsia" w:eastAsiaTheme="minorEastAsia"/>
        </w:rPr>
      </w:pPr>
      <w:r>
        <w:rPr>
          <w:rFonts w:asciiTheme="minorEastAsia" w:hAnsiTheme="minorEastAsia" w:eastAsiaTheme="minorEastAsia"/>
        </w:rPr>
        <w:t>共检索到</w:t>
      </w:r>
      <w:r>
        <w:rPr>
          <w:rFonts w:hint="eastAsia" w:asciiTheme="minorEastAsia" w:hAnsiTheme="minorEastAsia" w:eastAsiaTheme="minorEastAsia"/>
        </w:rPr>
        <w:t>德国农业运输机械领域</w:t>
      </w:r>
      <w:r>
        <w:rPr>
          <w:rFonts w:asciiTheme="minorEastAsia" w:hAnsiTheme="minorEastAsia" w:eastAsiaTheme="minorEastAsia"/>
        </w:rPr>
        <w:t>相关专利文献6873</w:t>
      </w:r>
      <w:r>
        <w:rPr>
          <w:rFonts w:hint="eastAsia" w:asciiTheme="minorEastAsia" w:hAnsiTheme="minorEastAsia" w:eastAsiaTheme="minorEastAsia"/>
        </w:rPr>
        <w:t>件</w:t>
      </w:r>
      <w:r>
        <w:rPr>
          <w:rFonts w:asciiTheme="minorEastAsia" w:hAnsiTheme="minorEastAsia" w:eastAsiaTheme="minorEastAsia"/>
        </w:rPr>
        <w:t>，</w:t>
      </w:r>
      <w:bookmarkStart w:id="23" w:name="OLE_LINK6"/>
      <w:r>
        <w:rPr>
          <w:rFonts w:hint="eastAsia" w:asciiTheme="minorEastAsia" w:hAnsiTheme="minorEastAsia" w:eastAsiaTheme="minorEastAsia"/>
        </w:rPr>
        <w:t>德国在农业运输机械领域的专利申请开始较早，在2</w:t>
      </w:r>
      <w:r>
        <w:rPr>
          <w:rFonts w:asciiTheme="minorEastAsia" w:hAnsiTheme="minorEastAsia" w:eastAsiaTheme="minorEastAsia"/>
        </w:rPr>
        <w:t>1</w:t>
      </w:r>
      <w:r>
        <w:rPr>
          <w:rFonts w:hint="eastAsia" w:asciiTheme="minorEastAsia" w:hAnsiTheme="minorEastAsia" w:eastAsiaTheme="minorEastAsia"/>
        </w:rPr>
        <w:t>世纪初就在该领域申请了较多的专利。近些年，德国在农业运输机械领域的年专利申请数量出现了一定的减少，年专利申请数量维持在</w:t>
      </w:r>
      <w:r>
        <w:rPr>
          <w:rFonts w:asciiTheme="minorEastAsia" w:hAnsiTheme="minorEastAsia" w:eastAsiaTheme="minorEastAsia"/>
        </w:rPr>
        <w:t>30</w:t>
      </w:r>
      <w:r>
        <w:rPr>
          <w:rFonts w:hint="eastAsia" w:asciiTheme="minorEastAsia" w:hAnsiTheme="minorEastAsia" w:eastAsiaTheme="minorEastAsia"/>
        </w:rPr>
        <w:t>件左右</w:t>
      </w:r>
      <w:r>
        <w:rPr>
          <w:rFonts w:asciiTheme="minorEastAsia" w:hAnsiTheme="minorEastAsia" w:eastAsiaTheme="minorEastAsia"/>
        </w:rPr>
        <w:t>。</w:t>
      </w:r>
    </w:p>
    <w:bookmarkEnd w:id="23"/>
    <w:p>
      <w:pPr>
        <w:ind w:firstLine="482"/>
        <w:rPr>
          <w:rFonts w:asciiTheme="minorEastAsia" w:hAnsiTheme="minorEastAsia" w:eastAsiaTheme="minorEastAsia"/>
          <w:b/>
          <w:bCs/>
        </w:rPr>
      </w:pPr>
      <w:r>
        <w:rPr>
          <w:rFonts w:asciiTheme="minorEastAsia" w:hAnsiTheme="minorEastAsia" w:eastAsiaTheme="minorEastAsia"/>
          <w:b/>
          <w:bCs/>
        </w:rPr>
        <w:t>2.</w:t>
      </w:r>
      <w:r>
        <w:rPr>
          <w:rFonts w:hint="eastAsia" w:asciiTheme="minorEastAsia" w:hAnsiTheme="minorEastAsia" w:eastAsiaTheme="minorEastAsia"/>
          <w:b/>
          <w:bCs/>
        </w:rPr>
        <w:t>专利类型</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4805045" cy="30111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4809438" cy="3013861"/>
                    </a:xfrm>
                    <a:prstGeom prst="rect">
                      <a:avLst/>
                    </a:prstGeom>
                  </pic:spPr>
                </pic:pic>
              </a:graphicData>
            </a:graphic>
          </wp:inline>
        </w:drawing>
      </w:r>
    </w:p>
    <w:p>
      <w:pPr>
        <w:pStyle w:val="17"/>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2.3-5 </w:t>
      </w:r>
      <w:r>
        <w:rPr>
          <w:rFonts w:hint="eastAsia" w:asciiTheme="minorEastAsia" w:hAnsiTheme="minorEastAsia" w:eastAsiaTheme="minorEastAsia"/>
          <w:b/>
          <w:bCs/>
          <w:sz w:val="24"/>
        </w:rPr>
        <w:t>德国农业运输机械领域</w:t>
      </w:r>
      <w:r>
        <w:rPr>
          <w:rFonts w:asciiTheme="minorEastAsia" w:hAnsiTheme="minorEastAsia" w:eastAsiaTheme="minorEastAsia"/>
          <w:b/>
          <w:bCs/>
          <w:sz w:val="24"/>
        </w:rPr>
        <w:t>相关专利申请类型</w:t>
      </w:r>
    </w:p>
    <w:p>
      <w:pPr>
        <w:ind w:firstLine="480"/>
        <w:rPr>
          <w:rFonts w:asciiTheme="minorEastAsia" w:hAnsiTheme="minorEastAsia" w:eastAsiaTheme="minorEastAsia"/>
        </w:rPr>
      </w:pPr>
      <w:r>
        <w:rPr>
          <w:rFonts w:asciiTheme="minorEastAsia" w:hAnsiTheme="minorEastAsia" w:eastAsiaTheme="minorEastAsia"/>
        </w:rPr>
        <w:t>由图2.3-5可以看出，目前</w:t>
      </w:r>
      <w:r>
        <w:rPr>
          <w:rFonts w:hint="eastAsia" w:asciiTheme="minorEastAsia" w:hAnsiTheme="minorEastAsia" w:eastAsiaTheme="minorEastAsia"/>
        </w:rPr>
        <w:t>，德国在农业运输机械领域的专利申请类型主要以发明专利和实用新型专利为主</w:t>
      </w:r>
      <w:r>
        <w:rPr>
          <w:rFonts w:asciiTheme="minorEastAsia" w:hAnsiTheme="minorEastAsia" w:eastAsiaTheme="minorEastAsia"/>
        </w:rPr>
        <w:t>，</w:t>
      </w:r>
      <w:r>
        <w:rPr>
          <w:rFonts w:hint="eastAsia" w:asciiTheme="minorEastAsia" w:hAnsiTheme="minorEastAsia" w:eastAsiaTheme="minorEastAsia"/>
        </w:rPr>
        <w:t>其中授权发明专利占比为</w:t>
      </w:r>
      <w:r>
        <w:rPr>
          <w:rFonts w:asciiTheme="minorEastAsia" w:hAnsiTheme="minorEastAsia" w:eastAsiaTheme="minorEastAsia"/>
        </w:rPr>
        <w:t>38.6</w:t>
      </w:r>
      <w:r>
        <w:rPr>
          <w:rFonts w:hint="eastAsia" w:asciiTheme="minorEastAsia" w:hAnsiTheme="minorEastAsia" w:eastAsiaTheme="minorEastAsia"/>
        </w:rPr>
        <w:t>%，发明申请占比为3</w:t>
      </w:r>
      <w:r>
        <w:rPr>
          <w:rFonts w:asciiTheme="minorEastAsia" w:hAnsiTheme="minorEastAsia" w:eastAsiaTheme="minorEastAsia"/>
        </w:rPr>
        <w:t>1.2%</w:t>
      </w:r>
      <w:r>
        <w:rPr>
          <w:rFonts w:hint="eastAsia" w:asciiTheme="minorEastAsia" w:hAnsiTheme="minorEastAsia" w:eastAsiaTheme="minorEastAsia"/>
        </w:rPr>
        <w:t>。可见，德国在农业运输机械领域专利申请的技术先进性是比较高的。</w:t>
      </w:r>
    </w:p>
    <w:p>
      <w:pPr>
        <w:ind w:firstLine="482"/>
        <w:rPr>
          <w:rFonts w:asciiTheme="minorEastAsia" w:hAnsiTheme="minorEastAsia" w:eastAsiaTheme="minorEastAsia"/>
          <w:b/>
          <w:bCs/>
        </w:rPr>
      </w:pPr>
      <w:r>
        <w:rPr>
          <w:rFonts w:asciiTheme="minorEastAsia" w:hAnsiTheme="minorEastAsia" w:eastAsiaTheme="minorEastAsia"/>
          <w:b/>
          <w:bCs/>
        </w:rPr>
        <w:t>3.</w:t>
      </w:r>
      <w:r>
        <w:rPr>
          <w:rFonts w:hint="eastAsia" w:asciiTheme="minorEastAsia" w:hAnsiTheme="minorEastAsia" w:eastAsiaTheme="minorEastAsia"/>
          <w:b/>
          <w:bCs/>
        </w:rPr>
        <w:t>专利法律状态</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274310" cy="300482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2"/>
                    <a:stretch>
                      <a:fillRect/>
                    </a:stretch>
                  </pic:blipFill>
                  <pic:spPr>
                    <a:xfrm>
                      <a:off x="0" y="0"/>
                      <a:ext cx="5274310" cy="3004820"/>
                    </a:xfrm>
                    <a:prstGeom prst="rect">
                      <a:avLst/>
                    </a:prstGeom>
                  </pic:spPr>
                </pic:pic>
              </a:graphicData>
            </a:graphic>
          </wp:inline>
        </w:drawing>
      </w:r>
    </w:p>
    <w:p>
      <w:pPr>
        <w:pStyle w:val="17"/>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2.3-6 </w:t>
      </w:r>
      <w:r>
        <w:rPr>
          <w:rFonts w:hint="eastAsia" w:asciiTheme="minorEastAsia" w:hAnsiTheme="minorEastAsia" w:eastAsiaTheme="minorEastAsia"/>
          <w:b/>
          <w:bCs/>
          <w:sz w:val="24"/>
        </w:rPr>
        <w:t>德国农业运输机械领域相关专利法律状态</w:t>
      </w:r>
    </w:p>
    <w:p>
      <w:pPr>
        <w:ind w:firstLine="480"/>
        <w:rPr>
          <w:rFonts w:asciiTheme="minorEastAsia" w:hAnsiTheme="minorEastAsia" w:eastAsiaTheme="minorEastAsia"/>
        </w:rPr>
      </w:pPr>
      <w:r>
        <w:rPr>
          <w:rFonts w:hint="eastAsia" w:asciiTheme="minorEastAsia" w:hAnsiTheme="minorEastAsia" w:eastAsiaTheme="minorEastAsia"/>
        </w:rPr>
        <w:t>从图</w:t>
      </w:r>
      <w:r>
        <w:rPr>
          <w:rFonts w:asciiTheme="minorEastAsia" w:hAnsiTheme="minorEastAsia" w:eastAsiaTheme="minorEastAsia"/>
        </w:rPr>
        <w:t>2.3-6</w:t>
      </w:r>
      <w:r>
        <w:rPr>
          <w:rFonts w:hint="eastAsia" w:asciiTheme="minorEastAsia" w:hAnsiTheme="minorEastAsia" w:eastAsiaTheme="minorEastAsia"/>
        </w:rPr>
        <w:t>可以看出，德国农业运输机械领域的专利申请中，</w:t>
      </w:r>
      <w:bookmarkStart w:id="24" w:name="OLE_LINK5"/>
      <w:r>
        <w:rPr>
          <w:rFonts w:hint="eastAsia" w:asciiTheme="minorEastAsia" w:hAnsiTheme="minorEastAsia" w:eastAsiaTheme="minorEastAsia"/>
        </w:rPr>
        <w:t>有</w:t>
      </w:r>
      <w:r>
        <w:rPr>
          <w:rFonts w:asciiTheme="minorEastAsia" w:hAnsiTheme="minorEastAsia" w:eastAsiaTheme="minorEastAsia"/>
        </w:rPr>
        <w:t>53.57%</w:t>
      </w:r>
      <w:r>
        <w:rPr>
          <w:rFonts w:hint="eastAsia" w:asciiTheme="minorEastAsia" w:hAnsiTheme="minorEastAsia" w:eastAsiaTheme="minorEastAsia"/>
        </w:rPr>
        <w:t>的专利期限届满，有</w:t>
      </w:r>
      <w:r>
        <w:rPr>
          <w:rFonts w:asciiTheme="minorEastAsia" w:hAnsiTheme="minorEastAsia" w:eastAsiaTheme="minorEastAsia"/>
        </w:rPr>
        <w:t>17.29%</w:t>
      </w:r>
      <w:r>
        <w:rPr>
          <w:rFonts w:hint="eastAsia" w:asciiTheme="minorEastAsia" w:hAnsiTheme="minorEastAsia" w:eastAsiaTheme="minorEastAsia"/>
        </w:rPr>
        <w:t>的专利未缴年费，有</w:t>
      </w:r>
      <w:r>
        <w:rPr>
          <w:rFonts w:asciiTheme="minorEastAsia" w:hAnsiTheme="minorEastAsia" w:eastAsiaTheme="minorEastAsia"/>
        </w:rPr>
        <w:t>10.79%</w:t>
      </w:r>
      <w:r>
        <w:rPr>
          <w:rFonts w:hint="eastAsia" w:asciiTheme="minorEastAsia" w:hAnsiTheme="minorEastAsia" w:eastAsiaTheme="minorEastAsia"/>
        </w:rPr>
        <w:t>的专利撤回，有</w:t>
      </w:r>
      <w:r>
        <w:rPr>
          <w:rFonts w:asciiTheme="minorEastAsia" w:hAnsiTheme="minorEastAsia" w:eastAsiaTheme="minorEastAsia"/>
        </w:rPr>
        <w:t>10.35%</w:t>
      </w:r>
      <w:r>
        <w:rPr>
          <w:rFonts w:hint="eastAsia" w:asciiTheme="minorEastAsia" w:hAnsiTheme="minorEastAsia" w:eastAsiaTheme="minorEastAsia"/>
        </w:rPr>
        <w:t>的专利申请终止。</w:t>
      </w:r>
      <w:bookmarkEnd w:id="24"/>
      <w:r>
        <w:rPr>
          <w:rFonts w:hint="eastAsia" w:asciiTheme="minorEastAsia" w:hAnsiTheme="minorEastAsia" w:eastAsiaTheme="minorEastAsia"/>
        </w:rPr>
        <w:t>可见，德国在农业运输机械领域的专利大多都已经失效，失效的原因主要是期限届满、撤回、未缴年费等。</w:t>
      </w:r>
    </w:p>
    <w:p>
      <w:pPr>
        <w:ind w:firstLine="562"/>
        <w:outlineLvl w:val="2"/>
        <w:rPr>
          <w:rFonts w:ascii="黑体" w:hAnsi="黑体" w:eastAsia="黑体" w:cs="Helvetica"/>
          <w:b/>
          <w:color w:val="000000" w:themeColor="text1"/>
          <w:kern w:val="0"/>
          <w:sz w:val="28"/>
          <w:szCs w:val="28"/>
        </w:rPr>
      </w:pPr>
      <w:bookmarkStart w:id="25" w:name="_Toc203061362"/>
      <w:r>
        <w:rPr>
          <w:rFonts w:ascii="黑体" w:hAnsi="黑体" w:eastAsia="黑体" w:cs="Helvetica"/>
          <w:b/>
          <w:color w:val="000000" w:themeColor="text1"/>
          <w:kern w:val="0"/>
          <w:sz w:val="28"/>
          <w:szCs w:val="28"/>
        </w:rPr>
        <w:t>2.3</w:t>
      </w:r>
      <w:r>
        <w:rPr>
          <w:rFonts w:hint="eastAsia" w:ascii="黑体" w:hAnsi="黑体" w:eastAsia="黑体" w:cs="Helvetica"/>
          <w:b/>
          <w:color w:val="000000" w:themeColor="text1"/>
          <w:kern w:val="0"/>
          <w:sz w:val="28"/>
          <w:szCs w:val="28"/>
        </w:rPr>
        <w:t>.</w:t>
      </w:r>
      <w:r>
        <w:rPr>
          <w:rFonts w:ascii="黑体" w:hAnsi="黑体" w:eastAsia="黑体" w:cs="Helvetica"/>
          <w:b/>
          <w:color w:val="000000" w:themeColor="text1"/>
          <w:kern w:val="0"/>
          <w:sz w:val="28"/>
          <w:szCs w:val="28"/>
        </w:rPr>
        <w:t xml:space="preserve">3 </w:t>
      </w:r>
      <w:r>
        <w:rPr>
          <w:rFonts w:hint="eastAsia" w:ascii="黑体" w:hAnsi="黑体" w:eastAsia="黑体" w:cs="Helvetica"/>
          <w:b/>
          <w:color w:val="000000" w:themeColor="text1"/>
          <w:kern w:val="0"/>
          <w:sz w:val="28"/>
          <w:szCs w:val="28"/>
        </w:rPr>
        <w:t>日本</w:t>
      </w:r>
      <w:bookmarkEnd w:id="25"/>
    </w:p>
    <w:p>
      <w:pPr>
        <w:ind w:firstLine="482"/>
        <w:rPr>
          <w:rFonts w:asciiTheme="minorEastAsia" w:hAnsiTheme="minorEastAsia" w:eastAsiaTheme="minorEastAsia"/>
          <w:b/>
          <w:bCs/>
        </w:rPr>
      </w:pPr>
      <w:r>
        <w:rPr>
          <w:rFonts w:asciiTheme="minorEastAsia" w:hAnsiTheme="minorEastAsia" w:eastAsiaTheme="minorEastAsia"/>
          <w:b/>
          <w:bCs/>
        </w:rPr>
        <w:t>1.</w:t>
      </w:r>
      <w:r>
        <w:rPr>
          <w:rFonts w:hint="eastAsia" w:asciiTheme="minorEastAsia" w:hAnsiTheme="minorEastAsia" w:eastAsiaTheme="minorEastAsia"/>
          <w:b/>
          <w:bCs/>
        </w:rPr>
        <w:t>专利申请趋势</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274310" cy="238506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3"/>
                    <a:stretch>
                      <a:fillRect/>
                    </a:stretch>
                  </pic:blipFill>
                  <pic:spPr>
                    <a:xfrm>
                      <a:off x="0" y="0"/>
                      <a:ext cx="5274310" cy="2385060"/>
                    </a:xfrm>
                    <a:prstGeom prst="rect">
                      <a:avLst/>
                    </a:prstGeom>
                  </pic:spPr>
                </pic:pic>
              </a:graphicData>
            </a:graphic>
          </wp:inline>
        </w:drawing>
      </w:r>
    </w:p>
    <w:p>
      <w:pPr>
        <w:pStyle w:val="17"/>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2.3-7 </w:t>
      </w:r>
      <w:r>
        <w:rPr>
          <w:rFonts w:hint="eastAsia" w:asciiTheme="minorEastAsia" w:hAnsiTheme="minorEastAsia" w:eastAsiaTheme="minorEastAsia"/>
          <w:b/>
          <w:bCs/>
          <w:sz w:val="24"/>
        </w:rPr>
        <w:t>日本农业运输机械领域相关专利申请趋势</w:t>
      </w:r>
    </w:p>
    <w:p>
      <w:pPr>
        <w:ind w:firstLine="480"/>
        <w:rPr>
          <w:rFonts w:asciiTheme="minorEastAsia" w:hAnsiTheme="minorEastAsia" w:eastAsiaTheme="minorEastAsia"/>
        </w:rPr>
      </w:pPr>
      <w:r>
        <w:rPr>
          <w:rFonts w:asciiTheme="minorEastAsia" w:hAnsiTheme="minorEastAsia" w:eastAsiaTheme="minorEastAsia"/>
        </w:rPr>
        <w:t>共检索到</w:t>
      </w:r>
      <w:r>
        <w:rPr>
          <w:rFonts w:hint="eastAsia" w:asciiTheme="minorEastAsia" w:hAnsiTheme="minorEastAsia" w:eastAsiaTheme="minorEastAsia"/>
        </w:rPr>
        <w:t>日本农业运输机械领域</w:t>
      </w:r>
      <w:r>
        <w:rPr>
          <w:rFonts w:asciiTheme="minorEastAsia" w:hAnsiTheme="minorEastAsia" w:eastAsiaTheme="minorEastAsia"/>
        </w:rPr>
        <w:t>相关专利文献6527</w:t>
      </w:r>
      <w:r>
        <w:rPr>
          <w:rFonts w:hint="eastAsia" w:asciiTheme="minorEastAsia" w:hAnsiTheme="minorEastAsia" w:eastAsiaTheme="minorEastAsia"/>
        </w:rPr>
        <w:t>篇</w:t>
      </w:r>
      <w:r>
        <w:rPr>
          <w:rFonts w:asciiTheme="minorEastAsia" w:hAnsiTheme="minorEastAsia" w:eastAsiaTheme="minorEastAsia"/>
        </w:rPr>
        <w:t>，</w:t>
      </w:r>
      <w:r>
        <w:rPr>
          <w:rFonts w:hint="eastAsia" w:asciiTheme="minorEastAsia" w:hAnsiTheme="minorEastAsia" w:eastAsiaTheme="minorEastAsia"/>
        </w:rPr>
        <w:t>日本在农业运输机械领域的专利申请开始较早，在2</w:t>
      </w:r>
      <w:r>
        <w:rPr>
          <w:rFonts w:asciiTheme="minorEastAsia" w:hAnsiTheme="minorEastAsia" w:eastAsiaTheme="minorEastAsia"/>
        </w:rPr>
        <w:t>1</w:t>
      </w:r>
      <w:r>
        <w:rPr>
          <w:rFonts w:hint="eastAsia" w:asciiTheme="minorEastAsia" w:hAnsiTheme="minorEastAsia" w:eastAsiaTheme="minorEastAsia"/>
        </w:rPr>
        <w:t>世纪初就在该领域申请了较多的专利。近些年，日本在农业运输机械领域的年专利申请数量呈现出逐渐减少的趋势，年专利申请数量维持在</w:t>
      </w:r>
      <w:r>
        <w:rPr>
          <w:rFonts w:asciiTheme="minorEastAsia" w:hAnsiTheme="minorEastAsia" w:eastAsiaTheme="minorEastAsia"/>
        </w:rPr>
        <w:t>20</w:t>
      </w:r>
      <w:r>
        <w:rPr>
          <w:rFonts w:hint="eastAsia" w:asciiTheme="minorEastAsia" w:hAnsiTheme="minorEastAsia" w:eastAsiaTheme="minorEastAsia"/>
        </w:rPr>
        <w:t>件左右</w:t>
      </w:r>
      <w:r>
        <w:rPr>
          <w:rFonts w:asciiTheme="minorEastAsia" w:hAnsiTheme="minorEastAsia" w:eastAsiaTheme="minorEastAsia"/>
        </w:rPr>
        <w:t>。</w:t>
      </w:r>
    </w:p>
    <w:p>
      <w:pPr>
        <w:ind w:firstLine="482"/>
        <w:rPr>
          <w:rFonts w:asciiTheme="minorEastAsia" w:hAnsiTheme="minorEastAsia" w:eastAsiaTheme="minorEastAsia"/>
          <w:b/>
          <w:bCs/>
        </w:rPr>
      </w:pPr>
      <w:r>
        <w:rPr>
          <w:rFonts w:asciiTheme="minorEastAsia" w:hAnsiTheme="minorEastAsia" w:eastAsiaTheme="minorEastAsia"/>
          <w:b/>
          <w:bCs/>
        </w:rPr>
        <w:t>2.</w:t>
      </w:r>
      <w:r>
        <w:rPr>
          <w:rFonts w:hint="eastAsia" w:asciiTheme="minorEastAsia" w:hAnsiTheme="minorEastAsia" w:eastAsiaTheme="minorEastAsia"/>
          <w:b/>
          <w:bCs/>
        </w:rPr>
        <w:t>专利类型</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274310" cy="308800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4"/>
                    <a:stretch>
                      <a:fillRect/>
                    </a:stretch>
                  </pic:blipFill>
                  <pic:spPr>
                    <a:xfrm>
                      <a:off x="0" y="0"/>
                      <a:ext cx="5274310" cy="3088005"/>
                    </a:xfrm>
                    <a:prstGeom prst="rect">
                      <a:avLst/>
                    </a:prstGeom>
                  </pic:spPr>
                </pic:pic>
              </a:graphicData>
            </a:graphic>
          </wp:inline>
        </w:drawing>
      </w:r>
    </w:p>
    <w:p>
      <w:pPr>
        <w:pStyle w:val="17"/>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2.3-8 </w:t>
      </w:r>
      <w:r>
        <w:rPr>
          <w:rFonts w:hint="eastAsia" w:asciiTheme="minorEastAsia" w:hAnsiTheme="minorEastAsia" w:eastAsiaTheme="minorEastAsia"/>
          <w:b/>
          <w:bCs/>
          <w:sz w:val="24"/>
        </w:rPr>
        <w:t>日本农业运输机械领域</w:t>
      </w:r>
      <w:r>
        <w:rPr>
          <w:rFonts w:asciiTheme="minorEastAsia" w:hAnsiTheme="minorEastAsia" w:eastAsiaTheme="minorEastAsia"/>
          <w:b/>
          <w:bCs/>
          <w:sz w:val="24"/>
        </w:rPr>
        <w:t>相关专利申请类型</w:t>
      </w:r>
    </w:p>
    <w:p>
      <w:pPr>
        <w:ind w:firstLine="480"/>
        <w:rPr>
          <w:rFonts w:asciiTheme="minorEastAsia" w:hAnsiTheme="minorEastAsia" w:eastAsiaTheme="minorEastAsia"/>
        </w:rPr>
      </w:pPr>
      <w:r>
        <w:rPr>
          <w:rFonts w:asciiTheme="minorEastAsia" w:hAnsiTheme="minorEastAsia" w:eastAsiaTheme="minorEastAsia"/>
        </w:rPr>
        <w:t>由图2.3-8可以看出，目前</w:t>
      </w:r>
      <w:r>
        <w:rPr>
          <w:rFonts w:hint="eastAsia" w:asciiTheme="minorEastAsia" w:hAnsiTheme="minorEastAsia" w:eastAsiaTheme="minorEastAsia"/>
        </w:rPr>
        <w:t>日本在农业运输机械领域的专利申请类型主要以发明专利和实用新型专利为主</w:t>
      </w:r>
      <w:r>
        <w:rPr>
          <w:rFonts w:asciiTheme="minorEastAsia" w:hAnsiTheme="minorEastAsia" w:eastAsiaTheme="minorEastAsia"/>
        </w:rPr>
        <w:t>，</w:t>
      </w:r>
      <w:r>
        <w:rPr>
          <w:rFonts w:hint="eastAsia" w:asciiTheme="minorEastAsia" w:hAnsiTheme="minorEastAsia" w:eastAsiaTheme="minorEastAsia"/>
        </w:rPr>
        <w:t>其中授权发明专利占比为</w:t>
      </w:r>
      <w:r>
        <w:rPr>
          <w:rFonts w:asciiTheme="minorEastAsia" w:hAnsiTheme="minorEastAsia" w:eastAsiaTheme="minorEastAsia"/>
        </w:rPr>
        <w:t>25.81</w:t>
      </w:r>
      <w:r>
        <w:rPr>
          <w:rFonts w:hint="eastAsia" w:asciiTheme="minorEastAsia" w:hAnsiTheme="minorEastAsia" w:eastAsiaTheme="minorEastAsia"/>
        </w:rPr>
        <w:t>%，发明申请占比为3</w:t>
      </w:r>
      <w:r>
        <w:rPr>
          <w:rFonts w:asciiTheme="minorEastAsia" w:hAnsiTheme="minorEastAsia" w:eastAsiaTheme="minorEastAsia"/>
        </w:rPr>
        <w:t>8.04%</w:t>
      </w:r>
      <w:r>
        <w:rPr>
          <w:rFonts w:hint="eastAsia" w:asciiTheme="minorEastAsia" w:hAnsiTheme="minorEastAsia" w:eastAsiaTheme="minorEastAsia"/>
        </w:rPr>
        <w:t>。</w:t>
      </w:r>
    </w:p>
    <w:p>
      <w:pPr>
        <w:ind w:firstLine="482"/>
        <w:rPr>
          <w:rFonts w:asciiTheme="minorEastAsia" w:hAnsiTheme="minorEastAsia" w:eastAsiaTheme="minorEastAsia"/>
          <w:b/>
          <w:bCs/>
        </w:rPr>
      </w:pPr>
      <w:r>
        <w:rPr>
          <w:rFonts w:asciiTheme="minorEastAsia" w:hAnsiTheme="minorEastAsia" w:eastAsiaTheme="minorEastAsia"/>
          <w:b/>
          <w:bCs/>
        </w:rPr>
        <w:t>3.</w:t>
      </w:r>
      <w:r>
        <w:rPr>
          <w:rFonts w:hint="eastAsia" w:asciiTheme="minorEastAsia" w:hAnsiTheme="minorEastAsia" w:eastAsiaTheme="minorEastAsia"/>
          <w:b/>
          <w:bCs/>
        </w:rPr>
        <w:t>专利法律状态</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274310" cy="328485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5"/>
                    <a:stretch>
                      <a:fillRect/>
                    </a:stretch>
                  </pic:blipFill>
                  <pic:spPr>
                    <a:xfrm>
                      <a:off x="0" y="0"/>
                      <a:ext cx="5274310" cy="3284855"/>
                    </a:xfrm>
                    <a:prstGeom prst="rect">
                      <a:avLst/>
                    </a:prstGeom>
                  </pic:spPr>
                </pic:pic>
              </a:graphicData>
            </a:graphic>
          </wp:inline>
        </w:drawing>
      </w:r>
    </w:p>
    <w:p>
      <w:pPr>
        <w:pStyle w:val="17"/>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2.3-9 </w:t>
      </w:r>
      <w:r>
        <w:rPr>
          <w:rFonts w:hint="eastAsia" w:asciiTheme="minorEastAsia" w:hAnsiTheme="minorEastAsia" w:eastAsiaTheme="minorEastAsia"/>
          <w:b/>
          <w:bCs/>
          <w:sz w:val="24"/>
        </w:rPr>
        <w:t>日本农业运输机械领域相关专利法律状态</w:t>
      </w:r>
    </w:p>
    <w:p>
      <w:pPr>
        <w:ind w:firstLine="480"/>
        <w:rPr>
          <w:rFonts w:asciiTheme="minorEastAsia" w:hAnsiTheme="minorEastAsia" w:eastAsiaTheme="minorEastAsia"/>
        </w:rPr>
      </w:pPr>
      <w:r>
        <w:rPr>
          <w:rFonts w:hint="eastAsia" w:asciiTheme="minorEastAsia" w:hAnsiTheme="minorEastAsia" w:eastAsiaTheme="minorEastAsia"/>
        </w:rPr>
        <w:t>从图</w:t>
      </w:r>
      <w:r>
        <w:rPr>
          <w:rFonts w:asciiTheme="minorEastAsia" w:hAnsiTheme="minorEastAsia" w:eastAsiaTheme="minorEastAsia"/>
        </w:rPr>
        <w:t>2.3-9</w:t>
      </w:r>
      <w:r>
        <w:rPr>
          <w:rFonts w:hint="eastAsia" w:asciiTheme="minorEastAsia" w:hAnsiTheme="minorEastAsia" w:eastAsiaTheme="minorEastAsia"/>
        </w:rPr>
        <w:t>可以看出，日本农业运输机械领域的专利申请中，有</w:t>
      </w:r>
      <w:r>
        <w:rPr>
          <w:rFonts w:asciiTheme="minorEastAsia" w:hAnsiTheme="minorEastAsia" w:eastAsiaTheme="minorEastAsia"/>
        </w:rPr>
        <w:t>27.11%</w:t>
      </w:r>
      <w:r>
        <w:rPr>
          <w:rFonts w:hint="eastAsia" w:asciiTheme="minorEastAsia" w:hAnsiTheme="minorEastAsia" w:eastAsiaTheme="minorEastAsia"/>
        </w:rPr>
        <w:t>的专利未缴年费，有</w:t>
      </w:r>
      <w:r>
        <w:rPr>
          <w:rFonts w:asciiTheme="minorEastAsia" w:hAnsiTheme="minorEastAsia" w:eastAsiaTheme="minorEastAsia"/>
        </w:rPr>
        <w:t>26.22%</w:t>
      </w:r>
      <w:r>
        <w:rPr>
          <w:rFonts w:hint="eastAsia" w:asciiTheme="minorEastAsia" w:hAnsiTheme="minorEastAsia" w:eastAsiaTheme="minorEastAsia"/>
        </w:rPr>
        <w:t>的专利撤回，有2</w:t>
      </w:r>
      <w:r>
        <w:rPr>
          <w:rFonts w:asciiTheme="minorEastAsia" w:hAnsiTheme="minorEastAsia" w:eastAsiaTheme="minorEastAsia"/>
        </w:rPr>
        <w:t>2.87%</w:t>
      </w:r>
      <w:r>
        <w:rPr>
          <w:rFonts w:hint="eastAsia" w:asciiTheme="minorEastAsia" w:hAnsiTheme="minorEastAsia" w:eastAsiaTheme="minorEastAsia"/>
        </w:rPr>
        <w:t>的专利期限届满，有</w:t>
      </w:r>
      <w:r>
        <w:rPr>
          <w:rFonts w:asciiTheme="minorEastAsia" w:hAnsiTheme="minorEastAsia" w:eastAsiaTheme="minorEastAsia"/>
        </w:rPr>
        <w:t>10.12%</w:t>
      </w:r>
      <w:r>
        <w:rPr>
          <w:rFonts w:hint="eastAsia" w:asciiTheme="minorEastAsia" w:hAnsiTheme="minorEastAsia" w:eastAsiaTheme="minorEastAsia"/>
        </w:rPr>
        <w:t>的专利驳回。可见，日本在农业运输机械领域的专利大多都处于失效状态。</w:t>
      </w:r>
    </w:p>
    <w:p>
      <w:pPr>
        <w:ind w:firstLine="562"/>
        <w:outlineLvl w:val="2"/>
        <w:rPr>
          <w:rFonts w:ascii="黑体" w:hAnsi="黑体" w:eastAsia="黑体" w:cs="Helvetica"/>
          <w:b/>
          <w:color w:val="000000" w:themeColor="text1"/>
          <w:kern w:val="0"/>
          <w:sz w:val="28"/>
          <w:szCs w:val="28"/>
        </w:rPr>
      </w:pPr>
      <w:bookmarkStart w:id="26" w:name="_Toc203061363"/>
      <w:r>
        <w:rPr>
          <w:rFonts w:ascii="黑体" w:hAnsi="黑体" w:eastAsia="黑体" w:cs="Helvetica"/>
          <w:b/>
          <w:color w:val="000000" w:themeColor="text1"/>
          <w:kern w:val="0"/>
          <w:sz w:val="28"/>
          <w:szCs w:val="28"/>
        </w:rPr>
        <w:t>2.3</w:t>
      </w:r>
      <w:r>
        <w:rPr>
          <w:rFonts w:hint="eastAsia" w:ascii="黑体" w:hAnsi="黑体" w:eastAsia="黑体" w:cs="Helvetica"/>
          <w:b/>
          <w:color w:val="000000" w:themeColor="text1"/>
          <w:kern w:val="0"/>
          <w:sz w:val="28"/>
          <w:szCs w:val="28"/>
        </w:rPr>
        <w:t>.</w:t>
      </w:r>
      <w:r>
        <w:rPr>
          <w:rFonts w:ascii="黑体" w:hAnsi="黑体" w:eastAsia="黑体" w:cs="Helvetica"/>
          <w:b/>
          <w:color w:val="000000" w:themeColor="text1"/>
          <w:kern w:val="0"/>
          <w:sz w:val="28"/>
          <w:szCs w:val="28"/>
        </w:rPr>
        <w:t xml:space="preserve">4 </w:t>
      </w:r>
      <w:r>
        <w:rPr>
          <w:rFonts w:hint="eastAsia" w:ascii="黑体" w:hAnsi="黑体" w:eastAsia="黑体" w:cs="Helvetica"/>
          <w:b/>
          <w:color w:val="000000" w:themeColor="text1"/>
          <w:kern w:val="0"/>
          <w:sz w:val="28"/>
          <w:szCs w:val="28"/>
        </w:rPr>
        <w:t>法国</w:t>
      </w:r>
      <w:bookmarkEnd w:id="26"/>
    </w:p>
    <w:p>
      <w:pPr>
        <w:ind w:firstLine="482"/>
        <w:rPr>
          <w:rFonts w:asciiTheme="minorEastAsia" w:hAnsiTheme="minorEastAsia" w:eastAsiaTheme="minorEastAsia"/>
          <w:b/>
          <w:bCs/>
        </w:rPr>
      </w:pPr>
      <w:r>
        <w:rPr>
          <w:rFonts w:asciiTheme="minorEastAsia" w:hAnsiTheme="minorEastAsia" w:eastAsiaTheme="minorEastAsia"/>
          <w:b/>
          <w:bCs/>
        </w:rPr>
        <w:t>1.</w:t>
      </w:r>
      <w:r>
        <w:rPr>
          <w:rFonts w:hint="eastAsia" w:asciiTheme="minorEastAsia" w:hAnsiTheme="minorEastAsia" w:eastAsiaTheme="minorEastAsia"/>
          <w:b/>
          <w:bCs/>
        </w:rPr>
        <w:t>专利申请趋势</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274310" cy="243078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6"/>
                    <a:stretch>
                      <a:fillRect/>
                    </a:stretch>
                  </pic:blipFill>
                  <pic:spPr>
                    <a:xfrm>
                      <a:off x="0" y="0"/>
                      <a:ext cx="5274310" cy="2430780"/>
                    </a:xfrm>
                    <a:prstGeom prst="rect">
                      <a:avLst/>
                    </a:prstGeom>
                  </pic:spPr>
                </pic:pic>
              </a:graphicData>
            </a:graphic>
          </wp:inline>
        </w:drawing>
      </w:r>
    </w:p>
    <w:p>
      <w:pPr>
        <w:pStyle w:val="17"/>
        <w:ind w:firstLine="482"/>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2.3-10 </w:t>
      </w:r>
      <w:r>
        <w:rPr>
          <w:rFonts w:hint="eastAsia" w:asciiTheme="minorEastAsia" w:hAnsiTheme="minorEastAsia" w:eastAsiaTheme="minorEastAsia"/>
          <w:b/>
          <w:bCs/>
          <w:sz w:val="24"/>
        </w:rPr>
        <w:t>法国农业运输机械领域相关专利申请趋势</w:t>
      </w:r>
    </w:p>
    <w:p>
      <w:pPr>
        <w:ind w:firstLine="480"/>
        <w:rPr>
          <w:rFonts w:asciiTheme="minorEastAsia" w:hAnsiTheme="minorEastAsia" w:eastAsiaTheme="minorEastAsia"/>
        </w:rPr>
      </w:pPr>
      <w:r>
        <w:rPr>
          <w:rFonts w:asciiTheme="minorEastAsia" w:hAnsiTheme="minorEastAsia" w:eastAsiaTheme="minorEastAsia"/>
        </w:rPr>
        <w:t>共检索到</w:t>
      </w:r>
      <w:r>
        <w:rPr>
          <w:rFonts w:hint="eastAsia" w:asciiTheme="minorEastAsia" w:hAnsiTheme="minorEastAsia" w:eastAsiaTheme="minorEastAsia"/>
        </w:rPr>
        <w:t>法国农业运输机械领域</w:t>
      </w:r>
      <w:r>
        <w:rPr>
          <w:rFonts w:asciiTheme="minorEastAsia" w:hAnsiTheme="minorEastAsia" w:eastAsiaTheme="minorEastAsia"/>
        </w:rPr>
        <w:t>相关专利文献4248</w:t>
      </w:r>
      <w:r>
        <w:rPr>
          <w:rFonts w:hint="eastAsia" w:asciiTheme="minorEastAsia" w:hAnsiTheme="minorEastAsia" w:eastAsiaTheme="minorEastAsia"/>
        </w:rPr>
        <w:t>篇</w:t>
      </w:r>
      <w:r>
        <w:rPr>
          <w:rFonts w:asciiTheme="minorEastAsia" w:hAnsiTheme="minorEastAsia" w:eastAsiaTheme="minorEastAsia"/>
        </w:rPr>
        <w:t>，</w:t>
      </w:r>
      <w:r>
        <w:rPr>
          <w:rFonts w:hint="eastAsia" w:asciiTheme="minorEastAsia" w:hAnsiTheme="minorEastAsia" w:eastAsiaTheme="minorEastAsia"/>
        </w:rPr>
        <w:t>由图2</w:t>
      </w:r>
      <w:r>
        <w:rPr>
          <w:rFonts w:asciiTheme="minorEastAsia" w:hAnsiTheme="minorEastAsia" w:eastAsiaTheme="minorEastAsia"/>
        </w:rPr>
        <w:t>.3-10</w:t>
      </w:r>
      <w:r>
        <w:rPr>
          <w:rFonts w:hint="eastAsia" w:asciiTheme="minorEastAsia" w:hAnsiTheme="minorEastAsia" w:eastAsiaTheme="minorEastAsia"/>
        </w:rPr>
        <w:t>可以看出，法国农业运输机械产业发展较早，近些年，法国在农业运输机械领域的年专利申请数量较少，年专利申请数量不足1</w:t>
      </w:r>
      <w:r>
        <w:rPr>
          <w:rFonts w:asciiTheme="minorEastAsia" w:hAnsiTheme="minorEastAsia" w:eastAsiaTheme="minorEastAsia"/>
        </w:rPr>
        <w:t>0</w:t>
      </w:r>
      <w:r>
        <w:rPr>
          <w:rFonts w:hint="eastAsia" w:asciiTheme="minorEastAsia" w:hAnsiTheme="minorEastAsia" w:eastAsiaTheme="minorEastAsia"/>
        </w:rPr>
        <w:t>件</w:t>
      </w:r>
      <w:r>
        <w:rPr>
          <w:rFonts w:asciiTheme="minorEastAsia" w:hAnsiTheme="minorEastAsia" w:eastAsiaTheme="minorEastAsia"/>
        </w:rPr>
        <w:t>。</w:t>
      </w:r>
    </w:p>
    <w:p>
      <w:pPr>
        <w:ind w:firstLine="482"/>
        <w:rPr>
          <w:rFonts w:asciiTheme="minorEastAsia" w:hAnsiTheme="minorEastAsia" w:eastAsiaTheme="minorEastAsia"/>
          <w:b/>
          <w:bCs/>
        </w:rPr>
      </w:pPr>
      <w:r>
        <w:rPr>
          <w:rFonts w:asciiTheme="minorEastAsia" w:hAnsiTheme="minorEastAsia" w:eastAsiaTheme="minorEastAsia"/>
          <w:b/>
          <w:bCs/>
        </w:rPr>
        <w:t>2.</w:t>
      </w:r>
      <w:r>
        <w:rPr>
          <w:rFonts w:hint="eastAsia" w:asciiTheme="minorEastAsia" w:hAnsiTheme="minorEastAsia" w:eastAsiaTheme="minorEastAsia"/>
          <w:b/>
          <w:bCs/>
        </w:rPr>
        <w:t>专利类型</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274310" cy="362394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7"/>
                    <a:stretch>
                      <a:fillRect/>
                    </a:stretch>
                  </pic:blipFill>
                  <pic:spPr>
                    <a:xfrm>
                      <a:off x="0" y="0"/>
                      <a:ext cx="5274310" cy="3623945"/>
                    </a:xfrm>
                    <a:prstGeom prst="rect">
                      <a:avLst/>
                    </a:prstGeom>
                  </pic:spPr>
                </pic:pic>
              </a:graphicData>
            </a:graphic>
          </wp:inline>
        </w:drawing>
      </w:r>
    </w:p>
    <w:p>
      <w:pPr>
        <w:pStyle w:val="17"/>
        <w:ind w:firstLine="482"/>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2.3-11 </w:t>
      </w:r>
      <w:r>
        <w:rPr>
          <w:rFonts w:hint="eastAsia" w:asciiTheme="minorEastAsia" w:hAnsiTheme="minorEastAsia" w:eastAsiaTheme="minorEastAsia"/>
          <w:b/>
          <w:bCs/>
          <w:sz w:val="24"/>
        </w:rPr>
        <w:t>法国农业运输机械领域</w:t>
      </w:r>
      <w:r>
        <w:rPr>
          <w:rFonts w:asciiTheme="minorEastAsia" w:hAnsiTheme="minorEastAsia" w:eastAsiaTheme="minorEastAsia"/>
          <w:b/>
          <w:bCs/>
          <w:sz w:val="24"/>
        </w:rPr>
        <w:t>相关专利申请类型</w:t>
      </w:r>
    </w:p>
    <w:p>
      <w:pPr>
        <w:ind w:firstLine="480"/>
        <w:rPr>
          <w:rFonts w:asciiTheme="minorEastAsia" w:hAnsiTheme="minorEastAsia" w:eastAsiaTheme="minorEastAsia"/>
        </w:rPr>
      </w:pPr>
      <w:r>
        <w:rPr>
          <w:rFonts w:asciiTheme="minorEastAsia" w:hAnsiTheme="minorEastAsia" w:eastAsiaTheme="minorEastAsia"/>
        </w:rPr>
        <w:t>由图2.3-11可以看出，目前</w:t>
      </w:r>
      <w:r>
        <w:rPr>
          <w:rFonts w:hint="eastAsia" w:asciiTheme="minorEastAsia" w:hAnsiTheme="minorEastAsia" w:eastAsiaTheme="minorEastAsia"/>
        </w:rPr>
        <w:t>法国在农业运输机械领域的专利申请类型主要以发明专利为主</w:t>
      </w:r>
      <w:r>
        <w:rPr>
          <w:rFonts w:asciiTheme="minorEastAsia" w:hAnsiTheme="minorEastAsia" w:eastAsiaTheme="minorEastAsia"/>
        </w:rPr>
        <w:t>，</w:t>
      </w:r>
      <w:r>
        <w:rPr>
          <w:rFonts w:hint="eastAsia" w:asciiTheme="minorEastAsia" w:hAnsiTheme="minorEastAsia" w:eastAsiaTheme="minorEastAsia"/>
        </w:rPr>
        <w:t>发明专利</w:t>
      </w:r>
      <w:r>
        <w:rPr>
          <w:rFonts w:asciiTheme="minorEastAsia" w:hAnsiTheme="minorEastAsia" w:eastAsiaTheme="minorEastAsia"/>
        </w:rPr>
        <w:t>占比</w:t>
      </w:r>
      <w:r>
        <w:rPr>
          <w:rFonts w:hint="eastAsia" w:asciiTheme="minorEastAsia" w:hAnsiTheme="minorEastAsia" w:eastAsiaTheme="minorEastAsia"/>
        </w:rPr>
        <w:t>为</w:t>
      </w:r>
      <w:r>
        <w:rPr>
          <w:rFonts w:asciiTheme="minorEastAsia" w:hAnsiTheme="minorEastAsia" w:eastAsiaTheme="minorEastAsia"/>
        </w:rPr>
        <w:t>90.85</w:t>
      </w:r>
      <w:r>
        <w:rPr>
          <w:rFonts w:hint="eastAsia" w:asciiTheme="minorEastAsia" w:hAnsiTheme="minorEastAsia" w:eastAsiaTheme="minorEastAsia"/>
        </w:rPr>
        <w:t>%，其中授权发明专利占比为</w:t>
      </w:r>
      <w:r>
        <w:rPr>
          <w:rFonts w:asciiTheme="minorEastAsia" w:hAnsiTheme="minorEastAsia" w:eastAsiaTheme="minorEastAsia"/>
        </w:rPr>
        <w:t>81.77</w:t>
      </w:r>
      <w:r>
        <w:rPr>
          <w:rFonts w:hint="eastAsia" w:asciiTheme="minorEastAsia" w:hAnsiTheme="minorEastAsia" w:eastAsiaTheme="minorEastAsia"/>
        </w:rPr>
        <w:t>%。实用新型专利占比相对较少，为</w:t>
      </w:r>
      <w:r>
        <w:rPr>
          <w:rFonts w:asciiTheme="minorEastAsia" w:hAnsiTheme="minorEastAsia" w:eastAsiaTheme="minorEastAsia"/>
        </w:rPr>
        <w:t>1.93%</w:t>
      </w:r>
      <w:r>
        <w:rPr>
          <w:rFonts w:hint="eastAsia" w:asciiTheme="minorEastAsia" w:hAnsiTheme="minorEastAsia" w:eastAsiaTheme="minorEastAsia"/>
        </w:rPr>
        <w:t>。可以看出，法国在农业运输机械领域专利的技术先进性是相对较高的。</w:t>
      </w:r>
    </w:p>
    <w:p>
      <w:pPr>
        <w:ind w:firstLine="482"/>
        <w:rPr>
          <w:rFonts w:asciiTheme="minorEastAsia" w:hAnsiTheme="minorEastAsia" w:eastAsiaTheme="minorEastAsia"/>
          <w:b/>
          <w:bCs/>
        </w:rPr>
      </w:pPr>
      <w:r>
        <w:rPr>
          <w:rFonts w:asciiTheme="minorEastAsia" w:hAnsiTheme="minorEastAsia" w:eastAsiaTheme="minorEastAsia"/>
          <w:b/>
          <w:bCs/>
        </w:rPr>
        <w:t>3.</w:t>
      </w:r>
      <w:r>
        <w:rPr>
          <w:rFonts w:hint="eastAsia" w:asciiTheme="minorEastAsia" w:hAnsiTheme="minorEastAsia" w:eastAsiaTheme="minorEastAsia"/>
          <w:b/>
          <w:bCs/>
        </w:rPr>
        <w:t>专利法律状态</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274310" cy="295592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8"/>
                    <a:stretch>
                      <a:fillRect/>
                    </a:stretch>
                  </pic:blipFill>
                  <pic:spPr>
                    <a:xfrm>
                      <a:off x="0" y="0"/>
                      <a:ext cx="5274310" cy="2955925"/>
                    </a:xfrm>
                    <a:prstGeom prst="rect">
                      <a:avLst/>
                    </a:prstGeom>
                  </pic:spPr>
                </pic:pic>
              </a:graphicData>
            </a:graphic>
          </wp:inline>
        </w:drawing>
      </w:r>
    </w:p>
    <w:p>
      <w:pPr>
        <w:pStyle w:val="17"/>
        <w:ind w:firstLine="482"/>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2.3-12 </w:t>
      </w:r>
      <w:r>
        <w:rPr>
          <w:rFonts w:hint="eastAsia" w:asciiTheme="minorEastAsia" w:hAnsiTheme="minorEastAsia" w:eastAsiaTheme="minorEastAsia"/>
          <w:b/>
          <w:bCs/>
          <w:sz w:val="24"/>
        </w:rPr>
        <w:t>法国农业运输机械领域相关专利法律状态</w:t>
      </w:r>
    </w:p>
    <w:p>
      <w:pPr>
        <w:ind w:firstLine="480"/>
        <w:rPr>
          <w:rFonts w:asciiTheme="minorEastAsia" w:hAnsiTheme="minorEastAsia" w:eastAsiaTheme="minorEastAsia"/>
        </w:rPr>
      </w:pPr>
      <w:r>
        <w:rPr>
          <w:rFonts w:hint="eastAsia" w:asciiTheme="minorEastAsia" w:hAnsiTheme="minorEastAsia" w:eastAsiaTheme="minorEastAsia"/>
        </w:rPr>
        <w:t>从图</w:t>
      </w:r>
      <w:r>
        <w:rPr>
          <w:rFonts w:asciiTheme="minorEastAsia" w:hAnsiTheme="minorEastAsia" w:eastAsiaTheme="minorEastAsia"/>
        </w:rPr>
        <w:t>2.3-12</w:t>
      </w:r>
      <w:r>
        <w:rPr>
          <w:rFonts w:hint="eastAsia" w:asciiTheme="minorEastAsia" w:hAnsiTheme="minorEastAsia" w:eastAsiaTheme="minorEastAsia"/>
        </w:rPr>
        <w:t>可以看出，法国农业运输机械领域的专利申请中，有</w:t>
      </w:r>
      <w:r>
        <w:rPr>
          <w:rFonts w:asciiTheme="minorEastAsia" w:hAnsiTheme="minorEastAsia" w:eastAsiaTheme="minorEastAsia"/>
        </w:rPr>
        <w:t>73.75%</w:t>
      </w:r>
      <w:r>
        <w:rPr>
          <w:rFonts w:hint="eastAsia" w:asciiTheme="minorEastAsia" w:hAnsiTheme="minorEastAsia" w:eastAsiaTheme="minorEastAsia"/>
        </w:rPr>
        <w:t>的专利期限届满，有</w:t>
      </w:r>
      <w:r>
        <w:rPr>
          <w:rFonts w:asciiTheme="minorEastAsia" w:hAnsiTheme="minorEastAsia" w:eastAsiaTheme="minorEastAsia"/>
        </w:rPr>
        <w:t>14.24%</w:t>
      </w:r>
      <w:r>
        <w:rPr>
          <w:rFonts w:hint="eastAsia" w:asciiTheme="minorEastAsia" w:hAnsiTheme="minorEastAsia" w:eastAsiaTheme="minorEastAsia"/>
        </w:rPr>
        <w:t>的专利权利终止，仅有</w:t>
      </w:r>
      <w:r>
        <w:rPr>
          <w:rFonts w:asciiTheme="minorEastAsia" w:hAnsiTheme="minorEastAsia" w:eastAsiaTheme="minorEastAsia"/>
        </w:rPr>
        <w:t>1.88%</w:t>
      </w:r>
      <w:r>
        <w:rPr>
          <w:rFonts w:hint="eastAsia" w:asciiTheme="minorEastAsia" w:hAnsiTheme="minorEastAsia" w:eastAsiaTheme="minorEastAsia"/>
        </w:rPr>
        <w:t>的专利处于授权状态。可以看出得到法国在农业运输机械领域的大部分专利都已失效。</w:t>
      </w:r>
    </w:p>
    <w:p>
      <w:pPr>
        <w:ind w:firstLine="562"/>
        <w:outlineLvl w:val="1"/>
        <w:rPr>
          <w:rFonts w:ascii="黑体" w:hAnsi="黑体" w:eastAsia="黑体"/>
          <w:b/>
          <w:bCs/>
          <w:sz w:val="28"/>
          <w:szCs w:val="28"/>
        </w:rPr>
      </w:pPr>
      <w:bookmarkStart w:id="27" w:name="_Toc203061364"/>
      <w:r>
        <w:rPr>
          <w:rFonts w:ascii="黑体" w:hAnsi="黑体" w:eastAsia="黑体"/>
          <w:b/>
          <w:bCs/>
          <w:sz w:val="28"/>
          <w:szCs w:val="28"/>
        </w:rPr>
        <w:t>2</w:t>
      </w:r>
      <w:r>
        <w:rPr>
          <w:rFonts w:hint="eastAsia" w:ascii="黑体" w:hAnsi="黑体" w:eastAsia="黑体"/>
          <w:b/>
          <w:bCs/>
          <w:sz w:val="28"/>
          <w:szCs w:val="28"/>
        </w:rPr>
        <w:t>.</w:t>
      </w:r>
      <w:r>
        <w:rPr>
          <w:rFonts w:ascii="黑体" w:hAnsi="黑体" w:eastAsia="黑体"/>
          <w:b/>
          <w:bCs/>
          <w:sz w:val="28"/>
          <w:szCs w:val="28"/>
        </w:rPr>
        <w:t>4</w:t>
      </w:r>
      <w:r>
        <w:rPr>
          <w:rFonts w:hint="eastAsia" w:ascii="黑体" w:hAnsi="黑体" w:eastAsia="黑体"/>
          <w:b/>
          <w:bCs/>
          <w:sz w:val="28"/>
          <w:szCs w:val="28"/>
        </w:rPr>
        <w:t xml:space="preserve"> 重点企业知识产权竞争态势</w:t>
      </w:r>
      <w:bookmarkEnd w:id="27"/>
    </w:p>
    <w:p>
      <w:pPr>
        <w:ind w:firstLine="0" w:firstLineChars="0"/>
      </w:pPr>
      <w:r>
        <w:drawing>
          <wp:inline distT="0" distB="0" distL="0" distR="0">
            <wp:extent cx="5274310" cy="24669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5274310" cy="2466975"/>
                    </a:xfrm>
                    <a:prstGeom prst="rect">
                      <a:avLst/>
                    </a:prstGeom>
                  </pic:spPr>
                </pic:pic>
              </a:graphicData>
            </a:graphic>
          </wp:inline>
        </w:drawing>
      </w:r>
    </w:p>
    <w:p>
      <w:pPr>
        <w:pStyle w:val="17"/>
        <w:ind w:firstLine="482"/>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2.4-1 </w:t>
      </w:r>
      <w:r>
        <w:rPr>
          <w:rFonts w:hint="eastAsia" w:asciiTheme="minorEastAsia" w:hAnsiTheme="minorEastAsia" w:eastAsiaTheme="minorEastAsia"/>
          <w:b/>
          <w:bCs/>
          <w:sz w:val="24"/>
        </w:rPr>
        <w:t>全球农业运输机械领域主要专利申请人</w:t>
      </w:r>
    </w:p>
    <w:p>
      <w:pPr>
        <w:ind w:firstLine="480"/>
      </w:pPr>
      <w:r>
        <w:rPr>
          <w:rFonts w:hint="eastAsia"/>
        </w:rPr>
        <w:t>排在前十位的专利申请人依次为</w:t>
      </w:r>
      <w:bookmarkStart w:id="28" w:name="OLE_LINK7"/>
      <w:r>
        <w:t>株式会社久保田</w:t>
      </w:r>
      <w:bookmarkEnd w:id="28"/>
      <w:r>
        <w:rPr>
          <w:rFonts w:hint="eastAsia"/>
        </w:rPr>
        <w:t>、</w:t>
      </w:r>
      <w:r>
        <w:t>井关农机株式会社</w:t>
      </w:r>
      <w:r>
        <w:rPr>
          <w:rFonts w:hint="eastAsia"/>
        </w:rPr>
        <w:t>、</w:t>
      </w:r>
      <w:r>
        <w:t>迪尔公司</w:t>
      </w:r>
      <w:r>
        <w:rPr>
          <w:rFonts w:hint="eastAsia"/>
        </w:rPr>
        <w:t>、</w:t>
      </w:r>
      <w:r>
        <w:t>潍柴雷沃智慧农业科技股份有限公司</w:t>
      </w:r>
      <w:r>
        <w:rPr>
          <w:rFonts w:hint="eastAsia"/>
        </w:rPr>
        <w:t>、</w:t>
      </w:r>
      <w:r>
        <w:t>洋马股份有限公司</w:t>
      </w:r>
      <w:r>
        <w:rPr>
          <w:rFonts w:hint="eastAsia"/>
        </w:rPr>
        <w:t>、</w:t>
      </w:r>
      <w:r>
        <w:t>第一拖拉机股份有限公司</w:t>
      </w:r>
      <w:r>
        <w:rPr>
          <w:rFonts w:hint="eastAsia"/>
        </w:rPr>
        <w:t>、</w:t>
      </w:r>
      <w:r>
        <w:t>INTERNATIONAL HARVESTER CO</w:t>
      </w:r>
      <w:r>
        <w:rPr>
          <w:rFonts w:hint="eastAsia"/>
        </w:rPr>
        <w:t>、</w:t>
      </w:r>
      <w:r>
        <w:t>三菱农机株式会社</w:t>
      </w:r>
      <w:r>
        <w:rPr>
          <w:rFonts w:hint="eastAsia"/>
        </w:rPr>
        <w:t>、</w:t>
      </w:r>
      <w:r>
        <w:t>克鲁科耐尔海姆伯德德意志KHD股份公司</w:t>
      </w:r>
      <w:r>
        <w:rPr>
          <w:rFonts w:hint="eastAsia"/>
        </w:rPr>
        <w:t>、</w:t>
      </w:r>
      <w:r>
        <w:t>STEYR DAIMLER PUCH AG</w:t>
      </w:r>
      <w:r>
        <w:rPr>
          <w:rFonts w:hint="eastAsia"/>
        </w:rPr>
        <w:t>。可以看到，农业运输机械领域专利申请数量排名前十的专利申请人主要为国外企业。</w:t>
      </w:r>
    </w:p>
    <w:p>
      <w:pPr>
        <w:ind w:firstLine="480"/>
      </w:pPr>
      <w:r>
        <w:rPr>
          <w:rFonts w:hint="eastAsia"/>
        </w:rPr>
        <w:t>下面对部分农业运输机械企业做简单介绍。</w:t>
      </w:r>
    </w:p>
    <w:p>
      <w:pPr>
        <w:ind w:firstLine="482"/>
        <w:rPr>
          <w:b/>
          <w:bCs/>
        </w:rPr>
      </w:pPr>
      <w:r>
        <w:rPr>
          <w:rFonts w:hint="eastAsia"/>
          <w:b/>
          <w:bCs/>
        </w:rPr>
        <w:t>一、</w:t>
      </w:r>
      <w:r>
        <w:rPr>
          <w:b/>
          <w:bCs/>
        </w:rPr>
        <w:t>株式会社久保田</w:t>
      </w:r>
    </w:p>
    <w:p>
      <w:pPr>
        <w:ind w:firstLine="480"/>
      </w:pPr>
      <w:r>
        <w:t>株式会社久保田成立于 1890 年，总部位于日本大阪。公司最初是一家铸造厂，后历经发展，业务范围不断扩大，在机械制造、产业基础设施、环境设施等领域均有涉足，是日本最大的水处理设备制造公司之一。</w:t>
      </w:r>
    </w:p>
    <w:p>
      <w:pPr>
        <w:ind w:firstLine="480"/>
      </w:pPr>
      <w:r>
        <w:t>久保田产品种类丰富，包括拖拉机和农用设备、发动机、建筑设备、自动售货机、管件、阀门、铸造金属、水泵和水净化设备等。其在农业机械领域成就显著，是日本第一家生产农用拖拉机的企业，在美国也成立了久保田拖拉机公司拓展市场。在建设机械领域，久保田专注小挖研发制造，其小型挖掘机连续多年世界市场占有率第一。发动机方面，久保田 1922 年开始生产发动机，是 100 马力以下产业用柴油发动机的行业内世界知名品牌</w:t>
      </w:r>
      <w:r>
        <w:rPr>
          <w:rFonts w:hint="eastAsia"/>
        </w:rPr>
        <w:t>。</w:t>
      </w:r>
    </w:p>
    <w:p>
      <w:pPr>
        <w:ind w:firstLine="482"/>
        <w:rPr>
          <w:b/>
          <w:bCs/>
        </w:rPr>
      </w:pPr>
      <w:r>
        <w:rPr>
          <w:b/>
          <w:bCs/>
        </w:rPr>
        <w:t>久保田</w:t>
      </w:r>
      <w:r>
        <w:rPr>
          <w:rFonts w:hint="eastAsia"/>
          <w:b/>
          <w:bCs/>
        </w:rPr>
        <w:t>目前在农业运输机械领域专利申请</w:t>
      </w:r>
      <w:r>
        <w:rPr>
          <w:b/>
          <w:bCs/>
        </w:rPr>
        <w:t>2559</w:t>
      </w:r>
      <w:r>
        <w:rPr>
          <w:rFonts w:hint="eastAsia"/>
          <w:b/>
          <w:bCs/>
        </w:rPr>
        <w:t>件，主要布局国家为日本、美国、英国、韩国等。</w:t>
      </w:r>
      <w:r>
        <w:rPr>
          <w:b/>
          <w:bCs/>
        </w:rPr>
        <w:t>久保田</w:t>
      </w:r>
      <w:r>
        <w:rPr>
          <w:rFonts w:hint="eastAsia"/>
          <w:b/>
          <w:bCs/>
        </w:rPr>
        <w:t>发明专利占比为</w:t>
      </w:r>
      <w:r>
        <w:rPr>
          <w:b/>
          <w:bCs/>
        </w:rPr>
        <w:t>57.75</w:t>
      </w:r>
      <w:r>
        <w:rPr>
          <w:rFonts w:hint="eastAsia"/>
          <w:b/>
          <w:bCs/>
        </w:rPr>
        <w:t>%，其中，授权发明专利占比为</w:t>
      </w:r>
      <w:r>
        <w:rPr>
          <w:b/>
          <w:bCs/>
        </w:rPr>
        <w:t>37.21%</w:t>
      </w:r>
      <w:r>
        <w:rPr>
          <w:rFonts w:hint="eastAsia"/>
          <w:b/>
          <w:bCs/>
        </w:rPr>
        <w:t>；目前有</w:t>
      </w:r>
      <w:r>
        <w:rPr>
          <w:b/>
          <w:bCs/>
        </w:rPr>
        <w:t>81.39%</w:t>
      </w:r>
      <w:r>
        <w:rPr>
          <w:rFonts w:hint="eastAsia"/>
          <w:b/>
          <w:bCs/>
        </w:rPr>
        <w:t>的专利失效，有效专利占比</w:t>
      </w:r>
      <w:r>
        <w:rPr>
          <w:b/>
          <w:bCs/>
        </w:rPr>
        <w:t>16.95</w:t>
      </w:r>
      <w:r>
        <w:rPr>
          <w:rFonts w:hint="eastAsia"/>
          <w:b/>
          <w:bCs/>
        </w:rPr>
        <w:t>%，审中专利占比为</w:t>
      </w:r>
      <w:r>
        <w:rPr>
          <w:b/>
          <w:bCs/>
        </w:rPr>
        <w:t>1.66</w:t>
      </w:r>
      <w:r>
        <w:rPr>
          <w:rFonts w:hint="eastAsia"/>
          <w:b/>
          <w:bCs/>
        </w:rPr>
        <w:t>%。</w:t>
      </w:r>
      <w:r>
        <w:rPr>
          <w:b/>
          <w:bCs/>
        </w:rPr>
        <w:t>久保田</w:t>
      </w:r>
      <w:r>
        <w:rPr>
          <w:rFonts w:hint="eastAsia"/>
          <w:b/>
          <w:bCs/>
        </w:rPr>
        <w:t>在农业运输机械领域专利申请数量明显领先于其他专利申请人，且有效专利的数量也非常多，在农业运输机械领域拥有较强的竞争力。</w:t>
      </w:r>
    </w:p>
    <w:p>
      <w:pPr>
        <w:ind w:firstLine="482"/>
        <w:rPr>
          <w:b/>
          <w:bCs/>
        </w:rPr>
      </w:pPr>
      <w:r>
        <w:rPr>
          <w:rFonts w:hint="eastAsia"/>
          <w:b/>
          <w:bCs/>
        </w:rPr>
        <w:t>二、</w:t>
      </w:r>
      <w:r>
        <w:rPr>
          <w:b/>
          <w:bCs/>
        </w:rPr>
        <w:t>迪尔公司</w:t>
      </w:r>
    </w:p>
    <w:p>
      <w:pPr>
        <w:ind w:firstLine="480"/>
      </w:pPr>
      <w:bookmarkStart w:id="29" w:name="OLE_LINK9"/>
      <w:r>
        <w:t>迪尔公司</w:t>
      </w:r>
      <w:bookmarkEnd w:id="29"/>
      <w:r>
        <w:t>（John Deere）创立于 1837 年，总部位于美国伊利诺依莫林市。它是全球领先的工程机械、农用机械和草坪机械设备制造商，也是世界最大的农业机械制造商和世界第二大工程机械制造商，位列世界五百强前列，产品行销 160 多个国家和地区。</w:t>
      </w:r>
    </w:p>
    <w:p>
      <w:pPr>
        <w:ind w:firstLine="480"/>
      </w:pPr>
      <w:r>
        <w:t>公司创始人约翰</w:t>
      </w:r>
      <w:r>
        <w:rPr>
          <w:rFonts w:hint="eastAsia" w:ascii="微软雅黑" w:hAnsi="微软雅黑" w:eastAsia="微软雅黑" w:cs="微软雅黑"/>
        </w:rPr>
        <w:t>・</w:t>
      </w:r>
      <w:r>
        <w:rPr>
          <w:rFonts w:hint="eastAsia" w:ascii="宋体" w:hAnsi="宋体" w:cs="宋体"/>
        </w:rPr>
        <w:t>迪尔制造出世界上第一架畅销的不粘泥土的钢犁，并由此起家</w:t>
      </w:r>
      <w:r>
        <w:t>。迪尔公司业务主要包括农业与草坪设备、建筑与林业设备以及信贷等。其中，农业设备领域，迪尔是全球领先制造商，通过经销商网络提供全方位农业服务和解决方案；建筑与林业设备方面，它是全球领先的林业设备制造商，也是北美主要的建筑设备制造商；信贷业务上，约翰迪尔信用公司是美国最大的设备融资公司之一。</w:t>
      </w:r>
    </w:p>
    <w:p>
      <w:pPr>
        <w:ind w:firstLine="482"/>
        <w:rPr>
          <w:b/>
          <w:bCs/>
        </w:rPr>
      </w:pPr>
      <w:bookmarkStart w:id="30" w:name="OLE_LINK10"/>
      <w:r>
        <w:rPr>
          <w:b/>
          <w:bCs/>
        </w:rPr>
        <w:t>迪尔公司</w:t>
      </w:r>
      <w:bookmarkEnd w:id="30"/>
      <w:r>
        <w:rPr>
          <w:rFonts w:hint="eastAsia"/>
          <w:b/>
          <w:bCs/>
        </w:rPr>
        <w:t>目前在农业运输机械领域专利申请</w:t>
      </w:r>
      <w:r>
        <w:rPr>
          <w:b/>
          <w:bCs/>
        </w:rPr>
        <w:t>1149</w:t>
      </w:r>
      <w:r>
        <w:rPr>
          <w:rFonts w:hint="eastAsia"/>
          <w:b/>
          <w:bCs/>
        </w:rPr>
        <w:t>件，主要布局国家为美国、加拿大、英国、德国等；发明专利占比为</w:t>
      </w:r>
      <w:r>
        <w:rPr>
          <w:b/>
          <w:bCs/>
        </w:rPr>
        <w:t>78.76</w:t>
      </w:r>
      <w:r>
        <w:rPr>
          <w:rFonts w:hint="eastAsia"/>
          <w:b/>
          <w:bCs/>
        </w:rPr>
        <w:t>%，其中，授权发明专利占比为5</w:t>
      </w:r>
      <w:r>
        <w:rPr>
          <w:b/>
          <w:bCs/>
        </w:rPr>
        <w:t>7.71%</w:t>
      </w:r>
      <w:r>
        <w:rPr>
          <w:rFonts w:hint="eastAsia"/>
          <w:b/>
          <w:bCs/>
        </w:rPr>
        <w:t>；目前，有效专利占比为</w:t>
      </w:r>
      <w:r>
        <w:rPr>
          <w:b/>
          <w:bCs/>
        </w:rPr>
        <w:t>17.04</w:t>
      </w:r>
      <w:r>
        <w:rPr>
          <w:rFonts w:hint="eastAsia"/>
          <w:b/>
          <w:bCs/>
        </w:rPr>
        <w:t>%，审中专利占比为</w:t>
      </w:r>
      <w:r>
        <w:rPr>
          <w:b/>
          <w:bCs/>
        </w:rPr>
        <w:t>3.89</w:t>
      </w:r>
      <w:r>
        <w:rPr>
          <w:rFonts w:hint="eastAsia"/>
          <w:b/>
          <w:bCs/>
        </w:rPr>
        <w:t>%，失效专利占比为</w:t>
      </w:r>
      <w:r>
        <w:rPr>
          <w:b/>
          <w:bCs/>
        </w:rPr>
        <w:t>79.07%</w:t>
      </w:r>
      <w:r>
        <w:rPr>
          <w:rFonts w:hint="eastAsia"/>
          <w:b/>
          <w:bCs/>
        </w:rPr>
        <w:t>。可见，</w:t>
      </w:r>
      <w:r>
        <w:rPr>
          <w:b/>
          <w:bCs/>
        </w:rPr>
        <w:t>迪尔公司</w:t>
      </w:r>
      <w:r>
        <w:rPr>
          <w:rFonts w:hint="eastAsia"/>
          <w:b/>
          <w:bCs/>
        </w:rPr>
        <w:t>在农业运输机械领域的技术创新能力是较强的，但大多数专利都已失效。</w:t>
      </w:r>
    </w:p>
    <w:p>
      <w:pPr>
        <w:ind w:firstLine="482"/>
        <w:rPr>
          <w:b/>
          <w:bCs/>
        </w:rPr>
      </w:pPr>
      <w:r>
        <w:rPr>
          <w:rFonts w:hint="eastAsia"/>
          <w:b/>
          <w:bCs/>
        </w:rPr>
        <w:t>三、</w:t>
      </w:r>
      <w:r>
        <w:rPr>
          <w:b/>
          <w:bCs/>
        </w:rPr>
        <w:t>潍柴雷沃智慧农业科技股份有限公司</w:t>
      </w:r>
    </w:p>
    <w:p>
      <w:pPr>
        <w:ind w:firstLine="480"/>
      </w:pPr>
      <w:bookmarkStart w:id="31" w:name="OLE_LINK11"/>
      <w:r>
        <w:t>潍柴雷沃智慧农业科技股份有限公司</w:t>
      </w:r>
      <w:bookmarkEnd w:id="31"/>
      <w:r>
        <w:t>成立于2004年，是山东重工集团旗下六大核心业务板块之一，注册地址为山东省潍坊市坊子区，董事长为王桂民。公司聚焦智能农机与智慧农业两大战略业务，是国内少数可以为现代农业提供全程机械化整体解决方案的品牌之一，目标是打造全球智慧农业科技产业领先品牌。</w:t>
      </w:r>
    </w:p>
    <w:p>
      <w:pPr>
        <w:ind w:firstLine="480"/>
      </w:pPr>
      <w:r>
        <w:t>公司旗下收获机械、拖拉机等业务连续多年保持行业领先，主营业务涵盖拖拉机、谷物收获机械、玉米收获机械等多个领域，包含现代农业生产的各个环节。依托潍柴集团在液压电控、CVT动力总成等新科技领域的优势，公司持续突破农业现代化发展前沿技术，推出了大马力CVT智能拖拉机等产品，打破了国内高端农业装备领域核心技术长期被国外垄断的困局。</w:t>
      </w:r>
    </w:p>
    <w:p>
      <w:pPr>
        <w:ind w:firstLine="480"/>
      </w:pPr>
      <w:r>
        <w:t>同时，公司还开发了智慧农业管理平台，结合精准作业技术，为规模种植户提供耕、种、管、收等服务，引领国内农业从“汗水驱动”向“智慧驱动”转变。此外，公司在全球搭建研发平台，在北美、欧洲、日本等地设立科技创新中心，研究总院现有研发人员1800余人，研发实力雄厚。潍柴雷沃智慧农业科技股份有限公司产品出口到130多个国家，作为国家农机装备产业链“链主”企业，还带动了潍坊等地的农机产业发展，形成了国内产业规模最大、创新能力最强的智能农机集群。</w:t>
      </w:r>
    </w:p>
    <w:p>
      <w:pPr>
        <w:ind w:firstLine="482"/>
        <w:rPr>
          <w:b/>
          <w:bCs/>
          <w:color w:val="000000" w:themeColor="text1"/>
        </w:rPr>
      </w:pPr>
      <w:r>
        <w:rPr>
          <w:b/>
          <w:bCs/>
          <w:color w:val="000000" w:themeColor="text1"/>
        </w:rPr>
        <w:t>潍柴雷沃智慧农业科技股份有限公司</w:t>
      </w:r>
      <w:r>
        <w:rPr>
          <w:rFonts w:hint="eastAsia"/>
          <w:b/>
          <w:bCs/>
          <w:color w:val="000000" w:themeColor="text1"/>
        </w:rPr>
        <w:t>目前在农业运输机械领域专利申请</w:t>
      </w:r>
      <w:r>
        <w:rPr>
          <w:b/>
          <w:bCs/>
          <w:color w:val="000000" w:themeColor="text1"/>
        </w:rPr>
        <w:t>942</w:t>
      </w:r>
      <w:r>
        <w:rPr>
          <w:rFonts w:hint="eastAsia"/>
          <w:b/>
          <w:bCs/>
          <w:color w:val="000000" w:themeColor="text1"/>
        </w:rPr>
        <w:t>件，主要布局国家为中国、英国、美国等；发明专利占比</w:t>
      </w:r>
      <w:r>
        <w:rPr>
          <w:b/>
          <w:bCs/>
          <w:color w:val="000000" w:themeColor="text1"/>
        </w:rPr>
        <w:t>16.45</w:t>
      </w:r>
      <w:r>
        <w:rPr>
          <w:rFonts w:hint="eastAsia"/>
          <w:b/>
          <w:bCs/>
          <w:color w:val="000000" w:themeColor="text1"/>
        </w:rPr>
        <w:t>%，其中授权发明专利占比为</w:t>
      </w:r>
      <w:r>
        <w:rPr>
          <w:b/>
          <w:bCs/>
          <w:color w:val="000000" w:themeColor="text1"/>
        </w:rPr>
        <w:t>4.02%</w:t>
      </w:r>
      <w:r>
        <w:rPr>
          <w:rFonts w:hint="eastAsia"/>
          <w:b/>
          <w:bCs/>
          <w:color w:val="000000" w:themeColor="text1"/>
        </w:rPr>
        <w:t>；目前，有效专利占比为</w:t>
      </w:r>
      <w:r>
        <w:rPr>
          <w:b/>
          <w:bCs/>
          <w:color w:val="000000" w:themeColor="text1"/>
        </w:rPr>
        <w:t>61.57</w:t>
      </w:r>
      <w:r>
        <w:rPr>
          <w:rFonts w:hint="eastAsia"/>
          <w:b/>
          <w:bCs/>
          <w:color w:val="000000" w:themeColor="text1"/>
        </w:rPr>
        <w:t>%，失效专利占比为</w:t>
      </w:r>
      <w:r>
        <w:rPr>
          <w:b/>
          <w:bCs/>
          <w:color w:val="000000" w:themeColor="text1"/>
        </w:rPr>
        <w:t>27.7%</w:t>
      </w:r>
      <w:r>
        <w:rPr>
          <w:rFonts w:hint="eastAsia"/>
          <w:b/>
          <w:bCs/>
          <w:color w:val="000000" w:themeColor="text1"/>
        </w:rPr>
        <w:t>，审中专利占比为</w:t>
      </w:r>
      <w:r>
        <w:rPr>
          <w:b/>
          <w:bCs/>
          <w:color w:val="000000" w:themeColor="text1"/>
        </w:rPr>
        <w:t>10.73</w:t>
      </w:r>
      <w:r>
        <w:rPr>
          <w:rFonts w:hint="eastAsia"/>
          <w:b/>
          <w:bCs/>
          <w:color w:val="000000" w:themeColor="text1"/>
        </w:rPr>
        <w:t>%。可见，</w:t>
      </w:r>
      <w:r>
        <w:rPr>
          <w:b/>
          <w:bCs/>
          <w:color w:val="000000" w:themeColor="text1"/>
        </w:rPr>
        <w:t>潍柴雷沃智慧农业科技股份有限公司</w:t>
      </w:r>
      <w:r>
        <w:rPr>
          <w:rFonts w:hint="eastAsia"/>
          <w:b/>
          <w:bCs/>
          <w:color w:val="000000" w:themeColor="text1"/>
        </w:rPr>
        <w:t>在农业运输机械领域的技术储备是较多的，同时技术创新活跃度也是较高的。</w:t>
      </w:r>
    </w:p>
    <w:p>
      <w:pPr>
        <w:ind w:firstLine="482"/>
        <w:rPr>
          <w:b/>
          <w:bCs/>
        </w:rPr>
      </w:pPr>
      <w:r>
        <w:rPr>
          <w:rFonts w:hint="eastAsia"/>
          <w:b/>
          <w:bCs/>
        </w:rPr>
        <w:t>四、</w:t>
      </w:r>
      <w:r>
        <w:rPr>
          <w:b/>
          <w:bCs/>
        </w:rPr>
        <w:t>第一拖拉机股份有限公司</w:t>
      </w:r>
    </w:p>
    <w:p>
      <w:pPr>
        <w:ind w:firstLine="480"/>
      </w:pPr>
      <w:r>
        <w:t>第一拖拉机股份有限公司前身是第一拖拉机制造厂，创建于1955年，是我国“一五”期间兴建的156个国家重点项目之一，也是中国农机行业唯一的特大型企业。1997年完成股份制改造，同年6月23日在香港上市，2012年8月8日在上交所挂牌交易，成为中国农机行业唯一一家拥有“A+H”股资本平台的上市公司。</w:t>
      </w:r>
    </w:p>
    <w:p>
      <w:pPr>
        <w:ind w:firstLine="480"/>
      </w:pPr>
      <w:r>
        <w:t>公司拥有“东方红”等知名品牌，“东方红”是我国农机行业第一枚驰名商标。公司具备强大的锻件、机械加工、装配和测试全套生产能力，流水生产线近百条，主导产品涵盖“东方红”系列履带拖拉机、轮式拖拉机、收获机械、工程机械、柴油机等100余个品种，拖拉机产品功率覆盖范围17-380马力，远销全球140多个国家和地区，长期保持大轮拖、非道路动力机械产品国内市场领先地位。</w:t>
      </w:r>
    </w:p>
    <w:p>
      <w:pPr>
        <w:ind w:firstLine="480"/>
      </w:pPr>
      <w:r>
        <w:t>公司已通过质量管理体系ISO9001、环境管理体系ISO14001等体系认证，曾荣获国家质量管理先进企业、河南省省长质量奖等荣誉，在我国农业机械化进程中发挥了重要作用，为“三农”建设作出了积极贡献</w:t>
      </w:r>
      <w:r>
        <w:rPr>
          <w:rFonts w:hint="eastAsia"/>
        </w:rPr>
        <w:t>。</w:t>
      </w:r>
    </w:p>
    <w:p>
      <w:pPr>
        <w:ind w:firstLine="482"/>
        <w:rPr>
          <w:b/>
          <w:bCs/>
          <w:color w:val="000000" w:themeColor="text1"/>
        </w:rPr>
      </w:pPr>
      <w:bookmarkStart w:id="32" w:name="OLE_LINK3"/>
      <w:r>
        <w:rPr>
          <w:b/>
          <w:bCs/>
          <w:color w:val="000000" w:themeColor="text1"/>
        </w:rPr>
        <w:t>第一拖拉机股份有限公司</w:t>
      </w:r>
      <w:r>
        <w:rPr>
          <w:rFonts w:hint="eastAsia"/>
          <w:b/>
          <w:bCs/>
          <w:color w:val="000000" w:themeColor="text1"/>
        </w:rPr>
        <w:t>目前在农业运输机械领域专利申请</w:t>
      </w:r>
      <w:r>
        <w:rPr>
          <w:b/>
          <w:bCs/>
          <w:color w:val="000000" w:themeColor="text1"/>
        </w:rPr>
        <w:t>728</w:t>
      </w:r>
      <w:r>
        <w:rPr>
          <w:rFonts w:hint="eastAsia"/>
          <w:b/>
          <w:bCs/>
          <w:color w:val="000000" w:themeColor="text1"/>
        </w:rPr>
        <w:t>件，主要布局国家为中国；发明专利占比为</w:t>
      </w:r>
      <w:r>
        <w:rPr>
          <w:b/>
          <w:bCs/>
          <w:color w:val="000000" w:themeColor="text1"/>
        </w:rPr>
        <w:t>17.09</w:t>
      </w:r>
      <w:r>
        <w:rPr>
          <w:rFonts w:hint="eastAsia"/>
          <w:b/>
          <w:bCs/>
          <w:color w:val="000000" w:themeColor="text1"/>
        </w:rPr>
        <w:t>%，其中授权发明专利占比为</w:t>
      </w:r>
      <w:r>
        <w:rPr>
          <w:b/>
          <w:bCs/>
          <w:color w:val="000000" w:themeColor="text1"/>
        </w:rPr>
        <w:t>10.02%</w:t>
      </w:r>
      <w:r>
        <w:rPr>
          <w:rFonts w:hint="eastAsia"/>
          <w:b/>
          <w:bCs/>
          <w:color w:val="000000" w:themeColor="text1"/>
        </w:rPr>
        <w:t>；目前，有效专利占比为</w:t>
      </w:r>
      <w:r>
        <w:rPr>
          <w:b/>
          <w:bCs/>
          <w:color w:val="000000" w:themeColor="text1"/>
        </w:rPr>
        <w:t>27.81</w:t>
      </w:r>
      <w:r>
        <w:rPr>
          <w:rFonts w:hint="eastAsia"/>
          <w:b/>
          <w:bCs/>
          <w:color w:val="000000" w:themeColor="text1"/>
        </w:rPr>
        <w:t>%，失效专利占比为</w:t>
      </w:r>
      <w:r>
        <w:rPr>
          <w:b/>
          <w:bCs/>
          <w:color w:val="000000" w:themeColor="text1"/>
        </w:rPr>
        <w:t>67.07%</w:t>
      </w:r>
      <w:r>
        <w:rPr>
          <w:rFonts w:hint="eastAsia"/>
          <w:b/>
          <w:bCs/>
          <w:color w:val="000000" w:themeColor="text1"/>
        </w:rPr>
        <w:t>，审中专利占比为</w:t>
      </w:r>
      <w:r>
        <w:rPr>
          <w:b/>
          <w:bCs/>
          <w:color w:val="000000" w:themeColor="text1"/>
        </w:rPr>
        <w:t>5.12</w:t>
      </w:r>
      <w:r>
        <w:rPr>
          <w:rFonts w:hint="eastAsia"/>
          <w:b/>
          <w:bCs/>
          <w:color w:val="000000" w:themeColor="text1"/>
        </w:rPr>
        <w:t>%。相对而言，</w:t>
      </w:r>
      <w:r>
        <w:rPr>
          <w:b/>
          <w:bCs/>
          <w:color w:val="000000" w:themeColor="text1"/>
        </w:rPr>
        <w:t>第一拖拉机股份有限公司</w:t>
      </w:r>
      <w:r>
        <w:rPr>
          <w:rFonts w:hint="eastAsia"/>
          <w:b/>
          <w:bCs/>
          <w:color w:val="000000" w:themeColor="text1"/>
        </w:rPr>
        <w:t>在农业运输机械领域有效专利的占比较低。</w:t>
      </w:r>
    </w:p>
    <w:bookmarkEnd w:id="32"/>
    <w:p>
      <w:pPr>
        <w:ind w:firstLine="482"/>
        <w:rPr>
          <w:b/>
          <w:bCs/>
        </w:rPr>
      </w:pPr>
      <w:r>
        <w:rPr>
          <w:rFonts w:hint="eastAsia"/>
          <w:b/>
          <w:bCs/>
        </w:rPr>
        <w:t>五、</w:t>
      </w:r>
      <w:r>
        <w:rPr>
          <w:b/>
          <w:bCs/>
        </w:rPr>
        <w:t>洋马股份有限公司</w:t>
      </w:r>
    </w:p>
    <w:p>
      <w:pPr>
        <w:ind w:firstLine="480"/>
      </w:pPr>
      <w:r>
        <w:t>洋马股份有限公司创立于1912年，总部位于日本大阪市北区茶屋町。它是日本四大农机制造商之一，也是一家知名的柴油发动机制造公司。</w:t>
      </w:r>
    </w:p>
    <w:p>
      <w:pPr>
        <w:ind w:firstLine="480"/>
      </w:pPr>
      <w:r>
        <w:t>1933年，洋马制造出世界首台实用小型柴油发动机。此后，公司以该技术为基础，业务不断拓展，产品涵盖产业用发动机、船用发动机、农业机械、建筑机械、常用和应急用发电机、燃气热泵等。其农业机械产品线丰富，包括拖拉机、收割机、插秧机等，在全球农业机械市场占据重要地位。柴油发动机则广泛应用于农业机械、船舶、工业设备等领域，以高性能、低油耗、环保等特点受到认可。</w:t>
      </w:r>
    </w:p>
    <w:p>
      <w:pPr>
        <w:ind w:firstLine="480"/>
      </w:pPr>
      <w:r>
        <w:t>洋马在全球设有多个研发、生产基地，在各大洲设立了销售和服务分公司，产品远销130多个国家和地区。公司还在日本、马来西亚、意大利、中国等地设有研究机构，不断推动技术创新。</w:t>
      </w:r>
    </w:p>
    <w:p>
      <w:pPr>
        <w:ind w:firstLine="482"/>
        <w:rPr>
          <w:b/>
          <w:bCs/>
          <w:color w:val="000000" w:themeColor="text1"/>
        </w:rPr>
      </w:pPr>
      <w:r>
        <w:rPr>
          <w:b/>
          <w:bCs/>
          <w:color w:val="000000" w:themeColor="text1"/>
        </w:rPr>
        <w:t>洋马</w:t>
      </w:r>
      <w:r>
        <w:rPr>
          <w:rFonts w:hint="eastAsia"/>
          <w:b/>
          <w:bCs/>
          <w:color w:val="000000" w:themeColor="text1"/>
        </w:rPr>
        <w:t>目前在农业运输机械领域专利申请</w:t>
      </w:r>
      <w:r>
        <w:rPr>
          <w:b/>
          <w:bCs/>
          <w:color w:val="000000" w:themeColor="text1"/>
        </w:rPr>
        <w:t>854</w:t>
      </w:r>
      <w:r>
        <w:rPr>
          <w:rFonts w:hint="eastAsia"/>
          <w:b/>
          <w:bCs/>
          <w:color w:val="000000" w:themeColor="text1"/>
        </w:rPr>
        <w:t>件，主要布局国家为日本、美国、中国和韩国；发明专利占比为</w:t>
      </w:r>
      <w:r>
        <w:rPr>
          <w:b/>
          <w:bCs/>
          <w:color w:val="000000" w:themeColor="text1"/>
        </w:rPr>
        <w:t>49.14</w:t>
      </w:r>
      <w:r>
        <w:rPr>
          <w:rFonts w:hint="eastAsia"/>
          <w:b/>
          <w:bCs/>
          <w:color w:val="000000" w:themeColor="text1"/>
        </w:rPr>
        <w:t>%，其中授权发明专利占比为2</w:t>
      </w:r>
      <w:r>
        <w:rPr>
          <w:b/>
          <w:bCs/>
          <w:color w:val="000000" w:themeColor="text1"/>
        </w:rPr>
        <w:t>5.89%</w:t>
      </w:r>
      <w:r>
        <w:rPr>
          <w:rFonts w:hint="eastAsia"/>
          <w:b/>
          <w:bCs/>
          <w:color w:val="000000" w:themeColor="text1"/>
        </w:rPr>
        <w:t>；目前，有效专利占比为</w:t>
      </w:r>
      <w:r>
        <w:rPr>
          <w:b/>
          <w:bCs/>
          <w:color w:val="000000" w:themeColor="text1"/>
        </w:rPr>
        <w:t>5.91</w:t>
      </w:r>
      <w:r>
        <w:rPr>
          <w:rFonts w:hint="eastAsia"/>
          <w:b/>
          <w:bCs/>
          <w:color w:val="000000" w:themeColor="text1"/>
        </w:rPr>
        <w:t>%，失效专利占比为</w:t>
      </w:r>
      <w:r>
        <w:rPr>
          <w:b/>
          <w:bCs/>
          <w:color w:val="000000" w:themeColor="text1"/>
        </w:rPr>
        <w:t>91.04%</w:t>
      </w:r>
      <w:r>
        <w:rPr>
          <w:rFonts w:hint="eastAsia"/>
          <w:b/>
          <w:bCs/>
          <w:color w:val="000000" w:themeColor="text1"/>
        </w:rPr>
        <w:t>。可以看出，</w:t>
      </w:r>
      <w:r>
        <w:rPr>
          <w:b/>
          <w:bCs/>
          <w:color w:val="000000" w:themeColor="text1"/>
        </w:rPr>
        <w:t>洋马</w:t>
      </w:r>
      <w:r>
        <w:rPr>
          <w:rFonts w:hint="eastAsia"/>
          <w:b/>
          <w:bCs/>
          <w:color w:val="000000" w:themeColor="text1"/>
        </w:rPr>
        <w:t>在农业运输机械领域的专利大多已经失效。</w:t>
      </w:r>
    </w:p>
    <w:p>
      <w:pPr>
        <w:ind w:firstLine="562"/>
        <w:outlineLvl w:val="1"/>
        <w:rPr>
          <w:rFonts w:ascii="黑体" w:hAnsi="黑体" w:eastAsia="黑体"/>
          <w:b/>
          <w:bCs/>
          <w:sz w:val="28"/>
          <w:szCs w:val="28"/>
        </w:rPr>
      </w:pPr>
      <w:bookmarkStart w:id="33" w:name="_Toc203061365"/>
      <w:r>
        <w:rPr>
          <w:rFonts w:ascii="黑体" w:hAnsi="黑体" w:eastAsia="黑体"/>
          <w:b/>
          <w:bCs/>
          <w:sz w:val="28"/>
          <w:szCs w:val="28"/>
        </w:rPr>
        <w:t>2</w:t>
      </w:r>
      <w:r>
        <w:rPr>
          <w:rFonts w:hint="eastAsia" w:ascii="黑体" w:hAnsi="黑体" w:eastAsia="黑体"/>
          <w:b/>
          <w:bCs/>
          <w:sz w:val="28"/>
          <w:szCs w:val="28"/>
        </w:rPr>
        <w:t>.</w:t>
      </w:r>
      <w:r>
        <w:rPr>
          <w:rFonts w:ascii="黑体" w:hAnsi="黑体" w:eastAsia="黑体"/>
          <w:b/>
          <w:bCs/>
          <w:sz w:val="28"/>
          <w:szCs w:val="28"/>
        </w:rPr>
        <w:t>5</w:t>
      </w:r>
      <w:r>
        <w:rPr>
          <w:rFonts w:hint="eastAsia" w:ascii="黑体" w:hAnsi="黑体" w:eastAsia="黑体"/>
          <w:b/>
          <w:bCs/>
          <w:sz w:val="28"/>
          <w:szCs w:val="28"/>
        </w:rPr>
        <w:t xml:space="preserve"> 风险区域识别</w:t>
      </w:r>
      <w:bookmarkEnd w:id="33"/>
    </w:p>
    <w:p>
      <w:pPr>
        <w:ind w:firstLine="482"/>
        <w:rPr>
          <w:rFonts w:asciiTheme="minorEastAsia" w:hAnsiTheme="minorEastAsia" w:eastAsiaTheme="minorEastAsia"/>
          <w:b/>
          <w:bCs/>
        </w:rPr>
      </w:pPr>
      <w:r>
        <w:rPr>
          <w:rFonts w:asciiTheme="minorEastAsia" w:hAnsiTheme="minorEastAsia" w:eastAsiaTheme="minorEastAsia"/>
          <w:b/>
          <w:bCs/>
        </w:rPr>
        <w:t>1.</w:t>
      </w:r>
      <w:r>
        <w:rPr>
          <w:rFonts w:hint="eastAsia" w:asciiTheme="minorEastAsia" w:hAnsiTheme="minorEastAsia" w:eastAsiaTheme="minorEastAsia"/>
          <w:b/>
          <w:bCs/>
        </w:rPr>
        <w:t>产业专利侵权纠纷区域分布</w:t>
      </w:r>
    </w:p>
    <w:p>
      <w:pPr>
        <w:pStyle w:val="17"/>
        <w:spacing w:line="360" w:lineRule="auto"/>
        <w:rPr>
          <w:rFonts w:asciiTheme="minorEastAsia" w:hAnsiTheme="minorEastAsia" w:eastAsiaTheme="minorEastAsia"/>
          <w:b/>
          <w:bCs/>
          <w:sz w:val="24"/>
        </w:rPr>
      </w:pPr>
      <w:bookmarkStart w:id="34" w:name="_Toc119937698"/>
      <w:bookmarkStart w:id="35" w:name="_Toc119592171"/>
      <w:bookmarkStart w:id="36" w:name="_Toc119592708"/>
      <w:r>
        <w:rPr>
          <w:rFonts w:asciiTheme="minorEastAsia" w:hAnsiTheme="minorEastAsia" w:eastAsiaTheme="minorEastAsia"/>
          <w:b/>
          <w:bCs/>
          <w:sz w:val="24"/>
        </w:rPr>
        <w:drawing>
          <wp:inline distT="0" distB="0" distL="0" distR="0">
            <wp:extent cx="5274310" cy="24066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0"/>
                    <a:stretch>
                      <a:fillRect/>
                    </a:stretch>
                  </pic:blipFill>
                  <pic:spPr>
                    <a:xfrm>
                      <a:off x="0" y="0"/>
                      <a:ext cx="5274310" cy="2406650"/>
                    </a:xfrm>
                    <a:prstGeom prst="rect">
                      <a:avLst/>
                    </a:prstGeom>
                  </pic:spPr>
                </pic:pic>
              </a:graphicData>
            </a:graphic>
          </wp:inline>
        </w:drawing>
      </w:r>
    </w:p>
    <w:p>
      <w:pPr>
        <w:pStyle w:val="17"/>
        <w:ind w:firstLine="482"/>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2.5-1 </w:t>
      </w:r>
      <w:r>
        <w:rPr>
          <w:rFonts w:hint="eastAsia" w:asciiTheme="minorEastAsia" w:hAnsiTheme="minorEastAsia" w:eastAsiaTheme="minorEastAsia"/>
          <w:b/>
          <w:bCs/>
          <w:sz w:val="24"/>
        </w:rPr>
        <w:t>全球农业运输机械产业专利侵权纠纷区域分布</w:t>
      </w:r>
      <w:bookmarkEnd w:id="34"/>
      <w:bookmarkEnd w:id="35"/>
      <w:bookmarkEnd w:id="36"/>
    </w:p>
    <w:p>
      <w:pPr>
        <w:ind w:firstLine="480"/>
      </w:pPr>
      <w:r>
        <w:rPr>
          <w:rFonts w:hint="eastAsia"/>
        </w:rPr>
        <w:t>近年来，全球农业运输机械产业专利侵权纠纷区域主要集中在德国（</w:t>
      </w:r>
      <w:r>
        <w:t>55</w:t>
      </w:r>
      <w:r>
        <w:rPr>
          <w:rFonts w:hint="eastAsia"/>
        </w:rPr>
        <w:t>件）、中国（</w:t>
      </w:r>
      <w:r>
        <w:t>24</w:t>
      </w:r>
      <w:r>
        <w:rPr>
          <w:rFonts w:hint="eastAsia"/>
        </w:rPr>
        <w:t>件）、法国（</w:t>
      </w:r>
      <w:r>
        <w:t>24</w:t>
      </w:r>
      <w:r>
        <w:rPr>
          <w:rFonts w:hint="eastAsia"/>
        </w:rPr>
        <w:t>件）、美国（1</w:t>
      </w:r>
      <w:r>
        <w:t>1</w:t>
      </w:r>
      <w:r>
        <w:rPr>
          <w:rFonts w:hint="eastAsia"/>
        </w:rPr>
        <w:t>件）、韩国（8件），其他国家侵权事件相对较少。</w:t>
      </w:r>
    </w:p>
    <w:p>
      <w:pPr>
        <w:ind w:firstLine="480"/>
      </w:pPr>
      <w:r>
        <w:t>德国是农机出口大国，其农机工业发达，产品制造水平高，在世界市场占有较高份额。德国工程联合会(VDMA)2018年的研究显示，71%的成员抱怨产品盗版问题，这反映出德国农机领域盗版问题较为严峻，加上德国知识产权保护力度较强，权利人更愿意维权，所以容易出现专利纠纷。</w:t>
      </w:r>
    </w:p>
    <w:p>
      <w:pPr>
        <w:ind w:firstLine="480"/>
      </w:pPr>
      <w:r>
        <w:t>中国是农机生产和使用大国，农机企业数量众多，但行业内存在产品同质化严重、抄袭模仿盛行的问题，部分中小农机企业为追求短期利益，常模仿抄袭头部企业的技术和外观专利。虽然中国已建立知识产权法律法规体系，但农机领域仍存在保护盲区或冲突，知识产权保护不够健全，这使得专利纠纷容易发生。同时，随着中国农机企业研发投入增加，技术创新成果增多，对知识产权保护的重视程度也在提高，维权意识增强，也会导致相关专利纠纷显现。</w:t>
      </w:r>
    </w:p>
    <w:p>
      <w:pPr>
        <w:ind w:firstLine="480"/>
      </w:pPr>
      <w:r>
        <w:t>法国农业发达，农业机械化水平高，在作物育种机械和葡萄园机械方面较为领先，是世界粮食出口大国之一。其农机产业有自身特色优势，企业注重技术研发和创新，对知识产权的保护较为重视，当市场竞争激烈时，为维护自身技术优势和市场份额，企业会积极通过专利维权来保障利益，因此容易产生专利纠纷。</w:t>
      </w:r>
    </w:p>
    <w:p>
      <w:pPr>
        <w:ind w:firstLine="480"/>
      </w:pPr>
      <w:r>
        <w:t>美国是全球农业强国，农业机械化、自动化程度高，也是世界最大的农产品出口国。美国拥有迪尔公司等全球知名的农机巨头，在农机技术研发和创新方面投入巨大，掌握众多核心专利。为了维护其在全球农机市场的领先地位和技术垄断优势，美国企业常通过发起337调查等方式保护知识产权。同时，美国知识产权保护体系完善，执法严格，权利人维权途径较为畅通，这也使得农用机械领域专利纠纷相对容易发生。</w:t>
      </w:r>
    </w:p>
    <w:p>
      <w:pPr>
        <w:ind w:firstLine="480"/>
      </w:pPr>
      <w:r>
        <w:t>韩国有着较为完善的知识产权法律体系，于1980年加入《巴黎公约》，1984年加入《专利合作条约》。其农机产业在不断发展，企业对知识产权保护较为重视，依据专利法对专利侵权行为有明确界定和规定，当农机企业之间存在竞争关系时，容易因专利侵权认定等问题产生纠纷。并且韩国知识产权局对专利等知识产权项目保护力度较大，权利人维权有较好的制度保障，促使相关专利纠纷得以显现。</w:t>
      </w:r>
    </w:p>
    <w:p>
      <w:pPr>
        <w:ind w:firstLine="482"/>
        <w:rPr>
          <w:rFonts w:asciiTheme="minorEastAsia" w:hAnsiTheme="minorEastAsia" w:eastAsiaTheme="minorEastAsia"/>
          <w:b/>
          <w:bCs/>
        </w:rPr>
      </w:pPr>
      <w:r>
        <w:rPr>
          <w:rFonts w:asciiTheme="minorEastAsia" w:hAnsiTheme="minorEastAsia" w:eastAsiaTheme="minorEastAsia"/>
          <w:b/>
          <w:bCs/>
        </w:rPr>
        <w:t>2.</w:t>
      </w:r>
      <w:r>
        <w:rPr>
          <w:rFonts w:hint="eastAsia" w:asciiTheme="minorEastAsia" w:hAnsiTheme="minorEastAsia" w:eastAsiaTheme="minorEastAsia"/>
          <w:b/>
          <w:bCs/>
        </w:rPr>
        <w:t>产业专利无效纠纷区域分布</w:t>
      </w:r>
    </w:p>
    <w:p>
      <w:pPr>
        <w:pStyle w:val="17"/>
      </w:pPr>
      <w:bookmarkStart w:id="37" w:name="_Toc119592709"/>
      <w:bookmarkStart w:id="38" w:name="_Toc119592172"/>
      <w:bookmarkStart w:id="39" w:name="_Toc119937699"/>
      <w:r>
        <w:drawing>
          <wp:inline distT="0" distB="0" distL="0" distR="0">
            <wp:extent cx="5274310" cy="244538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1"/>
                    <a:stretch>
                      <a:fillRect/>
                    </a:stretch>
                  </pic:blipFill>
                  <pic:spPr>
                    <a:xfrm>
                      <a:off x="0" y="0"/>
                      <a:ext cx="5274310" cy="2445385"/>
                    </a:xfrm>
                    <a:prstGeom prst="rect">
                      <a:avLst/>
                    </a:prstGeom>
                  </pic:spPr>
                </pic:pic>
              </a:graphicData>
            </a:graphic>
          </wp:inline>
        </w:drawing>
      </w:r>
    </w:p>
    <w:p>
      <w:pPr>
        <w:pStyle w:val="17"/>
        <w:ind w:firstLine="482"/>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2.5-2 </w:t>
      </w:r>
      <w:r>
        <w:rPr>
          <w:rFonts w:hint="eastAsia" w:asciiTheme="minorEastAsia" w:hAnsiTheme="minorEastAsia" w:eastAsiaTheme="minorEastAsia"/>
          <w:b/>
          <w:bCs/>
          <w:sz w:val="24"/>
        </w:rPr>
        <w:t>全球农业运输机械产业专利无效纠纷区域分布</w:t>
      </w:r>
      <w:bookmarkEnd w:id="37"/>
      <w:bookmarkEnd w:id="38"/>
      <w:bookmarkEnd w:id="39"/>
    </w:p>
    <w:p>
      <w:pPr>
        <w:ind w:firstLine="480"/>
      </w:pPr>
      <w:r>
        <w:rPr>
          <w:rFonts w:hint="eastAsia"/>
        </w:rPr>
        <w:t>近年来，全球农业运输机械产业专利无效纠纷主要发生地集中在中国（</w:t>
      </w:r>
      <w:r>
        <w:t>79</w:t>
      </w:r>
      <w:r>
        <w:rPr>
          <w:rFonts w:hint="eastAsia"/>
        </w:rPr>
        <w:t>件）、韩国（</w:t>
      </w:r>
      <w:r>
        <w:t>15</w:t>
      </w:r>
      <w:r>
        <w:rPr>
          <w:rFonts w:hint="eastAsia"/>
        </w:rPr>
        <w:t>件），其他地区相对较少。无效抗辩对于企业来说，是一种攻守兼备的运营手段。专利无效的实施成本相较于侵权诉讼来说相对较低，流程相对简单，因此企业运用较为广泛。聊城市相关企业也需要持续关注，避免专利被无效，顺利完成海外布局。</w:t>
      </w:r>
    </w:p>
    <w:p>
      <w:pPr>
        <w:ind w:firstLine="562"/>
        <w:outlineLvl w:val="1"/>
        <w:rPr>
          <w:rFonts w:ascii="黑体" w:hAnsi="黑体" w:eastAsia="黑体"/>
          <w:b/>
          <w:bCs/>
          <w:sz w:val="28"/>
          <w:szCs w:val="28"/>
        </w:rPr>
      </w:pPr>
      <w:bookmarkStart w:id="40" w:name="_Toc203061366"/>
      <w:r>
        <w:rPr>
          <w:rFonts w:ascii="黑体" w:hAnsi="黑体" w:eastAsia="黑体"/>
          <w:b/>
          <w:bCs/>
          <w:sz w:val="28"/>
          <w:szCs w:val="28"/>
        </w:rPr>
        <w:t>2</w:t>
      </w:r>
      <w:r>
        <w:rPr>
          <w:rFonts w:hint="eastAsia" w:ascii="黑体" w:hAnsi="黑体" w:eastAsia="黑体"/>
          <w:b/>
          <w:bCs/>
          <w:sz w:val="28"/>
          <w:szCs w:val="28"/>
        </w:rPr>
        <w:t>.</w:t>
      </w:r>
      <w:r>
        <w:rPr>
          <w:rFonts w:ascii="黑体" w:hAnsi="黑体" w:eastAsia="黑体"/>
          <w:b/>
          <w:bCs/>
          <w:sz w:val="28"/>
          <w:szCs w:val="28"/>
        </w:rPr>
        <w:t>6</w:t>
      </w:r>
      <w:r>
        <w:rPr>
          <w:rFonts w:hint="eastAsia" w:ascii="黑体" w:hAnsi="黑体" w:eastAsia="黑体"/>
          <w:b/>
          <w:bCs/>
          <w:sz w:val="28"/>
          <w:szCs w:val="28"/>
        </w:rPr>
        <w:t xml:space="preserve"> 风险企业识别</w:t>
      </w:r>
      <w:bookmarkEnd w:id="40"/>
    </w:p>
    <w:p>
      <w:pPr>
        <w:pStyle w:val="17"/>
        <w:spacing w:line="360" w:lineRule="auto"/>
        <w:rPr>
          <w:rFonts w:asciiTheme="minorEastAsia" w:hAnsiTheme="minorEastAsia" w:eastAsiaTheme="minorEastAsia"/>
          <w:b/>
          <w:bCs/>
          <w:sz w:val="24"/>
        </w:rPr>
      </w:pPr>
      <w:r>
        <w:rPr>
          <w:rFonts w:asciiTheme="minorEastAsia" w:hAnsiTheme="minorEastAsia" w:eastAsiaTheme="minorEastAsia"/>
          <w:b/>
          <w:bCs/>
          <w:sz w:val="24"/>
        </w:rPr>
        <w:drawing>
          <wp:inline distT="0" distB="0" distL="0" distR="0">
            <wp:extent cx="5274310" cy="25317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5274310" cy="2531745"/>
                    </a:xfrm>
                    <a:prstGeom prst="rect">
                      <a:avLst/>
                    </a:prstGeom>
                  </pic:spPr>
                </pic:pic>
              </a:graphicData>
            </a:graphic>
          </wp:inline>
        </w:drawing>
      </w:r>
    </w:p>
    <w:p>
      <w:pPr>
        <w:pStyle w:val="17"/>
        <w:ind w:firstLine="482"/>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2.6-1 </w:t>
      </w:r>
      <w:r>
        <w:rPr>
          <w:rFonts w:hint="eastAsia" w:asciiTheme="minorEastAsia" w:hAnsiTheme="minorEastAsia" w:eastAsiaTheme="minorEastAsia"/>
          <w:b/>
          <w:bCs/>
          <w:sz w:val="24"/>
        </w:rPr>
        <w:t>海外农业运输机械领域主要专利申请人</w:t>
      </w:r>
    </w:p>
    <w:p>
      <w:pPr>
        <w:ind w:firstLine="480"/>
      </w:pPr>
      <w:r>
        <w:rPr>
          <w:rFonts w:hint="eastAsia"/>
        </w:rPr>
        <w:t>通过以上分析可以看出，海外农业运输机械领域主要的专利申请人包括</w:t>
      </w:r>
      <w:r>
        <w:t>株式会社久保田</w:t>
      </w:r>
      <w:r>
        <w:rPr>
          <w:rFonts w:hint="eastAsia"/>
        </w:rPr>
        <w:t>、</w:t>
      </w:r>
      <w:r>
        <w:t>井关农机株式会社</w:t>
      </w:r>
      <w:r>
        <w:rPr>
          <w:rFonts w:hint="eastAsia"/>
        </w:rPr>
        <w:t>、</w:t>
      </w:r>
      <w:r>
        <w:t>迪尔公司</w:t>
      </w:r>
      <w:r>
        <w:rPr>
          <w:rFonts w:hint="eastAsia"/>
        </w:rPr>
        <w:t>、</w:t>
      </w:r>
      <w:r>
        <w:t>洋马股份有限公司</w:t>
      </w:r>
      <w:r>
        <w:rPr>
          <w:rFonts w:hint="eastAsia"/>
        </w:rPr>
        <w:t>、</w:t>
      </w:r>
      <w:r>
        <w:t>INTERNATIONAL HARVESTER CO</w:t>
      </w:r>
      <w:r>
        <w:rPr>
          <w:rFonts w:hint="eastAsia"/>
        </w:rPr>
        <w:t>、</w:t>
      </w:r>
      <w:r>
        <w:t>三菱农机株式会社</w:t>
      </w:r>
      <w:r>
        <w:rPr>
          <w:rFonts w:hint="eastAsia"/>
        </w:rPr>
        <w:t>、</w:t>
      </w:r>
      <w:r>
        <w:t>克鲁科耐尔海姆伯德德意志KHD股份公司</w:t>
      </w:r>
      <w:r>
        <w:rPr>
          <w:rFonts w:hint="eastAsia"/>
        </w:rPr>
        <w:t>、</w:t>
      </w:r>
      <w:r>
        <w:t>STEYR DAIMLER PUCH AG</w:t>
      </w:r>
      <w:r>
        <w:rPr>
          <w:rFonts w:hint="eastAsia"/>
        </w:rPr>
        <w:t>、</w:t>
      </w:r>
      <w:r>
        <w:t>C VAN DER LELY NV</w:t>
      </w:r>
      <w:r>
        <w:rPr>
          <w:rFonts w:hint="eastAsia"/>
        </w:rPr>
        <w:t>、</w:t>
      </w:r>
      <w:r>
        <w:t>洋马农机株式会社</w:t>
      </w:r>
      <w:r>
        <w:rPr>
          <w:rFonts w:hint="eastAsia"/>
        </w:rPr>
        <w:t>。上述申请人在农业运输机械领域社申请了较多的专利，聊城市农业运输机械企业在产品出海销售时，需要对上述企业的知识产权情况进行调研分析，避免出现知识产权纠纷。</w:t>
      </w:r>
    </w:p>
    <w:p>
      <w:pPr>
        <w:ind w:firstLine="562"/>
        <w:outlineLvl w:val="1"/>
        <w:rPr>
          <w:rFonts w:ascii="黑体" w:hAnsi="黑体" w:eastAsia="黑体"/>
          <w:b/>
          <w:bCs/>
          <w:sz w:val="28"/>
          <w:szCs w:val="28"/>
        </w:rPr>
      </w:pPr>
      <w:bookmarkStart w:id="41" w:name="_Toc237"/>
      <w:bookmarkStart w:id="42" w:name="_Toc203061367"/>
      <w:r>
        <w:rPr>
          <w:rFonts w:ascii="黑体" w:hAnsi="黑体" w:eastAsia="黑体"/>
          <w:b/>
          <w:bCs/>
          <w:sz w:val="28"/>
          <w:szCs w:val="28"/>
        </w:rPr>
        <w:t>2</w:t>
      </w:r>
      <w:r>
        <w:rPr>
          <w:rFonts w:hint="eastAsia" w:ascii="黑体" w:hAnsi="黑体" w:eastAsia="黑体"/>
          <w:b/>
          <w:bCs/>
          <w:sz w:val="28"/>
          <w:szCs w:val="28"/>
        </w:rPr>
        <w:t>.</w:t>
      </w:r>
      <w:r>
        <w:rPr>
          <w:rFonts w:ascii="黑体" w:hAnsi="黑体" w:eastAsia="黑体"/>
          <w:b/>
          <w:bCs/>
          <w:sz w:val="28"/>
          <w:szCs w:val="28"/>
        </w:rPr>
        <w:t>7</w:t>
      </w:r>
      <w:r>
        <w:rPr>
          <w:rFonts w:hint="eastAsia" w:ascii="黑体" w:hAnsi="黑体" w:eastAsia="黑体"/>
          <w:b/>
          <w:bCs/>
          <w:sz w:val="28"/>
          <w:szCs w:val="28"/>
        </w:rPr>
        <w:t xml:space="preserve"> 风险技术方向识别</w:t>
      </w:r>
      <w:bookmarkEnd w:id="41"/>
      <w:bookmarkEnd w:id="42"/>
    </w:p>
    <w:p>
      <w:pPr>
        <w:pStyle w:val="17"/>
        <w:spacing w:line="360" w:lineRule="auto"/>
      </w:pPr>
      <w:r>
        <w:drawing>
          <wp:inline distT="0" distB="0" distL="0" distR="0">
            <wp:extent cx="3319145" cy="31235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3"/>
                    <a:stretch>
                      <a:fillRect/>
                    </a:stretch>
                  </pic:blipFill>
                  <pic:spPr>
                    <a:xfrm>
                      <a:off x="0" y="0"/>
                      <a:ext cx="3326788" cy="3130530"/>
                    </a:xfrm>
                    <a:prstGeom prst="rect">
                      <a:avLst/>
                    </a:prstGeom>
                  </pic:spPr>
                </pic:pic>
              </a:graphicData>
            </a:graphic>
          </wp:inline>
        </w:drawing>
      </w:r>
    </w:p>
    <w:p>
      <w:pPr>
        <w:pStyle w:val="17"/>
        <w:ind w:firstLine="482"/>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2.7-1 </w:t>
      </w:r>
      <w:r>
        <w:rPr>
          <w:rFonts w:hint="eastAsia" w:asciiTheme="minorEastAsia" w:hAnsiTheme="minorEastAsia" w:eastAsiaTheme="minorEastAsia"/>
          <w:b/>
          <w:bCs/>
          <w:sz w:val="24"/>
        </w:rPr>
        <w:t>全球农业运输机械产业专利侵权纠纷技术分布</w:t>
      </w:r>
    </w:p>
    <w:p>
      <w:pPr>
        <w:ind w:firstLine="480"/>
      </w:pPr>
      <w:r>
        <w:rPr>
          <w:rFonts w:hint="eastAsia"/>
        </w:rPr>
        <w:t>图2</w:t>
      </w:r>
      <w:r>
        <w:t>.7-1</w:t>
      </w:r>
      <w:r>
        <w:rPr>
          <w:rFonts w:hint="eastAsia"/>
        </w:rPr>
        <w:t>展示的是全球农业运输机械领域发生专利侵权纠纷的技术的主要分布情况。结合图2</w:t>
      </w:r>
      <w:r>
        <w:t>.7-1</w:t>
      </w:r>
      <w:r>
        <w:rPr>
          <w:rFonts w:hint="eastAsia"/>
        </w:rPr>
        <w:t>展示的内容，以及相关专利的具体内容，综合分析得到以下内容：农用运输机械领域的专利侵权纠纷主要集中在农用三轮车领域，农用三轮车领域的专利侵权纠纷主要集中在</w:t>
      </w:r>
      <w:r>
        <w:t>车架结构</w:t>
      </w:r>
      <w:r>
        <w:rPr>
          <w:rFonts w:hint="eastAsia"/>
        </w:rPr>
        <w:t>、</w:t>
      </w:r>
      <w:r>
        <w:t>制动装置</w:t>
      </w:r>
      <w:r>
        <w:rPr>
          <w:rFonts w:hint="eastAsia"/>
        </w:rPr>
        <w:t>、</w:t>
      </w:r>
      <w:r>
        <w:t>下料装置</w:t>
      </w:r>
      <w:r>
        <w:rPr>
          <w:rFonts w:hint="eastAsia"/>
        </w:rPr>
        <w:t>、</w:t>
      </w:r>
      <w:r>
        <w:t>车斗结构</w:t>
      </w:r>
      <w:r>
        <w:rPr>
          <w:rFonts w:hint="eastAsia"/>
        </w:rPr>
        <w:t>、</w:t>
      </w:r>
      <w:r>
        <w:t>动力系统</w:t>
      </w:r>
      <w:r>
        <w:rPr>
          <w:rFonts w:hint="eastAsia"/>
        </w:rPr>
        <w:t>、</w:t>
      </w:r>
      <w:r>
        <w:t>传动系统</w:t>
      </w:r>
      <w:r>
        <w:rPr>
          <w:rFonts w:hint="eastAsia"/>
        </w:rPr>
        <w:t>、</w:t>
      </w:r>
      <w:r>
        <w:t>悬挂系统</w:t>
      </w:r>
      <w:r>
        <w:rPr>
          <w:rFonts w:hint="eastAsia"/>
        </w:rPr>
        <w:t>等领域。</w:t>
      </w:r>
    </w:p>
    <w:p>
      <w:pPr>
        <w:ind w:firstLine="480"/>
      </w:pPr>
      <w:r>
        <w:t>车架结构：</w:t>
      </w:r>
      <w:bookmarkStart w:id="43" w:name="OLE_LINK12"/>
      <w:r>
        <w:t>涉及</w:t>
      </w:r>
      <w:bookmarkEnd w:id="43"/>
      <w:r>
        <w:t>车架的龙骨连接方式、主纵梁与其他部件的连接结构等</w:t>
      </w:r>
      <w:r>
        <w:rPr>
          <w:rFonts w:hint="eastAsia"/>
        </w:rPr>
        <w:t>。</w:t>
      </w:r>
    </w:p>
    <w:p>
      <w:pPr>
        <w:ind w:firstLine="480"/>
      </w:pPr>
      <w:r>
        <w:t>制动装置：涉及双并联液压制动装置技术、三轮车制动装置中闸盒与瓦合的连接固定技术等</w:t>
      </w:r>
    </w:p>
    <w:p>
      <w:pPr>
        <w:ind w:firstLine="480"/>
      </w:pPr>
      <w:r>
        <w:t>下料装置：涉及下料的自动化实现方式等。</w:t>
      </w:r>
    </w:p>
    <w:p>
      <w:pPr>
        <w:ind w:firstLine="480"/>
      </w:pPr>
      <w:r>
        <w:t>动力系统：发动机或电动机相关技术，如动力输出功率、扭矩优化技术，以及发动机燃油效率提升技术、电动机调速与控制技术等。</w:t>
      </w:r>
    </w:p>
    <w:p>
      <w:pPr>
        <w:ind w:firstLine="480"/>
      </w:pPr>
      <w:r>
        <w:t>传动系统：</w:t>
      </w:r>
      <w:r>
        <w:rPr>
          <w:rFonts w:hint="eastAsia"/>
        </w:rPr>
        <w:t>涉及</w:t>
      </w:r>
      <w:r>
        <w:t>变速器的变速比设计、传动效率优化技术，以及传动轴的强度与稳定性设计技术等。</w:t>
      </w:r>
    </w:p>
    <w:p>
      <w:pPr>
        <w:ind w:firstLine="480"/>
      </w:pPr>
      <w:r>
        <w:t>车斗结构：</w:t>
      </w:r>
      <w:r>
        <w:rPr>
          <w:rFonts w:hint="eastAsia"/>
        </w:rPr>
        <w:t>涉及</w:t>
      </w:r>
      <w:r>
        <w:t>车斗的材质、形状设计，以及车斗的装卸方式技术，如液压升降技术、自卸结构技术等。</w:t>
      </w:r>
    </w:p>
    <w:p>
      <w:pPr>
        <w:ind w:firstLine="480"/>
      </w:pPr>
      <w:r>
        <w:t>电气系统：涉及整车电路布局、控制系统程序，以及车灯照明技术、喇叭发声技术等。</w:t>
      </w:r>
    </w:p>
    <w:p>
      <w:pPr>
        <w:ind w:firstLine="480"/>
      </w:pPr>
      <w:bookmarkStart w:id="44" w:name="OLE_LINK2"/>
      <w:r>
        <w:t>悬挂系统</w:t>
      </w:r>
      <w:bookmarkEnd w:id="44"/>
      <w:r>
        <w:t>：</w:t>
      </w:r>
      <w:r>
        <w:rPr>
          <w:rFonts w:hint="eastAsia"/>
        </w:rPr>
        <w:t>涉及</w:t>
      </w:r>
      <w:r>
        <w:t>悬挂结构设计，如减震器的选型与调校技术、弹簧刚度设计技术等</w:t>
      </w:r>
      <w:r>
        <w:rPr>
          <w:rFonts w:hint="eastAsia"/>
        </w:rPr>
        <w:t>。</w:t>
      </w:r>
    </w:p>
    <w:p>
      <w:pPr>
        <w:ind w:firstLine="480"/>
      </w:pPr>
      <w:r>
        <w:rPr>
          <w:rFonts w:asciiTheme="majorEastAsia" w:hAnsiTheme="majorEastAsia" w:eastAsiaTheme="majorEastAsia"/>
        </w:rPr>
        <w:br w:type="page"/>
      </w:r>
    </w:p>
    <w:p>
      <w:pPr>
        <w:pStyle w:val="3"/>
        <w:spacing w:before="312" w:after="312"/>
      </w:pPr>
      <w:bookmarkStart w:id="45" w:name="_Toc203061368"/>
      <w:bookmarkStart w:id="46" w:name="_Toc1999"/>
      <w:r>
        <w:rPr>
          <w:rFonts w:hint="eastAsia"/>
        </w:rPr>
        <w:t>第三章 产业知识产权司法实践</w:t>
      </w:r>
      <w:bookmarkEnd w:id="45"/>
      <w:bookmarkEnd w:id="46"/>
    </w:p>
    <w:p>
      <w:pPr>
        <w:ind w:firstLine="562"/>
        <w:outlineLvl w:val="1"/>
        <w:rPr>
          <w:rFonts w:ascii="黑体" w:hAnsi="黑体" w:eastAsia="黑体"/>
          <w:b/>
          <w:bCs/>
          <w:sz w:val="28"/>
          <w:szCs w:val="28"/>
        </w:rPr>
      </w:pPr>
      <w:bookmarkStart w:id="47" w:name="_Toc203061369"/>
      <w:bookmarkStart w:id="48" w:name="_Toc2872"/>
      <w:r>
        <w:rPr>
          <w:rFonts w:ascii="黑体" w:hAnsi="黑体" w:eastAsia="黑体"/>
          <w:b/>
          <w:bCs/>
          <w:sz w:val="28"/>
          <w:szCs w:val="28"/>
        </w:rPr>
        <w:t>3</w:t>
      </w:r>
      <w:r>
        <w:rPr>
          <w:rFonts w:hint="eastAsia" w:ascii="黑体" w:hAnsi="黑体" w:eastAsia="黑体"/>
          <w:b/>
          <w:bCs/>
          <w:sz w:val="28"/>
          <w:szCs w:val="28"/>
        </w:rPr>
        <w:t>.1 商标</w:t>
      </w:r>
      <w:bookmarkEnd w:id="47"/>
      <w:bookmarkEnd w:id="48"/>
    </w:p>
    <w:p>
      <w:pPr>
        <w:ind w:firstLine="480"/>
      </w:pPr>
      <w:r>
        <w:rPr>
          <w:rFonts w:hint="eastAsia"/>
        </w:rPr>
        <w:t>商标侵权（Trademark Infringement）即商标侵权行为，是指行为人未经商标权人许可，在相同或类似商品上使用与其注册商标相同或近似的商标，或者其他干涉、妨碍商标权人使用其注册商标，损害商标权人合法权益的其他行为。</w:t>
      </w:r>
    </w:p>
    <w:p>
      <w:pPr>
        <w:ind w:firstLine="480"/>
      </w:pPr>
      <w:r>
        <w:rPr>
          <w:rFonts w:hint="eastAsia"/>
        </w:rPr>
        <w:t>随着经济的进一步发展，市场竞争进一步加剧，加之地方保护、对侵权获利的疯狂追逐等因素，商标侵权行为不时发生。但商标权被人为划定成“禁”（禁用权）与“行”（专用权）的不一致。在“行”的方面，权利的效力仅及于核准注册的商标和核定使用的商品或服务（商标法第五十一条），但在“禁”的方面，商标权人有权禁止他人未经许可在类似的商品或服务上使用近似的商标（商标法第五十二条第一项）。这样就造成了商标权侵权行为认定的任务十分复杂和艰巨。</w:t>
      </w:r>
    </w:p>
    <w:p>
      <w:pPr>
        <w:ind w:firstLine="480"/>
      </w:pPr>
      <w:r>
        <w:rPr>
          <w:rFonts w:hint="eastAsia"/>
        </w:rPr>
        <w:t>商标侵权行为的种类</w:t>
      </w:r>
    </w:p>
    <w:p>
      <w:pPr>
        <w:ind w:firstLine="480"/>
      </w:pPr>
      <w:r>
        <w:rPr>
          <w:rFonts w:hint="eastAsia"/>
        </w:rPr>
        <w:t>根据《中华人民共和国商标法》第五十七条，规定了七种侵犯注册商标专用权的行为：</w:t>
      </w:r>
    </w:p>
    <w:p>
      <w:pPr>
        <w:ind w:firstLine="480"/>
      </w:pPr>
      <w:r>
        <w:rPr>
          <w:rFonts w:hint="eastAsia"/>
        </w:rPr>
        <w:t>1．未经商标注册人的许可，在同一种商品上使用与其注册商标相同的商标的；</w:t>
      </w:r>
    </w:p>
    <w:p>
      <w:pPr>
        <w:ind w:firstLine="480"/>
      </w:pPr>
      <w:r>
        <w:rPr>
          <w:rFonts w:hint="eastAsia"/>
        </w:rPr>
        <w:t>2．未经商标注册人的许可，在同一种商品上使用与其注册商标近似的商标，或者在类似商品上使用与其注册商标相同或近似的商标，容易导致混淆的；</w:t>
      </w:r>
    </w:p>
    <w:p>
      <w:pPr>
        <w:ind w:firstLine="480"/>
      </w:pPr>
      <w:r>
        <w:rPr>
          <w:rFonts w:hint="eastAsia"/>
        </w:rPr>
        <w:t>3．销售侵犯注册商标专用权的商品的；</w:t>
      </w:r>
    </w:p>
    <w:p>
      <w:pPr>
        <w:ind w:firstLine="480"/>
      </w:pPr>
      <w:r>
        <w:rPr>
          <w:rFonts w:hint="eastAsia"/>
        </w:rPr>
        <w:t>4．伪造、擅自制造他人注册商标标识或者销售伪造、擅自制造的注册商标标识的；</w:t>
      </w:r>
    </w:p>
    <w:p>
      <w:pPr>
        <w:ind w:firstLine="480"/>
      </w:pPr>
      <w:r>
        <w:rPr>
          <w:rFonts w:hint="eastAsia"/>
        </w:rPr>
        <w:t>5．未经商标注册人同意，更换其注册商标并将该更换商标的商品又投入市场的；</w:t>
      </w:r>
    </w:p>
    <w:p>
      <w:pPr>
        <w:ind w:firstLine="480"/>
      </w:pPr>
      <w:r>
        <w:rPr>
          <w:rFonts w:hint="eastAsia"/>
        </w:rPr>
        <w:t>6．故意为侵犯他人商标专用权行为提供便利条件，帮助他人实施侵犯商标专用权行为的；</w:t>
      </w:r>
    </w:p>
    <w:p>
      <w:pPr>
        <w:ind w:firstLine="480"/>
      </w:pPr>
      <w:r>
        <w:rPr>
          <w:rFonts w:hint="eastAsia"/>
        </w:rPr>
        <w:t>7．给他人的注册商标专用权造成其他损害的；</w:t>
      </w:r>
    </w:p>
    <w:p>
      <w:pPr>
        <w:ind w:firstLine="480"/>
      </w:pPr>
      <w:r>
        <w:rPr>
          <w:rFonts w:hint="eastAsia"/>
        </w:rPr>
        <w:t>对侵犯注册商标权行为认定的过程</w:t>
      </w:r>
    </w:p>
    <w:p>
      <w:pPr>
        <w:ind w:firstLine="480"/>
      </w:pPr>
      <w:r>
        <w:rPr>
          <w:rFonts w:hint="eastAsia"/>
        </w:rPr>
        <w:t>对侵犯注册商标权行为认定的过程，有以下三个基本步骤：</w:t>
      </w:r>
    </w:p>
    <w:p>
      <w:pPr>
        <w:ind w:firstLine="480"/>
      </w:pPr>
      <w:r>
        <w:rPr>
          <w:rFonts w:hint="eastAsia"/>
        </w:rPr>
        <w:t>1．确定注册商标专用权的权利范围。注册商标专用权的权利范围是认定商标侵权的基本依据。判断商标侵权行为能否认定或称是否构成所考虑的一切因素都是围绕注册商标专用权的权利范围来进行的。根据中国商标法第五十一条的规定：“注册商标的专用权，以核准注册的商标和核定使用的商品为限。”显然，从这条规定看，注册商标专用权的权利范围只限于核准注册的商标和该注册商标所核定使用的商品。该范围由两个方面因素来确定，一是核准注册的商标；二是该注册商标所核定使用的商品。二者的结合，构成注册商标专用权的权利范围，也就为认定商标权侵权行为确定了与被控侵权对象进行比较的标准，以便得出是否构成侵权的结论。</w:t>
      </w:r>
    </w:p>
    <w:p>
      <w:pPr>
        <w:ind w:firstLine="480"/>
      </w:pPr>
      <w:r>
        <w:rPr>
          <w:rFonts w:hint="eastAsia"/>
        </w:rPr>
        <w:t>2．确定被控侵权的具体对象。被控侵权对象的确定由两个方面的因素所决定，一是被控侵权的商标，二是被控侵权的商标所使用的商品。确定被控侵权具体对象的意义，在于确定和固化被控侵权行为的载体，为下一步与商标权的保护范围的比对打下坚实基础。它与确定注册商标专用权的权利范围同样重要，它是认定商标侵权行为的另一比较对象。</w:t>
      </w:r>
    </w:p>
    <w:p>
      <w:pPr>
        <w:ind w:firstLine="480"/>
      </w:pPr>
      <w:r>
        <w:rPr>
          <w:rFonts w:hint="eastAsia"/>
        </w:rPr>
        <w:t>3．将被控侵权对象与注册商标和该注册商标所核定使用的商品进行比较，认定被控侵权的商标与注册商标是否相同或者近似，以及被控侵权商标所使用的商品与该注册商标所核定使用的商品是否属于同一种类或者相类似。通过认定侵权行为的三个基本步骤，特别是经过将被控侵权对象与注册商标和该注册商标所核定使用的商品进行比较后，就能认定是否构成商标侵权。</w:t>
      </w:r>
    </w:p>
    <w:p>
      <w:pPr>
        <w:ind w:firstLine="482"/>
        <w:rPr>
          <w:b/>
          <w:bCs/>
        </w:rPr>
      </w:pPr>
      <w:r>
        <w:rPr>
          <w:rFonts w:hint="eastAsia"/>
          <w:b/>
          <w:bCs/>
        </w:rPr>
        <w:t>案例：</w:t>
      </w:r>
      <w:r>
        <w:rPr>
          <w:b/>
          <w:bCs/>
        </w:rPr>
        <w:t>知名管道品牌“亚通”商标侵权纠纷案</w:t>
      </w:r>
    </w:p>
    <w:p>
      <w:pPr>
        <w:ind w:firstLine="514"/>
        <w:rPr>
          <w:rFonts w:asciiTheme="minorEastAsia" w:hAnsiTheme="minorEastAsia" w:eastAsiaTheme="minorEastAsia"/>
        </w:rPr>
      </w:pPr>
      <w:r>
        <w:rPr>
          <w:rFonts w:hint="eastAsia" w:asciiTheme="minorEastAsia" w:hAnsiTheme="minorEastAsia" w:eastAsiaTheme="minorEastAsia"/>
          <w:b/>
          <w:bCs/>
          <w:spacing w:val="8"/>
          <w:shd w:val="clear" w:color="auto" w:fill="FFFFFF"/>
        </w:rPr>
        <w:t>案情简介：</w:t>
      </w:r>
      <w:r>
        <w:rPr>
          <w:rFonts w:asciiTheme="minorEastAsia" w:hAnsiTheme="minorEastAsia" w:eastAsiaTheme="minorEastAsia"/>
          <w:spacing w:val="8"/>
          <w:shd w:val="clear" w:color="auto" w:fill="FFFFFF"/>
        </w:rPr>
        <w:t>原告福建亚通新材料科技股份有限公司（以下简称福建亚通公司）是一家生产、销售非金属管道、非塑料的水管阀等建筑材料的企业，原告依法享有的“亚通”及“亚通ATON”等系列注册商标，具有较高的知名度。被告浙江亚通管业有限公司（以下简称浙江亚通公司）作为原告的同业竞争者，分别在第17类和第19类商品上注册了与原告注册商标相近似的“恒亚通HENGATONG”和“恒亚通HOYAT”商标，原告随即提出异议，经过商评委复审以及行政诉讼，最终确定被告已获得注册的“恒亚通HENGATONG”和“恒亚通HOYAT”商标不予核准注册。后原告发现被告浙江亚通公司仍旧在其生产、销售的非金属管道等产品上印制有“恒亚通HOYAT”商标，遂通过公证购买了被告浙江亚通公司销售给被告张大琪的涉案被诉侵权产品，并诉至法院，要求两被告停止侵权行为并承担赔偿损失等法律责任</w:t>
      </w:r>
      <w:r>
        <w:rPr>
          <w:rFonts w:asciiTheme="minorEastAsia" w:hAnsiTheme="minorEastAsia" w:eastAsiaTheme="minorEastAsia"/>
        </w:rPr>
        <w:t>。</w:t>
      </w:r>
    </w:p>
    <w:p>
      <w:pPr>
        <w:pStyle w:val="2"/>
        <w:ind w:firstLine="514"/>
        <w:rPr>
          <w:rFonts w:asciiTheme="minorEastAsia" w:hAnsiTheme="minorEastAsia" w:eastAsiaTheme="minorEastAsia"/>
          <w:spacing w:val="8"/>
          <w:shd w:val="clear" w:color="auto" w:fill="FFFFFF"/>
        </w:rPr>
      </w:pPr>
      <w:r>
        <w:rPr>
          <w:rFonts w:hint="eastAsia" w:asciiTheme="minorEastAsia" w:hAnsiTheme="minorEastAsia" w:eastAsiaTheme="minorEastAsia" w:cstheme="minorBidi"/>
          <w:b/>
          <w:bCs/>
          <w:spacing w:val="8"/>
          <w:shd w:val="clear" w:color="auto" w:fill="FFFFFF"/>
        </w:rPr>
        <w:t>法院认为：</w:t>
      </w:r>
      <w:r>
        <w:rPr>
          <w:rFonts w:asciiTheme="minorEastAsia" w:hAnsiTheme="minorEastAsia" w:eastAsiaTheme="minorEastAsia"/>
          <w:spacing w:val="8"/>
          <w:shd w:val="clear" w:color="auto" w:fill="FFFFFF"/>
        </w:rPr>
        <w:t>原告系涉案“亚通”及“亚通ATON”系列注册商标专用权人，其合法权益应受我国商标法的保护。被告浙江亚通公司在其注册的与原告近似的商标不予核准注册后，依旧在类似商品上使用与原告注册商标相近似的“恒亚通HOYAT”商标，</w:t>
      </w:r>
      <w:r>
        <w:rPr>
          <w:rStyle w:val="24"/>
          <w:rFonts w:asciiTheme="minorEastAsia" w:hAnsiTheme="minorEastAsia" w:eastAsiaTheme="minorEastAsia"/>
          <w:spacing w:val="8"/>
          <w:shd w:val="clear" w:color="auto" w:fill="FFFFFF"/>
        </w:rPr>
        <w:t>其行为属于未经权利人许可，擅自生产、销售容易引起相关消费者混淆的商品，侵害了原告对涉案商标享有的专用权,应依法承担停止侵权、赔偿损失的民事法律责任。</w:t>
      </w:r>
      <w:r>
        <w:rPr>
          <w:rFonts w:asciiTheme="minorEastAsia" w:hAnsiTheme="minorEastAsia" w:eastAsiaTheme="minorEastAsia"/>
          <w:spacing w:val="8"/>
          <w:shd w:val="clear" w:color="auto" w:fill="FFFFFF"/>
        </w:rPr>
        <w:t>被告张大琪不知其所销售的系侵害商标权的产品，且已向法院提供被控侵权产品的合法来源和提供者，其依法不承担赔偿损失的民事法律责任，但应立即停止销售侵权产品。据此，判决两被告停止侵权行为；被告浙江亚通公司赔偿原告经济损失和合理费用共计70万元；驳回原告的其他诉讼请求。宣判后，双方均未在法定期限内提起上诉，判决发生法律效力。</w:t>
      </w:r>
    </w:p>
    <w:p>
      <w:pPr>
        <w:ind w:firstLine="482"/>
        <w:rPr>
          <w:rFonts w:asciiTheme="minorEastAsia" w:hAnsiTheme="minorEastAsia" w:eastAsiaTheme="minorEastAsia"/>
        </w:rPr>
      </w:pPr>
      <w:r>
        <w:rPr>
          <w:rFonts w:hint="eastAsia" w:asciiTheme="minorEastAsia" w:hAnsiTheme="minorEastAsia" w:eastAsiaTheme="minorEastAsia"/>
          <w:b/>
          <w:bCs/>
        </w:rPr>
        <w:t>案件点评：</w:t>
      </w:r>
      <w:r>
        <w:rPr>
          <w:rFonts w:asciiTheme="minorEastAsia" w:hAnsiTheme="minorEastAsia" w:eastAsiaTheme="minorEastAsia"/>
        </w:rPr>
        <w:t>商标作为一种重要的商业标记，日益成为市场主体参与市场竞争的重要工具，而知名商标因其重要性和价值性，更容易成为侵权人仿冒的对象，在相同或类似商品上使用近似商标成为商标侵权的重要形式，如何准确进行商标近似判断成为司法实践的一个重要问题。</w:t>
      </w:r>
      <w:r>
        <w:rPr>
          <w:rStyle w:val="24"/>
          <w:rFonts w:asciiTheme="minorEastAsia" w:hAnsiTheme="minorEastAsia" w:eastAsiaTheme="minorEastAsia"/>
        </w:rPr>
        <w:t>根据相关司法解释的规定，认定商标是否近似应以相关公众的一般注意力为标准，既要对商标的整体进行比对，又要对商标的主要部分进行比对，同时需要考虑请求保护注册商标的显著性和知名度。</w:t>
      </w:r>
      <w:r>
        <w:rPr>
          <w:rFonts w:asciiTheme="minorEastAsia" w:hAnsiTheme="minorEastAsia" w:eastAsiaTheme="minorEastAsia"/>
        </w:rPr>
        <w:t>就本案而言，原告作为一家老牌的管道生产企业，其享有的“亚通”系列商标获得过著名商标、名牌产品等称号，并曾被认定为驰名商标，在市场上具有较高的知名度，其“亚通”系列管道产品亦占有较高的市场份额。被告作为同行业竞争者理应对原告的商标知名度和市场占有率有较为深刻的认识，被告使用“恒亚通HOYAT”商标，“恒”字用来修饰“亚通”，其显著性较弱，在一般公众看来，容易产生“恒亚通HOYAT”与“亚通”的关联性联想，误认为被告浙江亚通公司生产、销售的产品来源于原告。况且，被告浙江亚通公司注册的“恒亚通HOYAT”商标经过商评委复审和行政诉讼后不予核准注册，这进一步加强了该商标与原告商标构成近似的判断。故被告浙江亚通公司生产、销售涉案产品的行为构成了对原告商标权的侵害，应承担停止侵权和赔偿损失的责任。本案对仿冒他人知名商标的行为具有警示和教育作用。</w:t>
      </w:r>
    </w:p>
    <w:p>
      <w:pPr>
        <w:ind w:firstLine="562"/>
        <w:outlineLvl w:val="1"/>
        <w:rPr>
          <w:rFonts w:ascii="黑体" w:hAnsi="黑体" w:eastAsia="黑体"/>
          <w:b/>
          <w:bCs/>
          <w:sz w:val="28"/>
          <w:szCs w:val="28"/>
        </w:rPr>
      </w:pPr>
      <w:bookmarkStart w:id="49" w:name="_Toc5502"/>
      <w:bookmarkStart w:id="50" w:name="_Toc203061370"/>
      <w:r>
        <w:rPr>
          <w:rFonts w:ascii="黑体" w:hAnsi="黑体" w:eastAsia="黑体"/>
          <w:b/>
          <w:bCs/>
          <w:sz w:val="28"/>
          <w:szCs w:val="28"/>
        </w:rPr>
        <w:t>3</w:t>
      </w:r>
      <w:r>
        <w:rPr>
          <w:rFonts w:hint="eastAsia" w:ascii="黑体" w:hAnsi="黑体" w:eastAsia="黑体"/>
          <w:b/>
          <w:bCs/>
          <w:sz w:val="28"/>
          <w:szCs w:val="28"/>
        </w:rPr>
        <w:t>.2 不正当竞争</w:t>
      </w:r>
      <w:bookmarkEnd w:id="49"/>
      <w:bookmarkEnd w:id="50"/>
    </w:p>
    <w:p>
      <w:pPr>
        <w:ind w:firstLine="480"/>
      </w:pPr>
      <w:r>
        <w:rPr>
          <w:rFonts w:hint="eastAsia"/>
        </w:rPr>
        <w:t>我国在竞争法立法过程中，就条件比较成熟的反不正当竞争先行立法，但在制定《反不正当竞争法》时，考虑到有些垄断行为已相当普遍，危害了公平竞争秩序，该法也对相关垄断行为作了规定。2017年《反不正当竞争法》修订，才将原先规定的5种垄断行为予以废止。根据不正当竞争行为的方式和手段，《反不正当竞争法》第二章将其归纳为7种类型。</w:t>
      </w:r>
    </w:p>
    <w:p>
      <w:pPr>
        <w:ind w:firstLine="480"/>
      </w:pPr>
      <w:r>
        <w:rPr>
          <w:rFonts w:hint="eastAsia"/>
        </w:rPr>
        <w:t>（一）混淆行为</w:t>
      </w:r>
    </w:p>
    <w:p>
      <w:pPr>
        <w:ind w:firstLine="480"/>
      </w:pPr>
      <w:r>
        <w:rPr>
          <w:rFonts w:hint="eastAsia"/>
        </w:rPr>
        <w:t>混淆行为是假借和冒充其他经营者或其商品的名称、商标、质量和产地标志等，以使人混淆、产生误解的行为。它包括以下行为：第一，擅自使用与他人有一定影响的商品名称、包装、装潢等相同或者近似的标识；第二，擅自使用他人有一定影响的企业名称（包括简称、字号等）、社会组织名称（包括简称等）、姓名（包括笔名、艺名、译名等）；第三，擅自使用他人有一定影响的域名主体部分、网站名称、网页等；第四，其他足以引人误认为是他人商品或者与他人存在特定联系的混淆行为。</w:t>
      </w:r>
    </w:p>
    <w:p>
      <w:pPr>
        <w:ind w:firstLine="480"/>
      </w:pPr>
      <w:r>
        <w:rPr>
          <w:rFonts w:hint="eastAsia"/>
        </w:rPr>
        <w:t>（二）商业贿赂行为</w:t>
      </w:r>
    </w:p>
    <w:p>
      <w:pPr>
        <w:ind w:firstLine="480"/>
      </w:pPr>
      <w:r>
        <w:rPr>
          <w:rFonts w:hint="eastAsia"/>
        </w:rPr>
        <w:t>商业贿赂行为是指经营者采用财物或者其他手段进行贿赂以谋取交易机会或者竞争优势。贿赂的对象可以是交易相对方的工作人员，也可以是受交易相对方委托办理相关事务的单位或者个人；贿赂的方法通常是直接或间接给予利益，也可能是利用职权或者影响力影响交易的单位或者个人。《反不正当竞争法》规定，经营者在交易活动中，可以以明示方式给对方折扣，也可以给中间人佣金，但必须如实入账；接受折扣、佣金的经营者也必须如实入账。凡在账外暗中给予对方单位或者个人回扣的，以行贿论处；对方单位或者个人在账外暗中收受回扣的，以受贿论处。</w:t>
      </w:r>
    </w:p>
    <w:p>
      <w:pPr>
        <w:ind w:firstLine="480"/>
      </w:pPr>
      <w:r>
        <w:rPr>
          <w:rFonts w:hint="eastAsia"/>
        </w:rPr>
        <w:t>经营者的工作人员进行贿赂的，应当认定为经营者的行为；但是，经营者有证据证明该工作人员的行为与为经营者谋取交易机会或者竞争优势无关的除外。</w:t>
      </w:r>
    </w:p>
    <w:p>
      <w:pPr>
        <w:ind w:firstLine="480"/>
      </w:pPr>
      <w:r>
        <w:rPr>
          <w:rFonts w:hint="eastAsia"/>
        </w:rPr>
        <w:t>（三）虚假宣传行为</w:t>
      </w:r>
    </w:p>
    <w:p>
      <w:pPr>
        <w:ind w:firstLine="480"/>
      </w:pPr>
      <w:r>
        <w:rPr>
          <w:rFonts w:hint="eastAsia"/>
        </w:rPr>
        <w:t>虚假宣传行为是指经营者利用广告或者其他方法，对商品的性能、功能、质量、销售状况、用户评价、曾获荣誉等作虚假或引人误解的宣传，欺骗、误导消费者的行为。鉴于在网络交易中出现了“刷单”“加粉”等灰色产业链，修订后的《反不正当竞争法》增加规定，经营者不得通过组织虚假交易等方式，帮助其他经营者进行虚假或者引人误解的商业宣传。</w:t>
      </w:r>
    </w:p>
    <w:p>
      <w:pPr>
        <w:ind w:firstLine="480"/>
      </w:pPr>
      <w:r>
        <w:rPr>
          <w:rFonts w:hint="eastAsia"/>
        </w:rPr>
        <w:t>（四）侵犯商业秘密行为</w:t>
      </w:r>
    </w:p>
    <w:p>
      <w:pPr>
        <w:ind w:firstLine="480"/>
      </w:pPr>
      <w:r>
        <w:rPr>
          <w:rFonts w:hint="eastAsia"/>
        </w:rPr>
        <w:t>侵犯商业秘密行为，是指经营者通过不正当手段，违法获取、披露、使用或者允许他人使用权利人的商业秘密的行为。所谓商业秘密，是指不为公众所知悉，具有商业价值，并经权利人采取相应保密措施的技术信息和经营信息。侵犯商业秘密所采取的不正当手段包括：第一，以盗窃、贿赂、欺诈、胁迫或者其他不正当手段获取权利人的商业秘密；第二，披露、使用或者允许他人使用以前项手段获取的权利人的商业秘密；第三，违反约定或者违反权利人有关保守商业秘密的要求，披露、使用或者允许他人使用其所掌握的商业秘密。此外，第三人明知或者应知商业秘密权利人的员工、前员工或者其他单位、个人实施上述违法行为，仍获取、披露、使用或者允许他人使用该商业秘密的，视为侵犯商业秘密。</w:t>
      </w:r>
    </w:p>
    <w:p>
      <w:pPr>
        <w:ind w:firstLine="480"/>
      </w:pPr>
      <w:r>
        <w:rPr>
          <w:rFonts w:hint="eastAsia"/>
        </w:rPr>
        <w:t>（五）不当奖售行为</w:t>
      </w:r>
    </w:p>
    <w:p>
      <w:pPr>
        <w:ind w:firstLine="480"/>
      </w:pPr>
      <w:r>
        <w:rPr>
          <w:rFonts w:hint="eastAsia"/>
        </w:rPr>
        <w:t>不当奖售行为，是指经营者不法进行的不正当的有奖销售行为。有奖销售是经营者的一种促销手段，正当的有奖销售，法律是允许的；而不正当的有奖销售，不仅会损害同业竞争者的利益，而且会损害消费者的利益和公序良俗。因此，《反不正当竞争法》第10条规定，经营者从事有奖销售不得存在下列情形：（1）所设奖的种类、兑奖条件、奖金金额或者奖品等有奖销售信息不明确，影响兑奖；（2）采用谎称有奖或者故意让内定人员中奖的欺骗方式进行有奖销售；（3）抽奖式的有奖销售，最高奖的金额超过5万元。</w:t>
      </w:r>
    </w:p>
    <w:p>
      <w:pPr>
        <w:ind w:firstLine="480"/>
      </w:pPr>
      <w:r>
        <w:rPr>
          <w:rFonts w:hint="eastAsia"/>
        </w:rPr>
        <w:t>（六）诋毁商誉行为</w:t>
      </w:r>
    </w:p>
    <w:p>
      <w:pPr>
        <w:ind w:firstLine="480"/>
      </w:pPr>
      <w:r>
        <w:rPr>
          <w:rFonts w:hint="eastAsia"/>
        </w:rPr>
        <w:t>诋毁商誉行为是指经营者捏造、散布虚假信息或者误导性信息，损害竞争对手的商业信誉和商品声誉的行为。诋毁他人商誉可能形成对他人企业、商品或“老板”的负面评价，削弱竞争对手对顾客的吸引力，从而争夺和扩大自己的市场。该行为违背公认的商业道德和市场竞争规则，是不正当的、违法的。</w:t>
      </w:r>
    </w:p>
    <w:p>
      <w:pPr>
        <w:ind w:firstLine="480"/>
      </w:pPr>
      <w:r>
        <w:rPr>
          <w:rFonts w:hint="eastAsia"/>
        </w:rPr>
        <w:t>（七）网络不正当竞争行为</w:t>
      </w:r>
    </w:p>
    <w:p>
      <w:pPr>
        <w:ind w:firstLine="480"/>
      </w:pPr>
      <w:r>
        <w:rPr>
          <w:rFonts w:hint="eastAsia"/>
        </w:rPr>
        <w:t>网络不正当竞争行为，是指经营者利用技术手段，通过影响用户选择或者其他方式妨碍、破坏其他经营者合法提供的网络产品或者服务正常运行的行为。互联网经济日益发达，网络上违反诚实信用的商业竞争行为也越来越多，层出不穷。2017年《反不正当竞争法》修订时遂以列举加兜底方式对其作了规定，明确将网络不正当竞争行为纳入反不正当竞争法的调整范围。</w:t>
      </w:r>
    </w:p>
    <w:p>
      <w:pPr>
        <w:ind w:firstLine="480"/>
      </w:pPr>
      <w:r>
        <w:rPr>
          <w:rFonts w:hint="eastAsia"/>
        </w:rPr>
        <w:t>《反不正当竞争法》第12条第2款规定了三种具体不正当竞争行为：（1）未经其他经营者同意，在其合法提供的网络产品或者服务中，插入链接、强制进行目标跳转；（2）误导、欺骗、强迫用户修改、关闭、卸载其他经营者合法提供的网络产品或者服务；（3）恶意对其他经营者合法提供的网络产品或者服务实施不兼容。这些行为比较常见，经营者和消费者都能感同身受。而网络技术和商业手段日新月异，对网络不正当竞争行为不可能穷尽列举，因此该款第4项规定,经营者也不得从事其他妨碍、破坏其他经营者合法提供的网络产品或者服务正常运行的行为。</w:t>
      </w:r>
    </w:p>
    <w:p>
      <w:pPr>
        <w:pStyle w:val="20"/>
        <w:shd w:val="clear" w:color="auto" w:fill="FFFFFF"/>
        <w:ind w:firstLine="482"/>
        <w:rPr>
          <w:rFonts w:cs="Arial" w:asciiTheme="minorEastAsia" w:hAnsiTheme="minorEastAsia" w:eastAsiaTheme="minorEastAsia"/>
          <w:b/>
          <w:bCs/>
          <w:color w:val="000000"/>
          <w:kern w:val="0"/>
        </w:rPr>
      </w:pPr>
      <w:r>
        <w:rPr>
          <w:rFonts w:hint="eastAsia" w:asciiTheme="minorEastAsia" w:hAnsiTheme="minorEastAsia" w:eastAsiaTheme="minorEastAsia"/>
          <w:b/>
          <w:bCs/>
        </w:rPr>
        <w:t>案例：</w:t>
      </w:r>
      <w:r>
        <w:rPr>
          <w:rFonts w:cs="Arial" w:asciiTheme="minorEastAsia" w:hAnsiTheme="minorEastAsia" w:eastAsiaTheme="minorEastAsia"/>
          <w:b/>
          <w:bCs/>
          <w:color w:val="000000"/>
          <w:kern w:val="0"/>
        </w:rPr>
        <w:t>江阴市某钢管有限公司实施混淆行为案</w:t>
      </w:r>
    </w:p>
    <w:p>
      <w:pPr>
        <w:widowControl/>
        <w:shd w:val="clear" w:color="auto" w:fill="FFFFFF"/>
        <w:ind w:firstLine="482"/>
        <w:rPr>
          <w:rFonts w:cs="Arial" w:asciiTheme="minorEastAsia" w:hAnsiTheme="minorEastAsia" w:eastAsiaTheme="minorEastAsia"/>
          <w:color w:val="000000"/>
          <w:kern w:val="0"/>
        </w:rPr>
      </w:pPr>
      <w:r>
        <w:rPr>
          <w:rFonts w:cs="Arial" w:asciiTheme="minorEastAsia" w:hAnsiTheme="minorEastAsia" w:eastAsiaTheme="minorEastAsia"/>
          <w:b/>
          <w:bCs/>
          <w:color w:val="000000"/>
          <w:kern w:val="0"/>
        </w:rPr>
        <w:t>基本案情</w:t>
      </w:r>
      <w:r>
        <w:rPr>
          <w:rFonts w:hint="eastAsia" w:cs="Arial" w:asciiTheme="minorEastAsia" w:hAnsiTheme="minorEastAsia" w:eastAsiaTheme="minorEastAsia"/>
          <w:b/>
          <w:bCs/>
          <w:color w:val="000000"/>
          <w:kern w:val="0"/>
        </w:rPr>
        <w:t>：</w:t>
      </w:r>
      <w:r>
        <w:rPr>
          <w:rFonts w:cs="Arial" w:asciiTheme="minorEastAsia" w:hAnsiTheme="minorEastAsia" w:eastAsiaTheme="minorEastAsia"/>
          <w:color w:val="000000"/>
          <w:kern w:val="0"/>
        </w:rPr>
        <w:t>江阴市某钢管有限公司主要从事钢管及其他金属制品的销售。为及时供应客户少量急需的“JD”品牌钢管，当事人通过购置喷码机喷标的方式，在其事先备好的相应规格型号的无标无缝钢管上擅自喷标“JD”+CCS(船级社认证标志)+型号规格+炉批号+产品标准代号，使其产品标识与江苏某新材料有限公司产品所特有的企业识别代码“JD”及产品相应标识符号（JD+型号规格+具体产品编号+产品标准号+CCS）一致，让客户误认为该批钢管系由江苏某新材料有限公司所生产。经查，江苏某新材料有限公司生产的“JD”钢管在行业内有一定的知名度和认可度，其产品相关代码有一定识别度。经过计算，该批钢管共46支，总重2.04吨，货值金额10000元。</w:t>
      </w:r>
    </w:p>
    <w:p>
      <w:pPr>
        <w:widowControl/>
        <w:shd w:val="clear" w:color="auto" w:fill="FFFFFF"/>
        <w:ind w:firstLine="482"/>
        <w:rPr>
          <w:rFonts w:cs="Arial" w:asciiTheme="minorEastAsia" w:hAnsiTheme="minorEastAsia" w:eastAsiaTheme="minorEastAsia"/>
          <w:color w:val="000000"/>
          <w:kern w:val="0"/>
        </w:rPr>
      </w:pPr>
      <w:r>
        <w:rPr>
          <w:rFonts w:cs="Arial" w:asciiTheme="minorEastAsia" w:hAnsiTheme="minorEastAsia" w:eastAsiaTheme="minorEastAsia"/>
          <w:b/>
          <w:bCs/>
          <w:color w:val="000000"/>
          <w:kern w:val="0"/>
        </w:rPr>
        <w:t>法律依据及处罚</w:t>
      </w:r>
      <w:r>
        <w:rPr>
          <w:rFonts w:hint="eastAsia" w:cs="Arial" w:asciiTheme="minorEastAsia" w:hAnsiTheme="minorEastAsia" w:eastAsiaTheme="minorEastAsia"/>
          <w:b/>
          <w:bCs/>
          <w:color w:val="000000"/>
          <w:kern w:val="0"/>
        </w:rPr>
        <w:t>：</w:t>
      </w:r>
      <w:r>
        <w:rPr>
          <w:rFonts w:cs="Arial" w:asciiTheme="minorEastAsia" w:hAnsiTheme="minorEastAsia" w:eastAsiaTheme="minorEastAsia"/>
          <w:color w:val="000000"/>
          <w:kern w:val="0"/>
        </w:rPr>
        <w:t>当事人实施擅自使用他人有一定影响的商品标识的混淆行为违反了《中华人民共和国反不正当竞争法》第六条之规定，根据《中华人民共和国反不正当竞争法》第十八条第一款之规定，江阴市市场监督管理局决定作出没收违法商品、罚款130000元的行政处罚。</w:t>
      </w:r>
    </w:p>
    <w:p>
      <w:pPr>
        <w:ind w:firstLine="562"/>
        <w:outlineLvl w:val="1"/>
        <w:rPr>
          <w:rFonts w:ascii="黑体" w:hAnsi="黑体" w:eastAsia="黑体"/>
          <w:b/>
          <w:bCs/>
          <w:sz w:val="28"/>
          <w:szCs w:val="28"/>
        </w:rPr>
      </w:pPr>
      <w:bookmarkStart w:id="51" w:name="_Toc25368"/>
      <w:bookmarkStart w:id="52" w:name="_Toc203061371"/>
      <w:r>
        <w:rPr>
          <w:rFonts w:ascii="黑体" w:hAnsi="黑体" w:eastAsia="黑体"/>
          <w:b/>
          <w:bCs/>
          <w:sz w:val="28"/>
          <w:szCs w:val="28"/>
        </w:rPr>
        <w:t>3</w:t>
      </w:r>
      <w:r>
        <w:rPr>
          <w:rFonts w:hint="eastAsia" w:ascii="黑体" w:hAnsi="黑体" w:eastAsia="黑体"/>
          <w:b/>
          <w:bCs/>
          <w:sz w:val="28"/>
          <w:szCs w:val="28"/>
        </w:rPr>
        <w:t>.3 软著</w:t>
      </w:r>
      <w:bookmarkEnd w:id="51"/>
      <w:bookmarkEnd w:id="52"/>
    </w:p>
    <w:p>
      <w:pPr>
        <w:ind w:firstLine="480"/>
      </w:pPr>
      <w:r>
        <w:rPr>
          <w:rFonts w:hint="eastAsia"/>
        </w:rPr>
        <w:t>软件著作权界定侵权的相关规定如下：</w:t>
      </w:r>
    </w:p>
    <w:p>
      <w:pPr>
        <w:ind w:firstLine="480"/>
      </w:pPr>
      <w:r>
        <w:rPr>
          <w:rFonts w:hint="eastAsia"/>
        </w:rPr>
        <w:t>1．剽窃。剽窃是指将他人依法享有著作权的软件窃为己有并发表或者登记的行为。剽窃的主要表现是采取抄袭或部分抄袭等方式，在他人软件上署自己的名称(或姓名)并发表或者登记。</w:t>
      </w:r>
    </w:p>
    <w:p>
      <w:pPr>
        <w:ind w:firstLine="480"/>
      </w:pPr>
      <w:r>
        <w:rPr>
          <w:rFonts w:hint="eastAsia"/>
        </w:rPr>
        <w:t>2．非法复制。非法复制是指未经软件著作权人许可，擅自将他人软件制作一份或者多份的行为的行为。非法复制的主要表现形式是盗版，这种侵权行为直接掠夺了正版厂商的市场份额和商业利润，是目前最为普遍的软件侵权行为，危害性十分明显，也最为公众熟知。</w:t>
      </w:r>
    </w:p>
    <w:p>
      <w:pPr>
        <w:ind w:firstLine="480"/>
      </w:pPr>
      <w:r>
        <w:rPr>
          <w:rFonts w:hint="eastAsia"/>
        </w:rPr>
        <w:t>3．擅自使用。擅自使用是指未经软件著作权人许可，又无法律根据，对他人软件实施演示、修改、翻译、注释、应用的不合法的使用行为。</w:t>
      </w:r>
    </w:p>
    <w:p>
      <w:pPr>
        <w:ind w:firstLine="480"/>
      </w:pPr>
      <w:r>
        <w:rPr>
          <w:rFonts w:hint="eastAsia"/>
        </w:rPr>
        <w:t>4．擅自许可他人使用。擅自许可他人使用是指未经软件著作权人许可，又无法律根据，未经授权许可第三人使用他人软件的行为。</w:t>
      </w:r>
    </w:p>
    <w:p>
      <w:pPr>
        <w:ind w:firstLine="480"/>
      </w:pPr>
      <w:r>
        <w:rPr>
          <w:rFonts w:hint="eastAsia"/>
        </w:rPr>
        <w:t>《中华人民共和国著作权法》第四十八条</w:t>
      </w:r>
    </w:p>
    <w:p>
      <w:pPr>
        <w:ind w:firstLine="480"/>
      </w:pPr>
      <w:r>
        <w:rPr>
          <w:rFonts w:hint="eastAsia"/>
        </w:rPr>
        <w:t>有下列侵权行为的，应当根据情况，承担停止侵害、消除影响、赔礼道歉、赔偿损失等民事责任;同时损害公共利益的，可以由著作权行政管理部门责令停止侵权行为，没收违法所得，没收、销毁侵权复制品，并可处以罚款;情节严重的，著作权行政管理部门还可以没收主要用于制作侵权复制品的材料、工具、设备等;构成犯罪的，依法追究刑事责任：</w:t>
      </w:r>
    </w:p>
    <w:p>
      <w:pPr>
        <w:ind w:firstLine="480"/>
      </w:pPr>
      <w:r>
        <w:rPr>
          <w:rFonts w:hint="eastAsia"/>
        </w:rPr>
        <w:t>(一)未经著作权人许可，复制、发行、表演、放映、广播、汇编、通过信息网络向公众传播其作品的，本法另有规定的除外;</w:t>
      </w:r>
    </w:p>
    <w:p>
      <w:pPr>
        <w:ind w:firstLine="480"/>
      </w:pPr>
      <w:r>
        <w:rPr>
          <w:rFonts w:hint="eastAsia"/>
        </w:rPr>
        <w:t>(二)出版他人享有专有出版权的图书的;</w:t>
      </w:r>
    </w:p>
    <w:p>
      <w:pPr>
        <w:ind w:firstLine="480"/>
      </w:pPr>
      <w:r>
        <w:rPr>
          <w:rFonts w:hint="eastAsia"/>
        </w:rPr>
        <w:t>(三)未经表演者许可，复制、发行录有其表演的录音录像制品，或者通过信息网络向公众传播其表演的，本法另有规定的除外;</w:t>
      </w:r>
    </w:p>
    <w:p>
      <w:pPr>
        <w:ind w:firstLine="480"/>
      </w:pPr>
      <w:r>
        <w:rPr>
          <w:rFonts w:hint="eastAsia"/>
        </w:rPr>
        <w:t>(四)未经录音录像制作者许可，复制、发行、通过信息网络向公众传播其制作的录音录像制品的，本法另有规定的除外;</w:t>
      </w:r>
    </w:p>
    <w:p>
      <w:pPr>
        <w:ind w:firstLine="480"/>
      </w:pPr>
      <w:r>
        <w:rPr>
          <w:rFonts w:hint="eastAsia"/>
        </w:rPr>
        <w:t>(五)未经许可，播放或者复制广播、电视的，本法另有规定的除外;</w:t>
      </w:r>
    </w:p>
    <w:p>
      <w:pPr>
        <w:ind w:firstLine="480"/>
      </w:pPr>
      <w:r>
        <w:rPr>
          <w:rFonts w:hint="eastAsia"/>
        </w:rPr>
        <w:t>(六)未经著作权人或者与著作权有关的权利人许可，故意避开或者破坏权利人为其作品、录音录像制品等采取的保护著作权或者与著作权有关的权利的技术措施的，法律、行政法规另有规定的除外;</w:t>
      </w:r>
    </w:p>
    <w:p>
      <w:pPr>
        <w:ind w:firstLine="480"/>
      </w:pPr>
      <w:r>
        <w:rPr>
          <w:rFonts w:hint="eastAsia"/>
        </w:rPr>
        <w:t>(七)未经著作权人或者与著作权有关的权利人许可，故意删除或者改变作品、录音录像制品等的权利管理电子信息的，法律、行政法规另有规定的除外;</w:t>
      </w:r>
    </w:p>
    <w:p>
      <w:pPr>
        <w:ind w:firstLine="480"/>
      </w:pPr>
      <w:r>
        <w:rPr>
          <w:rFonts w:hint="eastAsia"/>
        </w:rPr>
        <w:t>(八)制作、出售假冒他人署名的作品的。</w:t>
      </w:r>
    </w:p>
    <w:p>
      <w:pPr>
        <w:ind w:firstLine="482"/>
        <w:rPr>
          <w:b/>
          <w:bCs/>
        </w:rPr>
      </w:pPr>
      <w:r>
        <w:rPr>
          <w:rFonts w:hint="eastAsia"/>
          <w:b/>
          <w:bCs/>
        </w:rPr>
        <w:t>案例：</w:t>
      </w:r>
      <w:r>
        <w:rPr>
          <w:b/>
          <w:bCs/>
        </w:rPr>
        <w:t>达索公司计算机软件著作权案</w:t>
      </w:r>
    </w:p>
    <w:p>
      <w:pPr>
        <w:ind w:firstLine="480"/>
      </w:pPr>
      <w:r>
        <w:t>达索公司是全球领先的3D设计软件开发及销售商，系SOLIDWORKS系列计算机软件作品的著作权人。应达索公司申请，法院于2020年8月19日到海天公司进行诉前证据保全。在证据保全过程中，海天公司阻挠技术专家查看电脑，并且拆除电脑主机。经释明后，海天公司仍无正当理由拒绝配合取证工作。经法院现场清点，海天公司办公室共有77台电脑，其中有33台电脑的主机被拆除。法院从现场未被拆除的44台电脑中随机抽查了4台，发现有1台电脑安装了涉案软件。达索公司以海天公司侵害涉案软件著作权为由诉至法院。</w:t>
      </w:r>
    </w:p>
    <w:p>
      <w:pPr>
        <w:ind w:firstLine="480"/>
      </w:pPr>
      <w:r>
        <w:t>海天公司未经许可，复制了达索公司享有著作权的计算机软件，构成侵权。海天公司擅自将33台电脑的主机拆除，致使法院无法保全证据，故应当认定这33台电脑中均安装了涉案软件。对未被拆除的44台电脑，可以按照1/4的比例确定安装侵权软件的电脑数量为11台。法院按照安装侵权软件电脑的数量44台，判决海天公司赔偿186万元。</w:t>
      </w:r>
    </w:p>
    <w:p>
      <w:pPr>
        <w:ind w:firstLine="562"/>
        <w:outlineLvl w:val="1"/>
        <w:rPr>
          <w:rFonts w:ascii="黑体" w:hAnsi="黑体" w:eastAsia="黑体"/>
          <w:b/>
          <w:bCs/>
          <w:sz w:val="28"/>
          <w:szCs w:val="28"/>
        </w:rPr>
      </w:pPr>
      <w:bookmarkStart w:id="53" w:name="_Toc30522"/>
      <w:bookmarkStart w:id="54" w:name="_Toc203061372"/>
      <w:r>
        <w:rPr>
          <w:rFonts w:ascii="黑体" w:hAnsi="黑体" w:eastAsia="黑体"/>
          <w:b/>
          <w:bCs/>
          <w:sz w:val="28"/>
          <w:szCs w:val="28"/>
        </w:rPr>
        <w:t>3</w:t>
      </w:r>
      <w:r>
        <w:rPr>
          <w:rFonts w:hint="eastAsia" w:ascii="黑体" w:hAnsi="黑体" w:eastAsia="黑体"/>
          <w:b/>
          <w:bCs/>
          <w:sz w:val="28"/>
          <w:szCs w:val="28"/>
        </w:rPr>
        <w:t>.4 专利</w:t>
      </w:r>
      <w:bookmarkEnd w:id="53"/>
      <w:bookmarkEnd w:id="54"/>
    </w:p>
    <w:p>
      <w:pPr>
        <w:ind w:firstLine="480"/>
      </w:pPr>
      <w:r>
        <w:rPr>
          <w:rFonts w:hint="eastAsia"/>
        </w:rPr>
        <w:t>根据行为人有无直接实施侵犯他人专利权的行为及被控侵权产品或方法落入保护范围的形式，学理上可将专利侵权作出以下分类：</w:t>
      </w:r>
    </w:p>
    <w:p>
      <w:pPr>
        <w:ind w:firstLine="480"/>
      </w:pPr>
      <w:r>
        <w:rPr>
          <w:rFonts w:hint="eastAsia"/>
        </w:rPr>
        <w:t>1.直接侵权与间接侵权</w:t>
      </w:r>
    </w:p>
    <w:p>
      <w:pPr>
        <w:ind w:firstLine="480"/>
      </w:pPr>
      <w:r>
        <w:rPr>
          <w:rFonts w:hint="eastAsia"/>
        </w:rPr>
        <w:t>直接侵权。直接侵权是指行为人直接实施了专利法所禁止的侵犯他人专利权的行为，如制造、使用或销售受保护专利产品。</w:t>
      </w:r>
    </w:p>
    <w:p>
      <w:pPr>
        <w:ind w:firstLine="480"/>
      </w:pPr>
      <w:r>
        <w:rPr>
          <w:rFonts w:hint="eastAsia"/>
        </w:rPr>
        <w:t>间接侵权。间接侵权是指行为人虽然没有直接实施了侵害他人专利权的行为，但是却教唆诱使了直接侵权行为的实施，或帮助了他人实施直接侵权行为。</w:t>
      </w:r>
    </w:p>
    <w:p>
      <w:pPr>
        <w:ind w:firstLine="480"/>
      </w:pPr>
      <w:r>
        <w:rPr>
          <w:rFonts w:hint="eastAsia"/>
        </w:rPr>
        <w:t>2.相同侵权与等同侵权</w:t>
      </w:r>
    </w:p>
    <w:p>
      <w:pPr>
        <w:ind w:firstLine="480"/>
      </w:pPr>
      <w:r>
        <w:rPr>
          <w:rFonts w:hint="eastAsia"/>
        </w:rPr>
        <w:t>相同侵权。相同侵权又被称为字面侵权，顾名思义，是指被控侵权产品或方法的技术方案直接落入受保护专利权利要求的字面描述的范围的侵权行为。</w:t>
      </w:r>
    </w:p>
    <w:p>
      <w:pPr>
        <w:ind w:firstLine="480"/>
      </w:pPr>
      <w:r>
        <w:rPr>
          <w:rFonts w:hint="eastAsia"/>
        </w:rPr>
        <w:t>等同侵权。等同侵权是指被控侵权产品或方法的技术方案虽然没有直接落入权利要求的字面描述的范围，但却与权利要求的技术方案并无本质上的区别，据此被认定为实际上落入保护范围的侵权行为。</w:t>
      </w:r>
    </w:p>
    <w:p>
      <w:pPr>
        <w:ind w:firstLine="482"/>
        <w:rPr>
          <w:rFonts w:cs="Arial" w:asciiTheme="minorEastAsia" w:hAnsiTheme="minorEastAsia" w:eastAsiaTheme="minorEastAsia"/>
          <w:b/>
          <w:bCs/>
          <w:color w:val="222222"/>
          <w:shd w:val="clear" w:color="auto" w:fill="FFFFFF"/>
        </w:rPr>
      </w:pPr>
      <w:r>
        <w:rPr>
          <w:rFonts w:hint="eastAsia" w:asciiTheme="minorEastAsia" w:hAnsiTheme="minorEastAsia" w:eastAsiaTheme="minorEastAsia"/>
          <w:b/>
          <w:bCs/>
        </w:rPr>
        <w:t>案例：</w:t>
      </w:r>
      <w:r>
        <w:rPr>
          <w:rFonts w:cs="Arial" w:asciiTheme="minorEastAsia" w:hAnsiTheme="minorEastAsia" w:eastAsiaTheme="minorEastAsia"/>
          <w:b/>
          <w:bCs/>
          <w:color w:val="222222"/>
          <w:shd w:val="clear" w:color="auto" w:fill="FFFFFF"/>
        </w:rPr>
        <w:t>“蜜胺”发明专利及技术秘密侵权两案</w:t>
      </w:r>
    </w:p>
    <w:p>
      <w:pPr>
        <w:ind w:firstLine="480"/>
      </w:pPr>
      <w:r>
        <w:rPr>
          <w:rFonts w:hint="eastAsia"/>
        </w:rPr>
        <w:t>基本案情：</w:t>
      </w:r>
      <w:r>
        <w:t>金象公司、烨晶公司系专利号为201110108644.9、名称为“节能节资型气相淬冷法蜜胺生产系统及其工艺”的发明专利权利人，金象公司亦为采用加压气相淬冷法生产蜜胺的方法及使用该方法的生产系统相关技术秘密权利人。金象公司、烨晶公司针对华鲁恒升公司等四被告侵害涉案专利权的行为向广州知识产权法院提起诉讼。金象公司亦针对上述四被告侵害技术秘密的行为向四川省成都市中级人民法院提起诉讼。两法院一审分别认定，四被告共同实施了专利侵权行为、技术秘密侵权行为，均判决停止侵害，并分别部分支持了有关损害赔偿请求。双方当事人对两案均不服，均提起上诉。最高人民法院二审认为，各被诉侵权人具有侵权的意思联络，主观上彼此明知，先后实施相应侵权行为构成完整的侵权行为链，客观上分工协作，属共同故意实施侵权行为，应当对全部侵权损害承担连带责任。遂改判支持权利人的全部诉讼请求，判令侵权人以包括但不限于拆除的方式销毁侵权生产系统及有关技术秘密载体，共同连带赔偿权利人经济损失合计2.18亿元（其中，发明专利侵权案赔偿1.2亿元，技术秘密侵权案赔偿9800万元）</w:t>
      </w:r>
    </w:p>
    <w:p>
      <w:pPr>
        <w:ind w:firstLine="480"/>
      </w:pPr>
      <w:r>
        <w:rPr>
          <w:rFonts w:hint="eastAsia"/>
        </w:rPr>
        <w:t>典型意义：</w:t>
      </w:r>
      <w:r>
        <w:t>这是目前人民法院针对同一工程项目判赔额最高的知识产权侵权案件。权利人金象公司为中外合资企业，烨晶公司为高新技术民营企业，侵权人之一华鲁恒升公司系国有上市企业。两案裁判不仅彰显人民法院切实加强知识产权司法保护的坚定态度，也充分体现对内资和外资企业、国有和民营企业等各类企业的一体对待、平等保护。本案有关共同故意侵权及全部连带责任的认定、赔偿额计算的考量因素、停止侵害责任中销毁侵权载体的处理方式等，对于类似案件的处理具有参考意义。</w:t>
      </w:r>
    </w:p>
    <w:p>
      <w:pPr>
        <w:pStyle w:val="2"/>
        <w:ind w:firstLine="480"/>
      </w:pPr>
      <w:r>
        <w:br w:type="page"/>
      </w:r>
    </w:p>
    <w:p>
      <w:pPr>
        <w:pStyle w:val="3"/>
        <w:spacing w:before="312" w:after="312"/>
      </w:pPr>
      <w:bookmarkStart w:id="55" w:name="_Toc203061373"/>
      <w:bookmarkStart w:id="56" w:name="_Toc15733"/>
      <w:r>
        <w:rPr>
          <w:rFonts w:hint="eastAsia"/>
        </w:rPr>
        <w:t>第四章 重点国家或地区知识产权相关法律法规汇总分析</w:t>
      </w:r>
      <w:bookmarkEnd w:id="55"/>
      <w:bookmarkEnd w:id="56"/>
    </w:p>
    <w:p>
      <w:pPr>
        <w:ind w:firstLine="562"/>
        <w:outlineLvl w:val="1"/>
        <w:rPr>
          <w:rFonts w:ascii="黑体" w:hAnsi="黑体" w:eastAsia="黑体"/>
          <w:b/>
          <w:bCs/>
          <w:sz w:val="28"/>
          <w:szCs w:val="28"/>
        </w:rPr>
      </w:pPr>
      <w:bookmarkStart w:id="57" w:name="_Toc203061374"/>
      <w:bookmarkStart w:id="58" w:name="_Toc11466"/>
      <w:bookmarkStart w:id="59" w:name="_Toc13968"/>
      <w:r>
        <w:rPr>
          <w:rFonts w:ascii="黑体" w:hAnsi="黑体" w:eastAsia="黑体"/>
          <w:b/>
          <w:bCs/>
          <w:sz w:val="28"/>
          <w:szCs w:val="28"/>
        </w:rPr>
        <w:t>4</w:t>
      </w:r>
      <w:r>
        <w:rPr>
          <w:rFonts w:hint="eastAsia" w:ascii="黑体" w:hAnsi="黑体" w:eastAsia="黑体"/>
          <w:b/>
          <w:bCs/>
          <w:sz w:val="28"/>
          <w:szCs w:val="28"/>
        </w:rPr>
        <w:t>.</w:t>
      </w:r>
      <w:r>
        <w:rPr>
          <w:rFonts w:ascii="黑体" w:hAnsi="黑体" w:eastAsia="黑体"/>
          <w:b/>
          <w:bCs/>
          <w:sz w:val="28"/>
          <w:szCs w:val="28"/>
        </w:rPr>
        <w:t xml:space="preserve">1 </w:t>
      </w:r>
      <w:r>
        <w:rPr>
          <w:rFonts w:hint="eastAsia" w:ascii="黑体" w:hAnsi="黑体" w:eastAsia="黑体"/>
          <w:b/>
          <w:bCs/>
          <w:sz w:val="28"/>
          <w:szCs w:val="28"/>
        </w:rPr>
        <w:t>美国知识产权风险防控分析</w:t>
      </w:r>
      <w:bookmarkEnd w:id="57"/>
    </w:p>
    <w:p>
      <w:pPr>
        <w:ind w:firstLine="562"/>
        <w:outlineLvl w:val="2"/>
        <w:rPr>
          <w:rFonts w:ascii="黑体" w:hAnsi="黑体" w:eastAsia="黑体" w:cs="Helvetica"/>
          <w:b/>
          <w:color w:val="000000" w:themeColor="text1"/>
          <w:kern w:val="0"/>
          <w:sz w:val="28"/>
          <w:szCs w:val="28"/>
        </w:rPr>
      </w:pPr>
      <w:bookmarkStart w:id="60" w:name="_Toc121146302"/>
      <w:bookmarkStart w:id="61" w:name="_Toc203061375"/>
      <w:r>
        <w:rPr>
          <w:rFonts w:ascii="黑体" w:hAnsi="黑体" w:eastAsia="黑体" w:cs="Helvetica"/>
          <w:b/>
          <w:color w:val="000000" w:themeColor="text1"/>
          <w:kern w:val="0"/>
          <w:sz w:val="28"/>
          <w:szCs w:val="28"/>
        </w:rPr>
        <w:t xml:space="preserve">4.1.1 </w:t>
      </w:r>
      <w:r>
        <w:rPr>
          <w:rFonts w:hint="eastAsia" w:ascii="黑体" w:hAnsi="黑体" w:eastAsia="黑体" w:cs="Helvetica"/>
          <w:b/>
          <w:color w:val="000000" w:themeColor="text1"/>
          <w:kern w:val="0"/>
          <w:sz w:val="28"/>
          <w:szCs w:val="28"/>
        </w:rPr>
        <w:t>美国专利侵权行为的认定</w:t>
      </w:r>
      <w:bookmarkEnd w:id="60"/>
      <w:bookmarkEnd w:id="61"/>
    </w:p>
    <w:p>
      <w:pPr>
        <w:ind w:firstLine="480"/>
      </w:pPr>
      <w:r>
        <w:t>在美国，对专利侵权的制裁来源于美国专利法第271条的规定。构成专利侵权的基本要求是被主张侵权的装置、组合物、方法等包含争议权利要求的全部技术特征。美国专利法除了规定直接侵权之外，也规定了间接侵权。</w:t>
      </w:r>
    </w:p>
    <w:p>
      <w:pPr>
        <w:ind w:firstLine="482"/>
        <w:rPr>
          <w:b/>
          <w:bCs/>
        </w:rPr>
      </w:pPr>
      <w:bookmarkStart w:id="62" w:name="_Toc121146303"/>
      <w:r>
        <w:rPr>
          <w:rFonts w:hint="eastAsia"/>
          <w:b/>
          <w:bCs/>
        </w:rPr>
        <w:t>一、直接侵权</w:t>
      </w:r>
      <w:bookmarkEnd w:id="62"/>
    </w:p>
    <w:p>
      <w:pPr>
        <w:ind w:firstLine="480"/>
      </w:pPr>
      <w:r>
        <w:t>直接侵权是指在专利权的有效期间内，他人未经授权而行使了专利权人排他性的权利。确定侵权，首先要解释权利要求和确定专利权保护范围，然后将权利要求的范围与侵权产品或方法进行比较。在美国前者是一个法律问题，由法官解决；后者是一个事实问题，由陪审团解决。</w:t>
      </w:r>
    </w:p>
    <w:p>
      <w:pPr>
        <w:ind w:firstLine="480"/>
      </w:pPr>
      <w:r>
        <w:t>如果权利要求中的每一个技术特征都清楚而具体地见于侵权产品或方法之中，就属于“字面侵权”或者“不折不扣的侵权”。所谓“字面侵权”是就权利要求书的文字来说的；所谓“不折不扣的侵权”是说侵权产品或方法清楚而具体的落入专利权的保护范围。就字面侵权来说，并非要求专利权利要求中的技术特征与侵权产品或方法所使用的技术方案完全一致，而是说相关权利要求中的每一项技术特征都在侵权产品或方法中得到了体现。举例来说，原告权利要求中的技术特征有三项 a、b、c，而被告侵权产品所使用的技术方案涉及a、b、c、d。此时被告的产品对原告专利来说仍然属于“字面侵权”，即使被告在产品中加入的技术特征d对原专利来说是一项重大改进也不能改变其侵犯了原告专利的事实。相反，如果被告产品或方法使用的技术方案相对于原告专利来说并没有包含其权利要求中的全部技术特征，则这种实施方式不能被判断为专利侵权。</w:t>
      </w:r>
    </w:p>
    <w:p>
      <w:pPr>
        <w:ind w:firstLine="480"/>
      </w:pPr>
      <w:r>
        <w:t>在现实生活中，完全使用专利权利要求中的全部技术特征是非常少见的，更多的情况是侵权人所生产的产品或在生产制造过程中所使用的方法对专利权利要求中的技术特征作出了少许的改进。判断这种情况是否侵权就需要应用前文在讨论专利权利的保护范围时所提到的等同原则，如果按照等同原则的观点，被控侵权产品或方法是实质性地使用了专利权利要求中的全部技术特征，实现了相同的功能并达到了实质等同的技术效果，则仍然属于侵权行为，这种侵权被称为"等同侵权"。</w:t>
      </w:r>
    </w:p>
    <w:p>
      <w:pPr>
        <w:ind w:firstLine="482"/>
        <w:rPr>
          <w:b/>
          <w:bCs/>
        </w:rPr>
      </w:pPr>
      <w:bookmarkStart w:id="63" w:name="_Toc121146304"/>
      <w:r>
        <w:rPr>
          <w:rFonts w:hint="eastAsia"/>
          <w:b/>
          <w:bCs/>
        </w:rPr>
        <w:t>二、间接侵权</w:t>
      </w:r>
      <w:bookmarkEnd w:id="63"/>
    </w:p>
    <w:p>
      <w:pPr>
        <w:ind w:firstLine="480"/>
      </w:pPr>
      <w:r>
        <w:t>在美国专利法上，间接侵权是指第三人的行为诱导或者促成了他人的直接侵权。在这里第三人虽然没有直接侵犯专利权，但他的行为却诱导或促成了他人的直接侵权行为。</w:t>
      </w:r>
    </w:p>
    <w:p>
      <w:pPr>
        <w:ind w:firstLine="482"/>
      </w:pPr>
      <w:r>
        <w:rPr>
          <w:rFonts w:asciiTheme="minorEastAsia" w:hAnsiTheme="minorEastAsia" w:eastAsiaTheme="minorEastAsia"/>
          <w:b/>
          <w:bCs/>
        </w:rPr>
        <w:t>1</w:t>
      </w:r>
      <w:r>
        <w:rPr>
          <w:rFonts w:hint="eastAsia" w:asciiTheme="minorEastAsia" w:hAnsiTheme="minorEastAsia" w:eastAsiaTheme="minorEastAsia"/>
          <w:b/>
          <w:bCs/>
        </w:rPr>
        <w:t>．</w:t>
      </w:r>
      <w:r>
        <w:rPr>
          <w:b/>
          <w:bCs/>
        </w:rPr>
        <w:t>间接侵权的种类和概念</w:t>
      </w:r>
    </w:p>
    <w:p>
      <w:pPr>
        <w:ind w:firstLine="480"/>
      </w:pPr>
      <w:r>
        <w:t>在美国专利法上，间接侵权主要有两种</w:t>
      </w:r>
      <w:r>
        <w:rPr>
          <w:rFonts w:hint="eastAsia" w:ascii="宋体" w:hAnsi="宋体" w:cs="宋体"/>
        </w:rPr>
        <w:t>∶</w:t>
      </w:r>
      <w:r>
        <w:t>引诱侵权和帮助侵权。美国专利法第271条b款规定</w:t>
      </w:r>
      <w:r>
        <w:rPr>
          <w:rFonts w:hint="eastAsia" w:ascii="宋体" w:hAnsi="宋体" w:cs="宋体"/>
        </w:rPr>
        <w:t>∶</w:t>
      </w:r>
      <w:r>
        <w:rPr>
          <w:rFonts w:cs="Times New Roman"/>
        </w:rPr>
        <w:t>“</w:t>
      </w:r>
      <w:r>
        <w:t>积极引诱侵犯专利权的人将作为侵权者承担责任。”引诱侵权是指侵权人故意或有意诱导或协助他人直接侵犯专利权的行为。在这里，首先是引诱侵权者故意实施了某种行为，其次是直接侵权人在引诱侵权者的行为诱导下实施了直接侵权行为。</w:t>
      </w:r>
    </w:p>
    <w:p>
      <w:pPr>
        <w:ind w:firstLine="480"/>
      </w:pPr>
      <w:r>
        <w:t>帮助侵权是指侵权人故意销售、许诺销售或进口他人专利中的重要组成部分，而购买者也确实实施了侵犯他人专利的行为。构成帮助侵权需要满足两个重要条件</w:t>
      </w:r>
      <w:r>
        <w:rPr>
          <w:rFonts w:hint="eastAsia" w:ascii="宋体" w:hAnsi="宋体" w:cs="宋体"/>
        </w:rPr>
        <w:t>∶</w:t>
      </w:r>
      <w:r>
        <w:t>一是侵权人明知他所销售、许诺销售或进口的产品是他人发明专利中的特有组成部分，而且除了用于实施他人的专利之外没有其他明显的用途；二是购买者确实实施了直接侵犯他人专利的行为。</w:t>
      </w:r>
    </w:p>
    <w:p>
      <w:pPr>
        <w:ind w:firstLine="480"/>
      </w:pPr>
      <w:r>
        <w:t>关于专利直接侵权和间接侵权的关系，美国联邦巡回上诉法院在190年的“惠普公司”案中有过详细的叙述</w:t>
      </w:r>
      <w:r>
        <w:rPr>
          <w:rFonts w:hint="eastAsia" w:ascii="宋体" w:hAnsi="宋体" w:cs="宋体"/>
        </w:rPr>
        <w:t>∶</w:t>
      </w:r>
      <w:r>
        <w:t>在1952年美国专利法颁布之前，法律中没有界定侵权构成的条文。但是侵权在司法中被分为两类</w:t>
      </w:r>
      <w:r>
        <w:rPr>
          <w:rFonts w:hint="eastAsia" w:ascii="宋体" w:hAnsi="宋体" w:cs="宋体"/>
        </w:rPr>
        <w:t>∶</w:t>
      </w:r>
      <w:r>
        <w:t>"直接侵权”，即未经侵权而制造、使用或销售发明专利权覆盖的产品；“共同侵权”，即所有的虽然没有技术上的制造、使用或销售，但被告显示了足够的过错性的其他活动，以至于可以认定被告为侵权者并应当承担责任。这种责任是基于共同侵权行为理论。根据这一理论，某人故意促使、帮助和教唆他人实施侵权行为，则应当与主要侵权者负共同的和单独的责任。1952年颁布了美国专利法，不仅在法典上规定了直接侵权，而且把“共同侵权”分成了“引诱侵权”和“帮助侵权”。直接侵权与间接侵权的区别在于，前者存在技术层面上的制造、使用或销售有关专利产品的行为，而后者不存在技术层面上的制造、使用或销售有关专利产品的行为。</w:t>
      </w:r>
    </w:p>
    <w:p>
      <w:pPr>
        <w:ind w:firstLine="482"/>
        <w:rPr>
          <w:b/>
          <w:bCs/>
        </w:rPr>
      </w:pPr>
      <w:r>
        <w:rPr>
          <w:rFonts w:asciiTheme="minorEastAsia" w:hAnsiTheme="minorEastAsia" w:eastAsiaTheme="minorEastAsia"/>
          <w:b/>
          <w:bCs/>
        </w:rPr>
        <w:t>2</w:t>
      </w:r>
      <w:r>
        <w:rPr>
          <w:rFonts w:hint="eastAsia" w:asciiTheme="minorEastAsia" w:hAnsiTheme="minorEastAsia" w:eastAsiaTheme="minorEastAsia"/>
          <w:b/>
          <w:bCs/>
        </w:rPr>
        <w:t>．</w:t>
      </w:r>
      <w:r>
        <w:rPr>
          <w:b/>
          <w:bCs/>
        </w:rPr>
        <w:t>间接侵权的认定</w:t>
      </w:r>
    </w:p>
    <w:p>
      <w:pPr>
        <w:ind w:firstLine="480"/>
      </w:pPr>
      <w:r>
        <w:t>间接侵权与直接侵权在认定方面最大的不同在于，侵权者的主观意图是间接侵权的必要条件。在认定直接侵权方面，无论侵权者主观上是否知道自己的行为侵犯了他人的专利权，也不论他是否有可能知道自己的行为侵犯了他人的专利权，只要有客观的侵权事实存在，就可以判定为侵权。然而在专利侵权的间接侵权认定上，行为人的主观意图却成为侵权成立的要件之一。在引诱侵权中，是行为人故意诱导或者协助他人侵犯专利权，在帮助侵权场合，则是行为人故意销售、许诺销售或进口他人发明专利的重要组成部分，并由此而帮助实现了对专利权的侵犯。美国专利法第271条使用了“积极引诱”、“知道”等字眼。如果没有这种积极的主观意图，则不存在间接侵权。</w:t>
      </w:r>
    </w:p>
    <w:p>
      <w:pPr>
        <w:ind w:firstLine="480"/>
      </w:pPr>
      <w:r>
        <w:t>在认定间接侵权方面，除了需要侵权者具有积极的主观意图之外，直接侵权行为的发生也是一个必要条件。如果不存在直接侵权行为，无论相关当事人的主观意图如何均不得认定间接侵权的存在。在前述“爱若”案中，被告同时向通用公司和福特公司的用户出售了可供更换的纺织物。美国最高法院裁定，通用公司获得了制造和销售可折叠汽车顶部的专利授权，通用汽车的用户更换顶部纺织物的行为属于“修理”而非“制造”，没有发生直接侵权，因此间接侵权行为也没有发生。而福特公司没有获得制造和销售该可折叠汽车顶部的授权，福特公司的用户更换顶部纺织物的行为属于"制造"，直接侵犯了原告的专利权。与此相应，被告向福特汽车所有人出售可更换纺织物的行为也构成间接侵权。可以说，此案非常鲜明地说明了直接侵权和间接侵权的联系，也具体的说明了认定间接侵权的所有要件。</w:t>
      </w:r>
    </w:p>
    <w:p>
      <w:pPr>
        <w:ind w:firstLine="562"/>
        <w:outlineLvl w:val="2"/>
        <w:rPr>
          <w:rFonts w:ascii="黑体" w:hAnsi="黑体" w:eastAsia="黑体" w:cs="Helvetica"/>
          <w:b/>
          <w:color w:val="000000" w:themeColor="text1"/>
          <w:kern w:val="0"/>
          <w:sz w:val="28"/>
          <w:szCs w:val="28"/>
        </w:rPr>
      </w:pPr>
      <w:bookmarkStart w:id="64" w:name="_Toc121146305"/>
      <w:bookmarkStart w:id="65" w:name="_Toc203061376"/>
      <w:r>
        <w:rPr>
          <w:rFonts w:ascii="黑体" w:hAnsi="黑体" w:eastAsia="黑体" w:cs="Helvetica"/>
          <w:b/>
          <w:color w:val="000000" w:themeColor="text1"/>
          <w:kern w:val="0"/>
          <w:sz w:val="28"/>
          <w:szCs w:val="28"/>
        </w:rPr>
        <w:t xml:space="preserve">4.1.2 </w:t>
      </w:r>
      <w:bookmarkEnd w:id="64"/>
      <w:r>
        <w:rPr>
          <w:rFonts w:hint="eastAsia" w:ascii="黑体" w:hAnsi="黑体" w:eastAsia="黑体" w:cs="Helvetica"/>
          <w:b/>
          <w:color w:val="000000" w:themeColor="text1"/>
          <w:kern w:val="0"/>
          <w:sz w:val="28"/>
          <w:szCs w:val="28"/>
        </w:rPr>
        <w:t>“3</w:t>
      </w:r>
      <w:r>
        <w:rPr>
          <w:rFonts w:ascii="黑体" w:hAnsi="黑体" w:eastAsia="黑体" w:cs="Helvetica"/>
          <w:b/>
          <w:color w:val="000000" w:themeColor="text1"/>
          <w:kern w:val="0"/>
          <w:sz w:val="28"/>
          <w:szCs w:val="28"/>
        </w:rPr>
        <w:t>37</w:t>
      </w:r>
      <w:r>
        <w:rPr>
          <w:rFonts w:hint="eastAsia" w:ascii="黑体" w:hAnsi="黑体" w:eastAsia="黑体" w:cs="Helvetica"/>
          <w:b/>
          <w:color w:val="000000" w:themeColor="text1"/>
          <w:kern w:val="0"/>
          <w:sz w:val="28"/>
          <w:szCs w:val="28"/>
        </w:rPr>
        <w:t>调查”及常规应对策略</w:t>
      </w:r>
      <w:bookmarkEnd w:id="65"/>
    </w:p>
    <w:p>
      <w:pPr>
        <w:ind w:firstLine="480"/>
        <w:rPr>
          <w:rFonts w:hAnsi="宋体" w:cs="Times New Roman"/>
        </w:rPr>
      </w:pPr>
      <w:r>
        <w:rPr>
          <w:rFonts w:cs="Times New Roman"/>
        </w:rPr>
        <w:t>“337</w:t>
      </w:r>
      <w:r>
        <w:rPr>
          <w:rFonts w:hAnsi="宋体" w:cs="Times New Roman"/>
        </w:rPr>
        <w:t>调查</w:t>
      </w:r>
      <w:r>
        <w:rPr>
          <w:rFonts w:cs="Times New Roman"/>
        </w:rPr>
        <w:t>”</w:t>
      </w:r>
      <w:r>
        <w:rPr>
          <w:rFonts w:hAnsi="宋体" w:cs="Times New Roman"/>
        </w:rPr>
        <w:t>制度：根据美国《</w:t>
      </w:r>
      <w:r>
        <w:rPr>
          <w:rFonts w:cs="Times New Roman"/>
        </w:rPr>
        <w:t>1930</w:t>
      </w:r>
      <w:r>
        <w:rPr>
          <w:rFonts w:hAnsi="宋体" w:cs="Times New Roman"/>
        </w:rPr>
        <w:t>年关税法》第</w:t>
      </w:r>
      <w:r>
        <w:rPr>
          <w:rFonts w:cs="Times New Roman"/>
        </w:rPr>
        <w:t>337</w:t>
      </w:r>
      <w:r>
        <w:rPr>
          <w:rFonts w:hAnsi="宋体" w:cs="Times New Roman"/>
        </w:rPr>
        <w:t>节（现被汇编在《美国法典》第</w:t>
      </w:r>
      <w:r>
        <w:rPr>
          <w:rFonts w:cs="Times New Roman"/>
        </w:rPr>
        <w:t>19</w:t>
      </w:r>
      <w:r>
        <w:rPr>
          <w:rFonts w:hAnsi="宋体" w:cs="Times New Roman"/>
        </w:rPr>
        <w:t>卷第</w:t>
      </w:r>
      <w:r>
        <w:rPr>
          <w:rFonts w:cs="Times New Roman"/>
        </w:rPr>
        <w:t>337</w:t>
      </w:r>
      <w:r>
        <w:rPr>
          <w:rFonts w:hAnsi="宋体" w:cs="Times New Roman"/>
        </w:rPr>
        <w:t>节）的规定，如果任何进口贸易中存在侵犯知识产权或其他不正当竞争的行为，美国国际贸易委员会（</w:t>
      </w:r>
      <w:r>
        <w:rPr>
          <w:rFonts w:cs="Times New Roman"/>
        </w:rPr>
        <w:t>ITC</w:t>
      </w:r>
      <w:r>
        <w:rPr>
          <w:rFonts w:hAnsi="宋体" w:cs="Times New Roman"/>
        </w:rPr>
        <w:t>）都可以进行行政调查。如果</w:t>
      </w:r>
      <w:r>
        <w:rPr>
          <w:rFonts w:cs="Times New Roman"/>
        </w:rPr>
        <w:t>ITC</w:t>
      </w:r>
      <w:r>
        <w:rPr>
          <w:rFonts w:hAnsi="宋体" w:cs="Times New Roman"/>
        </w:rPr>
        <w:t>认定某项进口产品侵犯了美国国内知识产权，或虽未侵犯知识产权但其效果却破坏或实质上损害美国某一产业，或阻碍该产业的建立，或对美国商业或贸易造成限制或垄断，则</w:t>
      </w:r>
      <w:r>
        <w:rPr>
          <w:rFonts w:cs="Times New Roman"/>
        </w:rPr>
        <w:t>ITC</w:t>
      </w:r>
      <w:r>
        <w:rPr>
          <w:rFonts w:hAnsi="宋体" w:cs="Times New Roman"/>
        </w:rPr>
        <w:t>有权采取制裁措施。</w:t>
      </w:r>
    </w:p>
    <w:p>
      <w:pPr>
        <w:ind w:firstLine="482"/>
        <w:rPr>
          <w:rFonts w:cs="Times New Roman"/>
          <w:b/>
          <w:bCs/>
        </w:rPr>
      </w:pPr>
      <w:r>
        <w:rPr>
          <w:rFonts w:hint="eastAsia" w:cs="Times New Roman"/>
          <w:b/>
          <w:bCs/>
        </w:rPr>
        <w:t>一、</w:t>
      </w:r>
      <w:r>
        <w:rPr>
          <w:rFonts w:cs="Times New Roman"/>
          <w:b/>
          <w:bCs/>
        </w:rPr>
        <w:t>“337</w:t>
      </w:r>
      <w:r>
        <w:rPr>
          <w:rFonts w:hAnsi="宋体" w:cs="Times New Roman"/>
          <w:b/>
          <w:bCs/>
        </w:rPr>
        <w:t>调查</w:t>
      </w:r>
      <w:r>
        <w:rPr>
          <w:rFonts w:cs="Times New Roman"/>
          <w:b/>
          <w:bCs/>
        </w:rPr>
        <w:t>”</w:t>
      </w:r>
      <w:r>
        <w:rPr>
          <w:rFonts w:hAnsi="宋体" w:cs="Times New Roman"/>
          <w:b/>
          <w:bCs/>
        </w:rPr>
        <w:t>的主要特点</w:t>
      </w:r>
    </w:p>
    <w:p>
      <w:pPr>
        <w:ind w:firstLine="480"/>
        <w:rPr>
          <w:rFonts w:cs="Times New Roman"/>
        </w:rPr>
      </w:pPr>
      <w:r>
        <w:rPr>
          <w:rFonts w:hint="eastAsia" w:cs="Times New Roman"/>
        </w:rPr>
        <w:t>（</w:t>
      </w:r>
      <w:r>
        <w:rPr>
          <w:rFonts w:cs="Times New Roman"/>
        </w:rPr>
        <w:t>1</w:t>
      </w:r>
      <w:r>
        <w:rPr>
          <w:rFonts w:hAnsi="宋体" w:cs="Times New Roman"/>
        </w:rPr>
        <w:t>）立案容易，发起</w:t>
      </w:r>
      <w:r>
        <w:rPr>
          <w:rFonts w:cs="Times New Roman"/>
        </w:rPr>
        <w:t>“337</w:t>
      </w:r>
      <w:r>
        <w:rPr>
          <w:rFonts w:hAnsi="宋体" w:cs="Times New Roman"/>
        </w:rPr>
        <w:t>调查</w:t>
      </w:r>
      <w:r>
        <w:rPr>
          <w:rFonts w:cs="Times New Roman"/>
        </w:rPr>
        <w:t>”</w:t>
      </w:r>
      <w:r>
        <w:rPr>
          <w:rFonts w:hAnsi="宋体" w:cs="Times New Roman"/>
        </w:rPr>
        <w:t>的申请人只需证明在美国存在与申请人主张的知识产权相关的产业，不需证明有损害；</w:t>
      </w:r>
    </w:p>
    <w:p>
      <w:pPr>
        <w:ind w:firstLine="480"/>
        <w:rPr>
          <w:rFonts w:cs="Times New Roman"/>
        </w:rPr>
      </w:pPr>
      <w:r>
        <w:rPr>
          <w:rFonts w:hint="eastAsia" w:cs="Times New Roman"/>
        </w:rPr>
        <w:t>（2）</w:t>
      </w:r>
      <w:r>
        <w:rPr>
          <w:rFonts w:hAnsi="宋体" w:cs="Times New Roman"/>
        </w:rPr>
        <w:t>处罚严厉，一旦被认定侵权，非但被申请人的相关产品，其他同类的产品也有可能被禁止进入美国；</w:t>
      </w:r>
    </w:p>
    <w:p>
      <w:pPr>
        <w:ind w:firstLine="480"/>
        <w:rPr>
          <w:rFonts w:hAnsi="宋体" w:cs="Times New Roman"/>
        </w:rPr>
      </w:pPr>
      <w:r>
        <w:rPr>
          <w:rFonts w:hint="eastAsia" w:cs="Times New Roman"/>
        </w:rPr>
        <w:t>（3）</w:t>
      </w:r>
      <w:r>
        <w:rPr>
          <w:rFonts w:hAnsi="宋体" w:cs="Times New Roman"/>
        </w:rPr>
        <w:t>周期短，大多数情况下，</w:t>
      </w:r>
      <w:r>
        <w:rPr>
          <w:rFonts w:cs="Times New Roman"/>
        </w:rPr>
        <w:t>ITC</w:t>
      </w:r>
      <w:r>
        <w:rPr>
          <w:rFonts w:hAnsi="宋体" w:cs="Times New Roman"/>
        </w:rPr>
        <w:t>的调查期限为</w:t>
      </w:r>
      <w:r>
        <w:rPr>
          <w:rFonts w:cs="Times New Roman"/>
        </w:rPr>
        <w:t>12-16</w:t>
      </w:r>
      <w:r>
        <w:rPr>
          <w:rFonts w:hAnsi="宋体" w:cs="Times New Roman"/>
        </w:rPr>
        <w:t>个月，复杂案件可能会延长至</w:t>
      </w:r>
      <w:r>
        <w:rPr>
          <w:rFonts w:cs="Times New Roman"/>
        </w:rPr>
        <w:t>18</w:t>
      </w:r>
      <w:r>
        <w:rPr>
          <w:rFonts w:hAnsi="宋体" w:cs="Times New Roman"/>
        </w:rPr>
        <w:t>个月（而联邦地区法院的专利诉讼案件审理周期长达两年甚至更长）。</w:t>
      </w:r>
    </w:p>
    <w:p>
      <w:pPr>
        <w:ind w:firstLine="482"/>
        <w:rPr>
          <w:rFonts w:cs="Times New Roman"/>
          <w:b/>
          <w:bCs/>
        </w:rPr>
      </w:pPr>
      <w:r>
        <w:rPr>
          <w:rFonts w:hint="eastAsia" w:cs="Times New Roman"/>
          <w:b/>
          <w:bCs/>
        </w:rPr>
        <w:t>二、</w:t>
      </w:r>
      <w:r>
        <w:rPr>
          <w:rFonts w:cs="Times New Roman"/>
          <w:b/>
          <w:bCs/>
        </w:rPr>
        <w:t>“337</w:t>
      </w:r>
      <w:r>
        <w:rPr>
          <w:rFonts w:hAnsi="宋体" w:cs="Times New Roman"/>
          <w:b/>
          <w:bCs/>
        </w:rPr>
        <w:t>调查</w:t>
      </w:r>
      <w:r>
        <w:rPr>
          <w:rFonts w:cs="Times New Roman"/>
          <w:b/>
          <w:bCs/>
        </w:rPr>
        <w:t>”</w:t>
      </w:r>
      <w:r>
        <w:rPr>
          <w:rFonts w:hAnsi="宋体" w:cs="Times New Roman"/>
          <w:b/>
          <w:bCs/>
        </w:rPr>
        <w:t>可能的处罚结果</w:t>
      </w:r>
    </w:p>
    <w:p>
      <w:pPr>
        <w:ind w:firstLine="480"/>
        <w:rPr>
          <w:rFonts w:cs="Times New Roman"/>
          <w:color w:val="006CDF"/>
          <w:kern w:val="0"/>
        </w:rPr>
      </w:pPr>
      <w:r>
        <w:rPr>
          <w:rFonts w:hint="eastAsia" w:cs="Times New Roman"/>
        </w:rPr>
        <w:t>（1）</w:t>
      </w:r>
      <w:r>
        <w:rPr>
          <w:rFonts w:hAnsi="宋体" w:cs="Times New Roman"/>
        </w:rPr>
        <w:t>普遍排除令</w:t>
      </w:r>
      <w:r>
        <w:rPr>
          <w:rFonts w:cs="Times New Roman"/>
        </w:rPr>
        <w:t>:</w:t>
      </w:r>
      <w:r>
        <w:rPr>
          <w:rFonts w:hAnsi="宋体" w:cs="Times New Roman"/>
        </w:rPr>
        <w:t>不仅针对被申请人的产品，还禁止所有同类侵权产品进入美国市场；</w:t>
      </w:r>
    </w:p>
    <w:p>
      <w:pPr>
        <w:ind w:firstLine="480"/>
        <w:rPr>
          <w:rFonts w:cs="Times New Roman"/>
        </w:rPr>
      </w:pPr>
      <w:r>
        <w:rPr>
          <w:rFonts w:hint="eastAsia" w:cs="Times New Roman"/>
        </w:rPr>
        <w:t>（2）</w:t>
      </w:r>
      <w:r>
        <w:rPr>
          <w:rFonts w:hAnsi="宋体" w:cs="Times New Roman"/>
        </w:rPr>
        <w:t>有限排除令</w:t>
      </w:r>
      <w:r>
        <w:rPr>
          <w:rFonts w:cs="Times New Roman"/>
        </w:rPr>
        <w:t>:</w:t>
      </w:r>
      <w:r>
        <w:rPr>
          <w:rFonts w:hAnsi="宋体" w:cs="Times New Roman"/>
        </w:rPr>
        <w:t>禁止被申请人的侵权产品进入美国，可适用于被申请人现在和今后生产的、存在侵权行为的所有类型的产品，效力可扩大到包含侵权物品的上游零部件产品，以及下游或下级产品；</w:t>
      </w:r>
    </w:p>
    <w:p>
      <w:pPr>
        <w:ind w:firstLine="480"/>
        <w:rPr>
          <w:rFonts w:cs="Times New Roman"/>
          <w:color w:val="006CDF"/>
          <w:kern w:val="0"/>
        </w:rPr>
      </w:pPr>
      <w:r>
        <w:rPr>
          <w:rFonts w:hint="eastAsia" w:cs="Times New Roman"/>
        </w:rPr>
        <w:t>（3）</w:t>
      </w:r>
      <w:r>
        <w:rPr>
          <w:rFonts w:hAnsi="宋体" w:cs="Times New Roman"/>
        </w:rPr>
        <w:t>禁止令</w:t>
      </w:r>
      <w:r>
        <w:rPr>
          <w:rFonts w:cs="Times New Roman"/>
        </w:rPr>
        <w:t>:</w:t>
      </w:r>
      <w:r>
        <w:rPr>
          <w:rFonts w:hAnsi="宋体" w:cs="Times New Roman"/>
        </w:rPr>
        <w:t>禁止令是为了禁止继续销售、库存、宣传、广告等已经进口到美国的侵权产品</w:t>
      </w:r>
      <w:r>
        <w:rPr>
          <w:rFonts w:cs="Times New Roman"/>
        </w:rPr>
        <w:t>;</w:t>
      </w:r>
    </w:p>
    <w:p>
      <w:pPr>
        <w:ind w:firstLine="480"/>
        <w:rPr>
          <w:rFonts w:cs="Times New Roman"/>
          <w:color w:val="006CDF"/>
          <w:kern w:val="0"/>
        </w:rPr>
      </w:pPr>
      <w:r>
        <w:rPr>
          <w:rFonts w:hint="eastAsia" w:cs="Times New Roman"/>
        </w:rPr>
        <w:t>（4）</w:t>
      </w:r>
      <w:r>
        <w:rPr>
          <w:rFonts w:hAnsi="宋体" w:cs="Times New Roman"/>
        </w:rPr>
        <w:t>扣押和没收令</w:t>
      </w:r>
      <w:r>
        <w:rPr>
          <w:rFonts w:cs="Times New Roman"/>
        </w:rPr>
        <w:t>:</w:t>
      </w:r>
      <w:r>
        <w:rPr>
          <w:rFonts w:hAnsi="宋体" w:cs="Times New Roman"/>
        </w:rPr>
        <w:t>如果</w:t>
      </w:r>
      <w:r>
        <w:rPr>
          <w:rFonts w:cs="Times New Roman"/>
        </w:rPr>
        <w:t>ITC</w:t>
      </w:r>
      <w:r>
        <w:rPr>
          <w:rFonts w:hAnsi="宋体" w:cs="Times New Roman"/>
        </w:rPr>
        <w:t>曾就某一产品签发过排除令，而有关企业试图再次将其出口到美国市场，</w:t>
      </w:r>
      <w:r>
        <w:rPr>
          <w:rFonts w:cs="Times New Roman"/>
        </w:rPr>
        <w:t>ITC</w:t>
      </w:r>
      <w:r>
        <w:rPr>
          <w:rFonts w:hAnsi="宋体" w:cs="Times New Roman"/>
        </w:rPr>
        <w:t>可以签发扣押和没收令</w:t>
      </w:r>
      <w:r>
        <w:rPr>
          <w:rFonts w:cs="Times New Roman"/>
        </w:rPr>
        <w:t>;</w:t>
      </w:r>
    </w:p>
    <w:p>
      <w:pPr>
        <w:ind w:firstLine="480"/>
        <w:rPr>
          <w:rFonts w:hAnsi="宋体" w:cs="Times New Roman"/>
        </w:rPr>
      </w:pPr>
      <w:r>
        <w:rPr>
          <w:rFonts w:hint="eastAsia" w:cs="Times New Roman"/>
          <w:kern w:val="0"/>
        </w:rPr>
        <w:t>（5）</w:t>
      </w:r>
      <w:r>
        <w:rPr>
          <w:rFonts w:hAnsi="宋体" w:cs="Times New Roman"/>
        </w:rPr>
        <w:t>罚款</w:t>
      </w:r>
      <w:r>
        <w:rPr>
          <w:rFonts w:cs="Times New Roman"/>
        </w:rPr>
        <w:t>:</w:t>
      </w:r>
      <w:r>
        <w:rPr>
          <w:rFonts w:hAnsi="宋体" w:cs="Times New Roman"/>
        </w:rPr>
        <w:t>在签发排除令和禁止令后，有关当事人如果违反</w:t>
      </w:r>
      <w:r>
        <w:rPr>
          <w:rFonts w:cs="Times New Roman"/>
        </w:rPr>
        <w:t>ITC</w:t>
      </w:r>
      <w:r>
        <w:rPr>
          <w:rFonts w:hAnsi="宋体" w:cs="Times New Roman"/>
        </w:rPr>
        <w:t>的命令，将面临</w:t>
      </w:r>
      <w:r>
        <w:rPr>
          <w:rFonts w:cs="Times New Roman"/>
        </w:rPr>
        <w:t>10</w:t>
      </w:r>
      <w:r>
        <w:rPr>
          <w:rFonts w:hAnsi="宋体" w:cs="Times New Roman"/>
        </w:rPr>
        <w:t>万美元</w:t>
      </w:r>
      <w:r>
        <w:rPr>
          <w:rFonts w:cs="Times New Roman"/>
        </w:rPr>
        <w:t>/</w:t>
      </w:r>
      <w:r>
        <w:rPr>
          <w:rFonts w:hAnsi="宋体" w:cs="Times New Roman"/>
        </w:rPr>
        <w:t>日的罚款或相当于其每日违令输入美国产品的美国国内价值</w:t>
      </w:r>
      <w:r>
        <w:rPr>
          <w:rFonts w:cs="Times New Roman"/>
        </w:rPr>
        <w:t>2</w:t>
      </w:r>
      <w:r>
        <w:rPr>
          <w:rFonts w:hAnsi="宋体" w:cs="Times New Roman"/>
        </w:rPr>
        <w:t>倍的民事处罚，两者中取高者。</w:t>
      </w:r>
    </w:p>
    <w:p>
      <w:pPr>
        <w:ind w:firstLine="482"/>
        <w:rPr>
          <w:rFonts w:cs="Times New Roman"/>
          <w:b/>
          <w:bCs/>
        </w:rPr>
      </w:pPr>
      <w:r>
        <w:rPr>
          <w:rFonts w:hint="eastAsia" w:cs="Times New Roman"/>
          <w:b/>
          <w:bCs/>
        </w:rPr>
        <w:t>三、</w:t>
      </w:r>
      <w:r>
        <w:rPr>
          <w:rFonts w:cs="Times New Roman"/>
          <w:b/>
          <w:bCs/>
        </w:rPr>
        <w:t>“337</w:t>
      </w:r>
      <w:r>
        <w:rPr>
          <w:rFonts w:hAnsi="宋体" w:cs="Times New Roman"/>
          <w:b/>
          <w:bCs/>
        </w:rPr>
        <w:t>调查</w:t>
      </w:r>
      <w:r>
        <w:rPr>
          <w:rFonts w:cs="Times New Roman"/>
          <w:b/>
          <w:bCs/>
        </w:rPr>
        <w:t>”</w:t>
      </w:r>
      <w:r>
        <w:rPr>
          <w:rFonts w:hAnsi="宋体" w:cs="Times New Roman"/>
          <w:b/>
          <w:bCs/>
        </w:rPr>
        <w:t>程序</w:t>
      </w:r>
    </w:p>
    <w:p>
      <w:pPr>
        <w:ind w:firstLine="480"/>
        <w:rPr>
          <w:rFonts w:cs="Times New Roman"/>
          <w:b/>
          <w:bCs/>
        </w:rPr>
      </w:pPr>
      <w:r>
        <w:rPr>
          <w:rFonts w:cs="Times New Roman"/>
        </w:rPr>
        <w:t>“337</w:t>
      </w:r>
      <w:r>
        <w:rPr>
          <w:rFonts w:hAnsi="宋体" w:cs="Times New Roman"/>
        </w:rPr>
        <w:t>调查</w:t>
      </w:r>
      <w:r>
        <w:rPr>
          <w:rFonts w:cs="Times New Roman"/>
        </w:rPr>
        <w:t>”</w:t>
      </w:r>
      <w:r>
        <w:rPr>
          <w:rFonts w:hAnsi="宋体" w:cs="Times New Roman"/>
        </w:rPr>
        <w:t>时间程序表如下图</w:t>
      </w:r>
      <w:r>
        <w:rPr>
          <w:rFonts w:cs="Times New Roman"/>
        </w:rPr>
        <w:t>5.1-1</w:t>
      </w:r>
      <w:r>
        <w:rPr>
          <w:rFonts w:hAnsi="宋体" w:cs="Times New Roman"/>
        </w:rPr>
        <w:t>所示。</w:t>
      </w:r>
    </w:p>
    <w:p>
      <w:pPr>
        <w:ind w:firstLine="0" w:firstLineChars="0"/>
        <w:jc w:val="center"/>
        <w:rPr>
          <w:rFonts w:cs="Times New Roman"/>
        </w:rPr>
      </w:pPr>
      <w:r>
        <w:rPr>
          <w:rFonts w:cs="Times New Roman"/>
        </w:rPr>
        <w:drawing>
          <wp:inline distT="0" distB="0" distL="0" distR="0">
            <wp:extent cx="5274310" cy="6176010"/>
            <wp:effectExtent l="0" t="0" r="8890" b="8890"/>
            <wp:docPr id="23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49"/>
                    <pic:cNvPicPr>
                      <a:picLocks noChangeAspect="1" noChangeArrowheads="1"/>
                    </pic:cNvPicPr>
                  </pic:nvPicPr>
                  <pic:blipFill>
                    <a:blip r:embed="rId34"/>
                    <a:srcRect/>
                    <a:stretch>
                      <a:fillRect/>
                    </a:stretch>
                  </pic:blipFill>
                  <pic:spPr>
                    <a:xfrm>
                      <a:off x="0" y="0"/>
                      <a:ext cx="5274310" cy="6176278"/>
                    </a:xfrm>
                    <a:prstGeom prst="rect">
                      <a:avLst/>
                    </a:prstGeom>
                    <a:noFill/>
                    <a:ln w="9525">
                      <a:noFill/>
                      <a:miter lim="800000"/>
                      <a:headEnd/>
                      <a:tailEnd/>
                    </a:ln>
                  </pic:spPr>
                </pic:pic>
              </a:graphicData>
            </a:graphic>
          </wp:inline>
        </w:drawing>
      </w:r>
    </w:p>
    <w:p>
      <w:pPr>
        <w:ind w:firstLine="482"/>
        <w:jc w:val="center"/>
        <w:rPr>
          <w:rFonts w:cs="Times New Roman"/>
          <w:b/>
          <w:bCs/>
        </w:rPr>
      </w:pPr>
      <w:r>
        <w:rPr>
          <w:rFonts w:hAnsi="宋体" w:cs="Times New Roman"/>
          <w:b/>
          <w:bCs/>
        </w:rPr>
        <w:t>图</w:t>
      </w:r>
      <w:r>
        <w:rPr>
          <w:rFonts w:cs="Times New Roman"/>
          <w:b/>
          <w:bCs/>
        </w:rPr>
        <w:t>4.1-1 “337</w:t>
      </w:r>
      <w:r>
        <w:rPr>
          <w:rFonts w:hAnsi="宋体" w:cs="Times New Roman"/>
          <w:b/>
          <w:bCs/>
        </w:rPr>
        <w:t>调查</w:t>
      </w:r>
      <w:r>
        <w:rPr>
          <w:rFonts w:cs="Times New Roman"/>
          <w:b/>
          <w:bCs/>
        </w:rPr>
        <w:t>”</w:t>
      </w:r>
      <w:r>
        <w:rPr>
          <w:rFonts w:hAnsi="宋体" w:cs="Times New Roman"/>
          <w:b/>
          <w:bCs/>
        </w:rPr>
        <w:t>时间程序表</w:t>
      </w:r>
    </w:p>
    <w:p>
      <w:pPr>
        <w:ind w:firstLine="482"/>
        <w:rPr>
          <w:rFonts w:cs="Times New Roman"/>
          <w:b/>
          <w:bCs/>
        </w:rPr>
      </w:pPr>
      <w:r>
        <w:rPr>
          <w:rFonts w:hint="eastAsia" w:cs="Times New Roman"/>
          <w:b/>
          <w:bCs/>
        </w:rPr>
        <w:t>四、</w:t>
      </w:r>
      <w:r>
        <w:rPr>
          <w:rFonts w:cs="Times New Roman"/>
          <w:b/>
          <w:bCs/>
        </w:rPr>
        <w:t>“337</w:t>
      </w:r>
      <w:r>
        <w:rPr>
          <w:rFonts w:hAnsi="宋体" w:cs="Times New Roman"/>
          <w:b/>
          <w:bCs/>
        </w:rPr>
        <w:t>调查</w:t>
      </w:r>
      <w:r>
        <w:rPr>
          <w:rFonts w:cs="Times New Roman"/>
          <w:b/>
          <w:bCs/>
        </w:rPr>
        <w:t>”</w:t>
      </w:r>
      <w:r>
        <w:rPr>
          <w:rFonts w:hAnsi="宋体" w:cs="Times New Roman"/>
          <w:b/>
          <w:bCs/>
        </w:rPr>
        <w:t>的应对策略：</w:t>
      </w:r>
    </w:p>
    <w:p>
      <w:pPr>
        <w:ind w:firstLine="482"/>
        <w:rPr>
          <w:rFonts w:cs="Times New Roman"/>
          <w:b/>
          <w:bCs/>
        </w:rPr>
      </w:pPr>
      <w:r>
        <w:rPr>
          <w:rFonts w:hAnsi="宋体" w:cs="Times New Roman"/>
          <w:b/>
          <w:bCs/>
        </w:rPr>
        <w:t>事前：</w:t>
      </w:r>
    </w:p>
    <w:p>
      <w:pPr>
        <w:ind w:firstLine="480"/>
        <w:rPr>
          <w:rFonts w:cs="Times New Roman"/>
        </w:rPr>
      </w:pPr>
      <w:r>
        <w:rPr>
          <w:rFonts w:hAnsi="宋体" w:cs="Times New Roman"/>
        </w:rPr>
        <w:t>（</w:t>
      </w:r>
      <w:r>
        <w:rPr>
          <w:rFonts w:cs="Times New Roman"/>
        </w:rPr>
        <w:t>1</w:t>
      </w:r>
      <w:r>
        <w:rPr>
          <w:rFonts w:hAnsi="宋体" w:cs="Times New Roman"/>
        </w:rPr>
        <w:t>）针对可能的侵权，及时对产品进行规避设计；</w:t>
      </w:r>
    </w:p>
    <w:p>
      <w:pPr>
        <w:ind w:firstLine="480"/>
        <w:rPr>
          <w:rFonts w:cs="Times New Roman"/>
        </w:rPr>
      </w:pPr>
      <w:r>
        <w:rPr>
          <w:rFonts w:hAnsi="宋体" w:cs="Times New Roman"/>
        </w:rPr>
        <w:t>（</w:t>
      </w:r>
      <w:r>
        <w:rPr>
          <w:rFonts w:cs="Times New Roman"/>
        </w:rPr>
        <w:t>2</w:t>
      </w:r>
      <w:r>
        <w:rPr>
          <w:rFonts w:hAnsi="宋体" w:cs="Times New Roman"/>
        </w:rPr>
        <w:t>）对于无法规避而又必须使用的核心专利技术（如液晶膜），可以积极准备谈判，探索采取支付许可费、购买专利或合资、合作等措施的可行性，尽量避免因</w:t>
      </w:r>
      <w:r>
        <w:rPr>
          <w:rFonts w:cs="Times New Roman"/>
        </w:rPr>
        <w:t>“337</w:t>
      </w:r>
      <w:r>
        <w:rPr>
          <w:rFonts w:hAnsi="宋体" w:cs="Times New Roman"/>
        </w:rPr>
        <w:t>调查</w:t>
      </w:r>
      <w:r>
        <w:rPr>
          <w:rFonts w:cs="Times New Roman"/>
        </w:rPr>
        <w:t>”</w:t>
      </w:r>
      <w:r>
        <w:rPr>
          <w:rFonts w:hAnsi="宋体" w:cs="Times New Roman"/>
        </w:rPr>
        <w:t>而失去美国市场；</w:t>
      </w:r>
    </w:p>
    <w:p>
      <w:pPr>
        <w:ind w:firstLine="480"/>
        <w:rPr>
          <w:rFonts w:cs="Times New Roman"/>
        </w:rPr>
      </w:pPr>
      <w:r>
        <w:rPr>
          <w:rFonts w:hAnsi="宋体" w:cs="Times New Roman"/>
        </w:rPr>
        <w:t>（</w:t>
      </w:r>
      <w:r>
        <w:rPr>
          <w:rFonts w:cs="Times New Roman"/>
        </w:rPr>
        <w:t>3</w:t>
      </w:r>
      <w:r>
        <w:rPr>
          <w:rFonts w:hAnsi="宋体" w:cs="Times New Roman"/>
        </w:rPr>
        <w:t>）尝试主动在美进行合理知识产权布局，拥有一定数量的美国专利权，对申请人也是一种对抗和威慑，同时设计可能的替代方案，减少侵权可能性；</w:t>
      </w:r>
    </w:p>
    <w:p>
      <w:pPr>
        <w:ind w:firstLine="480"/>
        <w:rPr>
          <w:rFonts w:cs="Times New Roman"/>
        </w:rPr>
      </w:pPr>
      <w:r>
        <w:rPr>
          <w:rFonts w:hAnsi="宋体" w:cs="Times New Roman"/>
        </w:rPr>
        <w:t>（</w:t>
      </w:r>
      <w:r>
        <w:rPr>
          <w:rFonts w:cs="Times New Roman"/>
        </w:rPr>
        <w:t>4</w:t>
      </w:r>
      <w:r>
        <w:rPr>
          <w:rFonts w:hAnsi="宋体" w:cs="Times New Roman"/>
        </w:rPr>
        <w:t>）委托律师出具出口产品不构成知识产权侵权的法律意见书，避免在</w:t>
      </w:r>
      <w:r>
        <w:rPr>
          <w:rFonts w:cs="Times New Roman"/>
        </w:rPr>
        <w:t>“337</w:t>
      </w:r>
      <w:r>
        <w:rPr>
          <w:rFonts w:hAnsi="宋体" w:cs="Times New Roman"/>
        </w:rPr>
        <w:t>调查</w:t>
      </w:r>
      <w:r>
        <w:rPr>
          <w:rFonts w:cs="Times New Roman"/>
        </w:rPr>
        <w:t>”</w:t>
      </w:r>
      <w:r>
        <w:rPr>
          <w:rFonts w:hAnsi="宋体" w:cs="Times New Roman"/>
        </w:rPr>
        <w:t>中被判故意侵权，并承担</w:t>
      </w:r>
      <w:r>
        <w:rPr>
          <w:rFonts w:cs="Times New Roman"/>
        </w:rPr>
        <w:t>3</w:t>
      </w:r>
      <w:r>
        <w:rPr>
          <w:rFonts w:hAnsi="宋体" w:cs="Times New Roman"/>
        </w:rPr>
        <w:t>倍赔偿金的处罚。</w:t>
      </w:r>
    </w:p>
    <w:p>
      <w:pPr>
        <w:ind w:firstLine="482"/>
        <w:rPr>
          <w:rFonts w:cs="Times New Roman"/>
        </w:rPr>
      </w:pPr>
      <w:r>
        <w:rPr>
          <w:rFonts w:hAnsi="宋体" w:cs="Times New Roman"/>
          <w:b/>
          <w:bCs/>
        </w:rPr>
        <w:t>事中：</w:t>
      </w:r>
    </w:p>
    <w:p>
      <w:pPr>
        <w:ind w:firstLine="480"/>
        <w:rPr>
          <w:rFonts w:cs="Times New Roman"/>
        </w:rPr>
      </w:pPr>
      <w:r>
        <w:rPr>
          <w:rFonts w:hAnsi="宋体" w:cs="Times New Roman"/>
        </w:rPr>
        <w:t>若发生</w:t>
      </w:r>
      <w:r>
        <w:rPr>
          <w:rFonts w:cs="Times New Roman"/>
        </w:rPr>
        <w:t>337</w:t>
      </w:r>
      <w:r>
        <w:rPr>
          <w:rFonts w:hAnsi="宋体" w:cs="Times New Roman"/>
        </w:rPr>
        <w:t>调查，可以采取如下措施加以应对：</w:t>
      </w:r>
    </w:p>
    <w:p>
      <w:pPr>
        <w:ind w:firstLine="480"/>
        <w:rPr>
          <w:rFonts w:cs="Times New Roman"/>
        </w:rPr>
      </w:pPr>
      <w:r>
        <w:rPr>
          <w:rFonts w:hAnsi="宋体" w:cs="Times New Roman"/>
        </w:rPr>
        <w:t>（</w:t>
      </w:r>
      <w:r>
        <w:rPr>
          <w:rFonts w:cs="Times New Roman"/>
        </w:rPr>
        <w:t>1</w:t>
      </w:r>
      <w:r>
        <w:rPr>
          <w:rFonts w:hAnsi="宋体" w:cs="Times New Roman"/>
        </w:rPr>
        <w:t>）权衡是否应诉：</w:t>
      </w:r>
      <w:r>
        <w:rPr>
          <w:rFonts w:cs="Times New Roman"/>
        </w:rPr>
        <w:t>“337</w:t>
      </w:r>
      <w:r>
        <w:rPr>
          <w:rFonts w:hAnsi="宋体" w:cs="Times New Roman"/>
        </w:rPr>
        <w:t>调查</w:t>
      </w:r>
      <w:r>
        <w:rPr>
          <w:rFonts w:cs="Times New Roman"/>
        </w:rPr>
        <w:t>”</w:t>
      </w:r>
      <w:r>
        <w:rPr>
          <w:rFonts w:hAnsi="宋体" w:cs="Times New Roman"/>
        </w:rPr>
        <w:t>的应诉费用根据情况不同通常为几万至上百万美元不等，企业要从成本收益的角度考虑应诉是否值得；</w:t>
      </w:r>
    </w:p>
    <w:p>
      <w:pPr>
        <w:ind w:firstLine="480"/>
        <w:rPr>
          <w:rFonts w:cs="Times New Roman"/>
        </w:rPr>
      </w:pPr>
      <w:r>
        <w:rPr>
          <w:rFonts w:hAnsi="宋体" w:cs="Times New Roman"/>
        </w:rPr>
        <w:t>（</w:t>
      </w:r>
      <w:r>
        <w:rPr>
          <w:rFonts w:cs="Times New Roman"/>
        </w:rPr>
        <w:t>2</w:t>
      </w:r>
      <w:r>
        <w:rPr>
          <w:rFonts w:hAnsi="宋体" w:cs="Times New Roman"/>
        </w:rPr>
        <w:t>）应诉团队：企业决定应诉</w:t>
      </w:r>
      <w:r>
        <w:rPr>
          <w:rFonts w:cs="Times New Roman"/>
        </w:rPr>
        <w:t>“337</w:t>
      </w:r>
      <w:r>
        <w:rPr>
          <w:rFonts w:hAnsi="宋体" w:cs="Times New Roman"/>
        </w:rPr>
        <w:t>调查</w:t>
      </w:r>
      <w:r>
        <w:rPr>
          <w:rFonts w:cs="Times New Roman"/>
        </w:rPr>
        <w:t>”</w:t>
      </w:r>
      <w:r>
        <w:rPr>
          <w:rFonts w:hAnsi="宋体" w:cs="Times New Roman"/>
        </w:rPr>
        <w:t>后，应立即着手组建应诉团队，包括内部团队与律师团队，企业内部团队：领导人员</w:t>
      </w:r>
      <w:r>
        <w:rPr>
          <w:rFonts w:cs="Times New Roman"/>
        </w:rPr>
        <w:t>+</w:t>
      </w:r>
      <w:r>
        <w:rPr>
          <w:rFonts w:hAnsi="宋体" w:cs="Times New Roman"/>
        </w:rPr>
        <w:t>技术人员</w:t>
      </w:r>
      <w:r>
        <w:rPr>
          <w:rFonts w:cs="Times New Roman"/>
        </w:rPr>
        <w:t>+</w:t>
      </w:r>
      <w:r>
        <w:rPr>
          <w:rFonts w:hAnsi="宋体" w:cs="Times New Roman"/>
        </w:rPr>
        <w:t>市场人员</w:t>
      </w:r>
      <w:r>
        <w:rPr>
          <w:rFonts w:cs="Times New Roman"/>
        </w:rPr>
        <w:t>+</w:t>
      </w:r>
      <w:r>
        <w:rPr>
          <w:rFonts w:hAnsi="宋体" w:cs="Times New Roman"/>
        </w:rPr>
        <w:t>行政人员，律师团队：中美关于知识产权保护的立法规定存在差异，聘请既懂得</w:t>
      </w:r>
      <w:r>
        <w:rPr>
          <w:rFonts w:cs="Times New Roman"/>
        </w:rPr>
        <w:t>“337</w:t>
      </w:r>
      <w:r>
        <w:rPr>
          <w:rFonts w:hAnsi="宋体" w:cs="Times New Roman"/>
        </w:rPr>
        <w:t>调查</w:t>
      </w:r>
      <w:r>
        <w:rPr>
          <w:rFonts w:cs="Times New Roman"/>
        </w:rPr>
        <w:t>”</w:t>
      </w:r>
      <w:r>
        <w:rPr>
          <w:rFonts w:hAnsi="宋体" w:cs="Times New Roman"/>
        </w:rPr>
        <w:t>程序，又熟悉中美知识产权差异的专业律师代理企业参与案件应诉工作，可以帮助确定有效的应诉策略，全面保护企业的合法权益；</w:t>
      </w:r>
    </w:p>
    <w:p>
      <w:pPr>
        <w:ind w:firstLine="480"/>
        <w:rPr>
          <w:rFonts w:cs="Times New Roman"/>
        </w:rPr>
      </w:pPr>
      <w:r>
        <w:rPr>
          <w:rFonts w:hAnsi="宋体" w:cs="Times New Roman"/>
        </w:rPr>
        <w:t>（</w:t>
      </w:r>
      <w:r>
        <w:rPr>
          <w:rFonts w:cs="Times New Roman"/>
        </w:rPr>
        <w:t>3</w:t>
      </w:r>
      <w:r>
        <w:rPr>
          <w:rFonts w:hAnsi="宋体" w:cs="Times New Roman"/>
        </w:rPr>
        <w:t>）证据收集与保全过程：收集相关不侵权证据、现有技术证据等；</w:t>
      </w:r>
    </w:p>
    <w:p>
      <w:pPr>
        <w:ind w:firstLine="480"/>
        <w:rPr>
          <w:rFonts w:cs="Times New Roman"/>
        </w:rPr>
      </w:pPr>
      <w:r>
        <w:rPr>
          <w:rFonts w:hAnsi="宋体" w:cs="Times New Roman"/>
        </w:rPr>
        <w:t>（</w:t>
      </w:r>
      <w:r>
        <w:rPr>
          <w:rFonts w:cs="Times New Roman"/>
        </w:rPr>
        <w:t>4</w:t>
      </w:r>
      <w:r>
        <w:rPr>
          <w:rFonts w:hAnsi="宋体" w:cs="Times New Roman"/>
        </w:rPr>
        <w:t>）抗辩理由：被申请人一般可从涉案产品不侵权、对方专利无效、专利不可实施等三方面抗辩，其中专利不可实施是美国专利法中的特殊制度，被判定为不可实施的专利继续有效但不能实施，权利人无法据此专利行使权利，可以从授权过程中存在不正当行为或专利权的滥用角度证明相应的专利不具备可实施性；</w:t>
      </w:r>
    </w:p>
    <w:p>
      <w:pPr>
        <w:ind w:firstLine="480"/>
        <w:rPr>
          <w:rFonts w:cs="Times New Roman"/>
        </w:rPr>
      </w:pPr>
      <w:r>
        <w:rPr>
          <w:rFonts w:hAnsi="宋体" w:cs="Times New Roman"/>
        </w:rPr>
        <w:t>（</w:t>
      </w:r>
      <w:r>
        <w:rPr>
          <w:rFonts w:cs="Times New Roman"/>
        </w:rPr>
        <w:t>5</w:t>
      </w:r>
      <w:r>
        <w:rPr>
          <w:rFonts w:hAnsi="宋体" w:cs="Times New Roman"/>
        </w:rPr>
        <w:t>）联合应诉：多家涉案企业选择联合应诉，可以整合资源、共享信息、分担应诉工作，一定程度上分摊应诉费用，降低单个企业的应诉负担；</w:t>
      </w:r>
    </w:p>
    <w:p>
      <w:pPr>
        <w:ind w:firstLine="480"/>
        <w:rPr>
          <w:rFonts w:cs="Times New Roman"/>
        </w:rPr>
      </w:pPr>
      <w:r>
        <w:rPr>
          <w:rFonts w:hAnsi="宋体" w:cs="Times New Roman"/>
        </w:rPr>
        <w:t>（</w:t>
      </w:r>
      <w:r>
        <w:rPr>
          <w:rFonts w:cs="Times New Roman"/>
        </w:rPr>
        <w:t>6</w:t>
      </w:r>
      <w:r>
        <w:rPr>
          <w:rFonts w:hAnsi="宋体" w:cs="Times New Roman"/>
        </w:rPr>
        <w:t>）和解：双方当事人可以通过签订和解协议解决争议，终止</w:t>
      </w:r>
      <w:r>
        <w:rPr>
          <w:rFonts w:cs="Times New Roman"/>
        </w:rPr>
        <w:t>“337</w:t>
      </w:r>
      <w:r>
        <w:rPr>
          <w:rFonts w:hAnsi="宋体" w:cs="Times New Roman"/>
        </w:rPr>
        <w:t>调查</w:t>
      </w:r>
      <w:r>
        <w:rPr>
          <w:rFonts w:cs="Times New Roman"/>
        </w:rPr>
        <w:t>”</w:t>
      </w:r>
      <w:r>
        <w:rPr>
          <w:rFonts w:hAnsi="宋体" w:cs="Times New Roman"/>
        </w:rPr>
        <w:t>。和解协议一般可包括：被申请人停止进口或销售侵权产品；申请人放弃对被申请人的指控；允许被申请人在一定时间内处理库存的侵权产品；申请人授权被申请人使用专利或者进口涉案产品等。</w:t>
      </w:r>
    </w:p>
    <w:p>
      <w:pPr>
        <w:ind w:firstLine="480"/>
        <w:rPr>
          <w:rFonts w:cs="Times New Roman"/>
        </w:rPr>
      </w:pPr>
      <w:r>
        <w:rPr>
          <w:rFonts w:hAnsi="宋体" w:cs="Times New Roman"/>
        </w:rPr>
        <w:t>（</w:t>
      </w:r>
      <w:r>
        <w:rPr>
          <w:rFonts w:cs="Times New Roman"/>
        </w:rPr>
        <w:t>7</w:t>
      </w:r>
      <w:r>
        <w:rPr>
          <w:rFonts w:hAnsi="宋体" w:cs="Times New Roman"/>
        </w:rPr>
        <w:t>）规避设计，如果被申请人侵权可能性比较大，可以通过研究设计不同于涉案产品的新产品来规避申请人的专利权。在行政法官作出初裁和委员会作出终裁前，将规避设计后的产品提交其审阅，一旦获得</w:t>
      </w:r>
      <w:r>
        <w:rPr>
          <w:rFonts w:cs="Times New Roman"/>
        </w:rPr>
        <w:t>ITC</w:t>
      </w:r>
      <w:r>
        <w:rPr>
          <w:rFonts w:hAnsi="宋体" w:cs="Times New Roman"/>
        </w:rPr>
        <w:t>的认可，将不受</w:t>
      </w:r>
      <w:r>
        <w:rPr>
          <w:rFonts w:cs="Times New Roman"/>
        </w:rPr>
        <w:t>ITC</w:t>
      </w:r>
      <w:r>
        <w:rPr>
          <w:rFonts w:hAnsi="宋体" w:cs="Times New Roman"/>
        </w:rPr>
        <w:t>最终签发的排除令等救济措施的影响。</w:t>
      </w:r>
    </w:p>
    <w:p>
      <w:pPr>
        <w:ind w:firstLine="482"/>
        <w:rPr>
          <w:rFonts w:hAnsi="宋体" w:cs="Times New Roman"/>
          <w:b/>
          <w:bCs/>
        </w:rPr>
      </w:pPr>
      <w:r>
        <w:rPr>
          <w:rFonts w:hAnsi="宋体" w:cs="Times New Roman"/>
          <w:b/>
          <w:bCs/>
        </w:rPr>
        <w:t>事后</w:t>
      </w:r>
    </w:p>
    <w:p>
      <w:pPr>
        <w:ind w:firstLine="480"/>
        <w:rPr>
          <w:rFonts w:cs="Times New Roman"/>
        </w:rPr>
      </w:pPr>
      <w:r>
        <w:rPr>
          <w:rFonts w:hAnsi="宋体" w:cs="Times New Roman"/>
        </w:rPr>
        <w:t>如果经过分析，被申请人可能败诉，或是经过抗辩被认定侵权而败诉，应迅速采取相应措施以减少损失，可以采取如下措施：</w:t>
      </w:r>
    </w:p>
    <w:p>
      <w:pPr>
        <w:ind w:firstLine="480"/>
        <w:rPr>
          <w:rFonts w:cs="Times New Roman"/>
        </w:rPr>
      </w:pPr>
      <w:r>
        <w:rPr>
          <w:rFonts w:hAnsi="宋体" w:cs="Times New Roman"/>
        </w:rPr>
        <w:t>（</w:t>
      </w:r>
      <w:r>
        <w:rPr>
          <w:rFonts w:cs="Times New Roman"/>
        </w:rPr>
        <w:t>1</w:t>
      </w:r>
      <w:r>
        <w:rPr>
          <w:rFonts w:hAnsi="宋体" w:cs="Times New Roman"/>
        </w:rPr>
        <w:t>）规避设计：企业即使在应诉中错过了规避设计的最佳时机，也可以在签发排除令后，采取措施重新获得进口资格。</w:t>
      </w:r>
      <w:r>
        <w:rPr>
          <w:rFonts w:cs="Times New Roman"/>
        </w:rPr>
        <w:t>“337</w:t>
      </w:r>
      <w:r>
        <w:rPr>
          <w:rFonts w:hAnsi="宋体" w:cs="Times New Roman"/>
        </w:rPr>
        <w:t>调查</w:t>
      </w:r>
      <w:r>
        <w:rPr>
          <w:rFonts w:cs="Times New Roman"/>
        </w:rPr>
        <w:t>”</w:t>
      </w:r>
      <w:r>
        <w:rPr>
          <w:rFonts w:hAnsi="宋体" w:cs="Times New Roman"/>
        </w:rPr>
        <w:t>的排除令由美国海关执行，由其判断相关进口产品是否落入</w:t>
      </w:r>
      <w:r>
        <w:rPr>
          <w:rFonts w:cs="Times New Roman"/>
        </w:rPr>
        <w:t>ITC</w:t>
      </w:r>
      <w:r>
        <w:rPr>
          <w:rFonts w:hAnsi="宋体" w:cs="Times New Roman"/>
        </w:rPr>
        <w:t>裁决中的侵权产品范围。如果企业的产品被</w:t>
      </w:r>
      <w:r>
        <w:rPr>
          <w:rFonts w:cs="Times New Roman"/>
        </w:rPr>
        <w:t>ITC</w:t>
      </w:r>
      <w:r>
        <w:rPr>
          <w:rFonts w:hAnsi="宋体" w:cs="Times New Roman"/>
        </w:rPr>
        <w:t>签发了排除令，企业或其进口商可以就经过规避设计的产品请求美国海关发表意见。如果海关认为规避设计产品不落入</w:t>
      </w:r>
      <w:r>
        <w:rPr>
          <w:rFonts w:cs="Times New Roman"/>
        </w:rPr>
        <w:t>ITC</w:t>
      </w:r>
      <w:r>
        <w:rPr>
          <w:rFonts w:hAnsi="宋体" w:cs="Times New Roman"/>
        </w:rPr>
        <w:t>裁决侵权产品的范围，则相关产品可以进入美国市场。企业也可以请求</w:t>
      </w:r>
      <w:r>
        <w:rPr>
          <w:rFonts w:cs="Times New Roman"/>
        </w:rPr>
        <w:t>ITC</w:t>
      </w:r>
      <w:r>
        <w:rPr>
          <w:rFonts w:hAnsi="宋体" w:cs="Times New Roman"/>
        </w:rPr>
        <w:t>启动咨询意见程序，由其对规避设计产品是否侵权发表意见。</w:t>
      </w:r>
    </w:p>
    <w:p>
      <w:pPr>
        <w:ind w:firstLine="480"/>
        <w:rPr>
          <w:rFonts w:cs="Times New Roman"/>
        </w:rPr>
      </w:pPr>
      <w:r>
        <w:rPr>
          <w:rFonts w:hAnsi="宋体" w:cs="Times New Roman"/>
        </w:rPr>
        <w:t>（</w:t>
      </w:r>
      <w:r>
        <w:rPr>
          <w:rFonts w:cs="Times New Roman"/>
        </w:rPr>
        <w:t>2</w:t>
      </w:r>
      <w:r>
        <w:rPr>
          <w:rFonts w:hAnsi="宋体" w:cs="Times New Roman"/>
        </w:rPr>
        <w:t>）专利许可：被申请人可以与申请人谈判获得使用专利的许可，并交纳合理的许可费。专利许可费可以用被许可方的利润为基数，从利润中支付。如果专利权人坚持要用销售额为基数，被许可方应当通过谈判，争取不以整个产品，而仅以涉及专利的零部件的价值为基数，尽量降低专利许可费。</w:t>
      </w:r>
    </w:p>
    <w:p>
      <w:pPr>
        <w:ind w:firstLine="480"/>
        <w:rPr>
          <w:rFonts w:hAnsi="宋体" w:cs="Times New Roman"/>
        </w:rPr>
      </w:pPr>
      <w:r>
        <w:rPr>
          <w:rFonts w:hAnsi="宋体" w:cs="Times New Roman"/>
        </w:rPr>
        <w:t>（</w:t>
      </w:r>
      <w:r>
        <w:rPr>
          <w:rFonts w:cs="Times New Roman"/>
        </w:rPr>
        <w:t>3</w:t>
      </w:r>
      <w:r>
        <w:rPr>
          <w:rFonts w:hAnsi="宋体" w:cs="Times New Roman"/>
        </w:rPr>
        <w:t>）战略合作：被申请人可以与申请人商讨开展战略合作。例如，谈判探讨成立合资企业等。</w:t>
      </w:r>
    </w:p>
    <w:p>
      <w:pPr>
        <w:ind w:firstLine="562"/>
        <w:outlineLvl w:val="2"/>
        <w:rPr>
          <w:rFonts w:ascii="黑体" w:hAnsi="黑体" w:eastAsia="黑体" w:cs="Helvetica"/>
          <w:b/>
          <w:color w:val="000000" w:themeColor="text1"/>
          <w:kern w:val="0"/>
          <w:sz w:val="28"/>
          <w:szCs w:val="28"/>
        </w:rPr>
      </w:pPr>
      <w:bookmarkStart w:id="66" w:name="_Toc203061377"/>
      <w:bookmarkStart w:id="67" w:name="_Toc121146307"/>
      <w:r>
        <w:rPr>
          <w:rFonts w:ascii="黑体" w:hAnsi="黑体" w:eastAsia="黑体" w:cs="Helvetica"/>
          <w:b/>
          <w:color w:val="000000" w:themeColor="text1"/>
          <w:kern w:val="0"/>
          <w:sz w:val="28"/>
          <w:szCs w:val="28"/>
        </w:rPr>
        <w:t xml:space="preserve">4.1.3 </w:t>
      </w:r>
      <w:r>
        <w:rPr>
          <w:rFonts w:hint="eastAsia" w:ascii="黑体" w:hAnsi="黑体" w:eastAsia="黑体" w:cs="Helvetica"/>
          <w:b/>
          <w:color w:val="000000" w:themeColor="text1"/>
          <w:kern w:val="0"/>
          <w:sz w:val="28"/>
          <w:szCs w:val="28"/>
        </w:rPr>
        <w:t>美国专利诉讼及常规应对策略</w:t>
      </w:r>
      <w:bookmarkEnd w:id="66"/>
      <w:bookmarkEnd w:id="67"/>
    </w:p>
    <w:p>
      <w:pPr>
        <w:ind w:firstLine="480"/>
        <w:rPr>
          <w:rFonts w:cs="Times New Roman"/>
        </w:rPr>
      </w:pPr>
      <w:r>
        <w:rPr>
          <w:rFonts w:hAnsi="宋体" w:cs="Times New Roman"/>
        </w:rPr>
        <w:t>美国专利诉讼的司法体系：美国联邦地区法院是专利侵权纠纷的初审管辖法院，受理案件的第一审法院为被告居住地、被告公司主要营业机构所在地或侵权行为发生地的联邦地区法院（涉及到外贸的专利侵权纠纷，也可以向美国准司法机构国际贸易委员会提起</w:t>
      </w:r>
      <w:r>
        <w:rPr>
          <w:rFonts w:cs="Times New Roman"/>
        </w:rPr>
        <w:t>“337</w:t>
      </w:r>
      <w:r>
        <w:rPr>
          <w:rFonts w:hAnsi="宋体" w:cs="Times New Roman"/>
        </w:rPr>
        <w:t>调查</w:t>
      </w:r>
      <w:r>
        <w:rPr>
          <w:rFonts w:cs="Times New Roman"/>
        </w:rPr>
        <w:t>”</w:t>
      </w:r>
      <w:r>
        <w:rPr>
          <w:rFonts w:hAnsi="宋体" w:cs="Times New Roman"/>
        </w:rPr>
        <w:t>）。美国共有</w:t>
      </w:r>
      <w:r>
        <w:rPr>
          <w:rFonts w:cs="Times New Roman"/>
        </w:rPr>
        <w:t>94</w:t>
      </w:r>
      <w:r>
        <w:rPr>
          <w:rFonts w:hAnsi="宋体" w:cs="Times New Roman"/>
        </w:rPr>
        <w:t>个联邦地区法院。对联邦地区法院裁决不服的任何一方当事人可以上诉至美国联邦巡回上诉法院。当事人对联邦巡回上诉法院裁决不服的，可以向美国最高法院提出复审请求。</w:t>
      </w:r>
    </w:p>
    <w:p>
      <w:pPr>
        <w:ind w:firstLine="482"/>
        <w:rPr>
          <w:rFonts w:cs="Times New Roman"/>
          <w:b/>
          <w:bCs/>
        </w:rPr>
      </w:pPr>
      <w:r>
        <w:rPr>
          <w:rFonts w:hint="eastAsia" w:hAnsi="宋体" w:cs="Times New Roman"/>
          <w:b/>
          <w:bCs/>
        </w:rPr>
        <w:t>一、</w:t>
      </w:r>
      <w:r>
        <w:rPr>
          <w:rFonts w:hAnsi="宋体" w:cs="Times New Roman"/>
          <w:b/>
          <w:bCs/>
        </w:rPr>
        <w:t>美国专利诉讼特点及风险</w:t>
      </w:r>
    </w:p>
    <w:p>
      <w:pPr>
        <w:ind w:firstLine="480"/>
        <w:rPr>
          <w:rFonts w:cs="Times New Roman"/>
        </w:rPr>
      </w:pPr>
      <w:r>
        <w:rPr>
          <w:rFonts w:hint="eastAsia" w:cs="Times New Roman"/>
        </w:rPr>
        <w:t>（1）</w:t>
      </w:r>
      <w:r>
        <w:rPr>
          <w:rFonts w:hAnsi="宋体" w:cs="Times New Roman"/>
        </w:rPr>
        <w:t>时间长，诉讼时间一般在</w:t>
      </w:r>
      <w:r>
        <w:rPr>
          <w:rFonts w:cs="Times New Roman"/>
        </w:rPr>
        <w:t>2~6</w:t>
      </w:r>
      <w:r>
        <w:rPr>
          <w:rFonts w:hAnsi="宋体" w:cs="Times New Roman"/>
        </w:rPr>
        <w:t>年间；</w:t>
      </w:r>
    </w:p>
    <w:p>
      <w:pPr>
        <w:ind w:firstLine="480"/>
        <w:rPr>
          <w:rFonts w:cs="Times New Roman"/>
        </w:rPr>
      </w:pPr>
      <w:r>
        <w:rPr>
          <w:rFonts w:hint="eastAsia" w:cs="Times New Roman"/>
        </w:rPr>
        <w:t>（2）</w:t>
      </w:r>
      <w:r>
        <w:rPr>
          <w:rFonts w:hAnsi="宋体" w:cs="Times New Roman"/>
        </w:rPr>
        <w:t>侵权赔偿，美国对专利侵权以强救济著称，侵权赔偿数额往往较大，另外，如果被裁定故意侵权，企业可能面临高达三倍的侵权赔偿，以及在特定情节下负担对方律师费用的代价；</w:t>
      </w:r>
    </w:p>
    <w:p>
      <w:pPr>
        <w:ind w:firstLine="480"/>
        <w:rPr>
          <w:rFonts w:cs="Times New Roman"/>
        </w:rPr>
      </w:pPr>
      <w:r>
        <w:rPr>
          <w:rFonts w:hint="eastAsia" w:cs="Times New Roman"/>
        </w:rPr>
        <w:t>（3）</w:t>
      </w:r>
      <w:r>
        <w:rPr>
          <w:rFonts w:hAnsi="宋体" w:cs="Times New Roman"/>
        </w:rPr>
        <w:t>丧失市场，如果法院还发出了永久禁令，则被告将被禁止在美国生产或销售被诉侵权产品，这将极大影响企业的市场与长期发展；</w:t>
      </w:r>
    </w:p>
    <w:p>
      <w:pPr>
        <w:ind w:firstLine="480"/>
        <w:rPr>
          <w:rFonts w:cs="Times New Roman"/>
        </w:rPr>
      </w:pPr>
      <w:r>
        <w:rPr>
          <w:rFonts w:hint="eastAsia" w:cs="Times New Roman"/>
        </w:rPr>
        <w:t>（4）</w:t>
      </w:r>
      <w:r>
        <w:rPr>
          <w:rFonts w:hAnsi="宋体" w:cs="Times New Roman"/>
        </w:rPr>
        <w:t>诉讼成本，除了损害赔偿金外，潜在的诉讼成本十分昂贵，其中包括律师费用（几十万到几百万美元），以及聘用专家、差旅等费用（一般为律师费用的</w:t>
      </w:r>
      <w:r>
        <w:rPr>
          <w:rFonts w:cs="Times New Roman"/>
        </w:rPr>
        <w:t>25%</w:t>
      </w:r>
      <w:r>
        <w:rPr>
          <w:rFonts w:hAnsi="宋体" w:cs="Times New Roman"/>
        </w:rPr>
        <w:t>）等，近年来更有逐年增高之势；</w:t>
      </w:r>
    </w:p>
    <w:p>
      <w:pPr>
        <w:ind w:firstLine="480"/>
        <w:rPr>
          <w:rFonts w:cs="Times New Roman"/>
        </w:rPr>
      </w:pPr>
      <w:r>
        <w:rPr>
          <w:rFonts w:hint="eastAsia" w:cs="Times New Roman"/>
        </w:rPr>
        <w:t>（5）</w:t>
      </w:r>
      <w:r>
        <w:rPr>
          <w:rFonts w:hAnsi="宋体" w:cs="Times New Roman"/>
        </w:rPr>
        <w:t>企业形象与业务机会损失，专利诉讼还会耗费企业主要管理、技术、财务人员的大量时间，影响企业的正常经营，伤害企业商誉而流失客户，造成业务机会损失等。</w:t>
      </w:r>
    </w:p>
    <w:p>
      <w:pPr>
        <w:ind w:firstLine="480"/>
        <w:rPr>
          <w:rFonts w:cs="Times New Roman"/>
        </w:rPr>
      </w:pPr>
      <w:r>
        <w:rPr>
          <w:rFonts w:hAnsi="宋体" w:cs="Times New Roman"/>
        </w:rPr>
        <w:t>美国专利诉讼的基本程序</w:t>
      </w:r>
    </w:p>
    <w:p>
      <w:pPr>
        <w:ind w:firstLine="480"/>
        <w:rPr>
          <w:rFonts w:cs="Times New Roman"/>
        </w:rPr>
      </w:pPr>
      <w:r>
        <w:rPr>
          <w:rFonts w:hAnsi="宋体" w:cs="Times New Roman"/>
        </w:rPr>
        <w:t>美国专利诉讼主要包括诉前警告、提起诉讼请求、调查取证、马克曼听证（权利要求解释听证）、审前动议、审理等主要程序，如下图</w:t>
      </w:r>
      <w:r>
        <w:rPr>
          <w:rFonts w:cs="Times New Roman"/>
        </w:rPr>
        <w:t>5.1-2</w:t>
      </w:r>
      <w:r>
        <w:rPr>
          <w:rFonts w:hAnsi="宋体" w:cs="Times New Roman"/>
        </w:rPr>
        <w:t>所示。</w:t>
      </w:r>
    </w:p>
    <w:p>
      <w:pPr>
        <w:ind w:firstLine="0" w:firstLineChars="0"/>
        <w:rPr>
          <w:rFonts w:cs="Times New Roman"/>
        </w:rPr>
      </w:pPr>
      <w:r>
        <w:rPr>
          <w:rFonts w:cs="Times New Roman"/>
        </w:rPr>
        <w:drawing>
          <wp:inline distT="0" distB="0" distL="0" distR="0">
            <wp:extent cx="5274310" cy="2433955"/>
            <wp:effectExtent l="0" t="0" r="8890" b="4445"/>
            <wp:docPr id="23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53"/>
                    <pic:cNvPicPr>
                      <a:picLocks noChangeAspect="1" noChangeArrowheads="1"/>
                    </pic:cNvPicPr>
                  </pic:nvPicPr>
                  <pic:blipFill>
                    <a:blip r:embed="rId35"/>
                    <a:srcRect/>
                    <a:stretch>
                      <a:fillRect/>
                    </a:stretch>
                  </pic:blipFill>
                  <pic:spPr>
                    <a:xfrm>
                      <a:off x="0" y="0"/>
                      <a:ext cx="5274310" cy="2434530"/>
                    </a:xfrm>
                    <a:prstGeom prst="rect">
                      <a:avLst/>
                    </a:prstGeom>
                    <a:noFill/>
                    <a:ln w="9525">
                      <a:noFill/>
                      <a:miter lim="800000"/>
                      <a:headEnd/>
                      <a:tailEnd/>
                    </a:ln>
                  </pic:spPr>
                </pic:pic>
              </a:graphicData>
            </a:graphic>
          </wp:inline>
        </w:drawing>
      </w:r>
    </w:p>
    <w:p>
      <w:pPr>
        <w:ind w:firstLine="482"/>
        <w:jc w:val="center"/>
        <w:rPr>
          <w:rFonts w:cs="Times New Roman"/>
          <w:b/>
          <w:bCs/>
        </w:rPr>
      </w:pPr>
      <w:r>
        <w:rPr>
          <w:rFonts w:hAnsi="宋体" w:cs="Times New Roman"/>
          <w:b/>
          <w:bCs/>
        </w:rPr>
        <w:t>图</w:t>
      </w:r>
      <w:r>
        <w:rPr>
          <w:rFonts w:cs="Times New Roman"/>
          <w:b/>
          <w:bCs/>
        </w:rPr>
        <w:t>4.1</w:t>
      </w:r>
      <w:r>
        <w:rPr>
          <w:rFonts w:hint="eastAsia" w:cs="Times New Roman"/>
          <w:b/>
          <w:bCs/>
        </w:rPr>
        <w:t>-</w:t>
      </w:r>
      <w:r>
        <w:rPr>
          <w:rFonts w:cs="Times New Roman"/>
          <w:b/>
          <w:bCs/>
        </w:rPr>
        <w:t xml:space="preserve">2 </w:t>
      </w:r>
      <w:r>
        <w:rPr>
          <w:rFonts w:hAnsi="宋体" w:cs="Times New Roman"/>
          <w:b/>
          <w:bCs/>
        </w:rPr>
        <w:t>美国专利诉讼程序</w:t>
      </w:r>
    </w:p>
    <w:p>
      <w:pPr>
        <w:ind w:firstLine="482"/>
        <w:rPr>
          <w:rFonts w:hAnsi="宋体" w:cs="Times New Roman"/>
          <w:b/>
          <w:bCs/>
        </w:rPr>
      </w:pPr>
      <w:r>
        <w:rPr>
          <w:rFonts w:hint="eastAsia" w:hAnsi="宋体" w:cs="Times New Roman"/>
          <w:b/>
          <w:bCs/>
        </w:rPr>
        <w:t>二、</w:t>
      </w:r>
      <w:r>
        <w:rPr>
          <w:rFonts w:hAnsi="宋体" w:cs="Times New Roman"/>
          <w:b/>
          <w:bCs/>
        </w:rPr>
        <w:t>美国专利诉讼的应对策略</w:t>
      </w:r>
    </w:p>
    <w:p>
      <w:pPr>
        <w:ind w:firstLine="480"/>
        <w:rPr>
          <w:rFonts w:cs="Times New Roman"/>
        </w:rPr>
      </w:pPr>
      <w:r>
        <w:rPr>
          <w:rFonts w:hAnsi="宋体" w:cs="Times New Roman"/>
        </w:rPr>
        <w:t>（</w:t>
      </w:r>
      <w:r>
        <w:rPr>
          <w:rFonts w:cs="Times New Roman"/>
        </w:rPr>
        <w:t>1</w:t>
      </w:r>
      <w:r>
        <w:rPr>
          <w:rFonts w:hAnsi="宋体" w:cs="Times New Roman"/>
        </w:rPr>
        <w:t>）重视警告信，评估侵权风险</w:t>
      </w:r>
    </w:p>
    <w:p>
      <w:pPr>
        <w:ind w:firstLine="480"/>
        <w:rPr>
          <w:rFonts w:cs="Times New Roman"/>
        </w:rPr>
      </w:pPr>
      <w:r>
        <w:rPr>
          <w:rFonts w:hAnsi="宋体" w:cs="Times New Roman"/>
        </w:rPr>
        <w:t>美国专利权人发出的警告信是诉讼风险的强烈信号，当收到警告信后，不能不理不睬。急于答复对方往往会在谈判中处于不利地位，但迟迟不答复，可能使企业面临因故意侵权处以</w:t>
      </w:r>
      <w:r>
        <w:rPr>
          <w:rFonts w:cs="Times New Roman"/>
        </w:rPr>
        <w:t>2~3</w:t>
      </w:r>
      <w:r>
        <w:rPr>
          <w:rFonts w:hAnsi="宋体" w:cs="Times New Roman"/>
        </w:rPr>
        <w:t>倍的惩罚性赔偿。对产品是否侵权及专利权是否有效做出分析评议；如需要，聘请具有技术背景和执业经验的美国专利律师出具法律意见书。</w:t>
      </w:r>
    </w:p>
    <w:p>
      <w:pPr>
        <w:ind w:firstLine="480"/>
        <w:rPr>
          <w:rFonts w:cs="Times New Roman"/>
        </w:rPr>
      </w:pPr>
      <w:r>
        <w:rPr>
          <w:rFonts w:hAnsi="宋体" w:cs="Times New Roman"/>
        </w:rPr>
        <w:t>（</w:t>
      </w:r>
      <w:r>
        <w:rPr>
          <w:rFonts w:cs="Times New Roman"/>
        </w:rPr>
        <w:t>2</w:t>
      </w:r>
      <w:r>
        <w:rPr>
          <w:rFonts w:hAnsi="宋体" w:cs="Times New Roman"/>
        </w:rPr>
        <w:t>）挑战专利权有效性</w:t>
      </w:r>
    </w:p>
    <w:p>
      <w:pPr>
        <w:ind w:firstLine="480"/>
        <w:rPr>
          <w:rFonts w:cs="Times New Roman"/>
        </w:rPr>
      </w:pPr>
      <w:r>
        <w:rPr>
          <w:rFonts w:hAnsi="宋体" w:cs="Times New Roman"/>
        </w:rPr>
        <w:t>在美国司法</w:t>
      </w:r>
      <w:r>
        <w:rPr>
          <w:rFonts w:cs="Times New Roman"/>
        </w:rPr>
        <w:t>/</w:t>
      </w:r>
      <w:r>
        <w:rPr>
          <w:rFonts w:hAnsi="宋体" w:cs="Times New Roman"/>
        </w:rPr>
        <w:t>行政体系，挑战专利权的有效性有两个途径：可以向美国专利商标局提起专利无效请求，也可以向法院提起诉讼。企业可结合现实情况、证据类型以及需求，选择合适的方式。</w:t>
      </w:r>
    </w:p>
    <w:p>
      <w:pPr>
        <w:ind w:firstLine="480"/>
        <w:rPr>
          <w:rFonts w:cs="Times New Roman"/>
        </w:rPr>
      </w:pPr>
      <w:r>
        <w:rPr>
          <w:rFonts w:hAnsi="宋体" w:cs="Times New Roman"/>
        </w:rPr>
        <w:t>（</w:t>
      </w:r>
      <w:r>
        <w:rPr>
          <w:rFonts w:cs="Times New Roman"/>
        </w:rPr>
        <w:t>3</w:t>
      </w:r>
      <w:r>
        <w:rPr>
          <w:rFonts w:hAnsi="宋体" w:cs="Times New Roman"/>
        </w:rPr>
        <w:t>）提交诉状及应答诉状</w:t>
      </w:r>
    </w:p>
    <w:p>
      <w:pPr>
        <w:ind w:firstLine="480"/>
        <w:rPr>
          <w:rFonts w:cs="Times New Roman"/>
        </w:rPr>
      </w:pPr>
      <w:r>
        <w:rPr>
          <w:rFonts w:hAnsi="宋体" w:cs="Times New Roman"/>
        </w:rPr>
        <w:t>在美国打专利侵权官司耗时耗钱，被告的企业可从成本利益和自身发展战略的角度综合考虑是否应诉。如果被告的企业决定应诉，可以选择和委托美国专业律师事务所，分析诉状，研究抗辩理由，考虑可以采取的应对措施，积极应诉。被告在应答诉状中可以考虑的抗辩理由主要包括：</w:t>
      </w:r>
      <w:r>
        <w:rPr>
          <w:rFonts w:cs="Times New Roman"/>
        </w:rPr>
        <w:t>1</w:t>
      </w:r>
      <w:r>
        <w:rPr>
          <w:rFonts w:hAnsi="宋体" w:cs="Times New Roman"/>
        </w:rPr>
        <w:t>）主张没有侵犯专利权，主要包括与专利客体不相同和提出专利权无效两个方面，</w:t>
      </w:r>
      <w:r>
        <w:rPr>
          <w:rFonts w:cs="Times New Roman"/>
        </w:rPr>
        <w:t>2</w:t>
      </w:r>
      <w:r>
        <w:rPr>
          <w:rFonts w:hAnsi="宋体" w:cs="Times New Roman"/>
        </w:rPr>
        <w:t>）不视为侵犯专利权的行为，以不承担侵权责任进行抗辩，包括：已得到专利权人授权，如专利权用尽、明示或默示许可等情况；在先使用（先用权）；科学试验目的的使用；超过损害赔偿主张时效；懈怠和禁止反悔的情形等；</w:t>
      </w:r>
      <w:r>
        <w:rPr>
          <w:rFonts w:cs="Times New Roman"/>
        </w:rPr>
        <w:t>3</w:t>
      </w:r>
      <w:r>
        <w:rPr>
          <w:rFonts w:hAnsi="宋体" w:cs="Times New Roman"/>
        </w:rPr>
        <w:t>）主张专利权不可实施，包括专利权的获取不公正以及专利权滥用和垄断等情况。</w:t>
      </w:r>
    </w:p>
    <w:p>
      <w:pPr>
        <w:ind w:firstLine="480"/>
        <w:rPr>
          <w:rFonts w:cs="Times New Roman"/>
        </w:rPr>
      </w:pPr>
      <w:r>
        <w:rPr>
          <w:rFonts w:hAnsi="宋体" w:cs="Times New Roman"/>
        </w:rPr>
        <w:t>（</w:t>
      </w:r>
      <w:r>
        <w:rPr>
          <w:rFonts w:cs="Times New Roman"/>
        </w:rPr>
        <w:t>4</w:t>
      </w:r>
      <w:r>
        <w:rPr>
          <w:rFonts w:hAnsi="宋体" w:cs="Times New Roman"/>
        </w:rPr>
        <w:t>）和解策略</w:t>
      </w:r>
    </w:p>
    <w:p>
      <w:pPr>
        <w:ind w:firstLine="480"/>
        <w:rPr>
          <w:rFonts w:hAnsi="宋体" w:cs="Times New Roman"/>
        </w:rPr>
      </w:pPr>
      <w:r>
        <w:rPr>
          <w:rFonts w:hAnsi="宋体" w:cs="Times New Roman"/>
        </w:rPr>
        <w:t>企业在选择和解前，需要明确自己的商业目标，当和解条件能够实现商业目标时，可以考虑达成和解。企业需考虑的因素包括：分析产品是否侵权、专利权是否可能被无效，法院发出禁令的可能性，侵权赔偿额度，权利人的诉讼能力，诉讼成本，双方市场份额，可以制约对方的知识产权，是否拥有与对方相同产品线或互补性产品的技术，产品赢利性，有无第三方的侵权补偿义务，有无商业替代方案及技术替代方案，技术更新的可能性，权利人的商业目的或需求等。企业需要构建和解战略，确定可接受的许可使用费，制定谈判计划，选择谈判团队和地点。</w:t>
      </w:r>
    </w:p>
    <w:p>
      <w:pPr>
        <w:ind w:firstLine="562"/>
        <w:outlineLvl w:val="2"/>
        <w:rPr>
          <w:rFonts w:ascii="黑体" w:hAnsi="黑体" w:eastAsia="黑体" w:cs="Helvetica"/>
          <w:b/>
          <w:color w:val="000000" w:themeColor="text1"/>
          <w:kern w:val="0"/>
          <w:sz w:val="28"/>
          <w:szCs w:val="28"/>
        </w:rPr>
      </w:pPr>
      <w:bookmarkStart w:id="68" w:name="_Toc121146308"/>
      <w:bookmarkStart w:id="69" w:name="_Toc203061378"/>
      <w:r>
        <w:rPr>
          <w:rFonts w:ascii="黑体" w:hAnsi="黑体" w:eastAsia="黑体" w:cs="Helvetica"/>
          <w:b/>
          <w:color w:val="000000" w:themeColor="text1"/>
          <w:kern w:val="0"/>
          <w:sz w:val="28"/>
          <w:szCs w:val="28"/>
        </w:rPr>
        <w:t xml:space="preserve">4.1.4 </w:t>
      </w:r>
      <w:r>
        <w:rPr>
          <w:rFonts w:hint="eastAsia" w:ascii="黑体" w:hAnsi="黑体" w:eastAsia="黑体" w:cs="Helvetica"/>
          <w:b/>
          <w:color w:val="000000" w:themeColor="text1"/>
          <w:kern w:val="0"/>
          <w:sz w:val="28"/>
          <w:szCs w:val="28"/>
        </w:rPr>
        <w:t>美国侵权诉讼中的反诉及抗辩</w:t>
      </w:r>
      <w:bookmarkEnd w:id="68"/>
      <w:bookmarkEnd w:id="69"/>
    </w:p>
    <w:p>
      <w:pPr>
        <w:ind w:firstLine="480"/>
      </w:pPr>
      <w:r>
        <w:t>在受到专利侵权的指控时，被告也可以依据法律的规定，采取一系列的反诉或者抗辩手段，以证明自身的行为实质不侵权或者尽管侵权但可以不承担或者少承担法律责任。</w:t>
      </w:r>
    </w:p>
    <w:p>
      <w:pPr>
        <w:ind w:firstLine="482"/>
        <w:rPr>
          <w:b/>
          <w:bCs/>
        </w:rPr>
      </w:pPr>
      <w:r>
        <w:rPr>
          <w:rFonts w:asciiTheme="minorEastAsia" w:hAnsiTheme="minorEastAsia" w:eastAsiaTheme="minorEastAsia"/>
          <w:b/>
          <w:bCs/>
        </w:rPr>
        <w:t>1</w:t>
      </w:r>
      <w:r>
        <w:rPr>
          <w:rFonts w:hint="eastAsia" w:asciiTheme="minorEastAsia" w:hAnsiTheme="minorEastAsia" w:eastAsiaTheme="minorEastAsia"/>
          <w:b/>
          <w:bCs/>
        </w:rPr>
        <w:t>．</w:t>
      </w:r>
      <w:r>
        <w:rPr>
          <w:b/>
          <w:bCs/>
        </w:rPr>
        <w:t>反诉专利权无效</w:t>
      </w:r>
    </w:p>
    <w:p>
      <w:pPr>
        <w:ind w:firstLine="480"/>
      </w:pPr>
      <w:r>
        <w:t>专利权无效是指有关专利不符合新颖性、非显而易见性、实用性或者未能充分披露技术方案等法定要件，而导致专利权被判定为无效。根据美国的法律，美国专利商标局的专利授权只是初步假定专利为有效，而其最终的效力由法院来决定。在专利侵权诉讼中，反诉专利权人专利无效是最常见的未侵权抗辩手段。几乎所有的被告在面临侵权指控时首先考虑和提出的辩解就是专利权无效。</w:t>
      </w:r>
      <w:r>
        <w:br w:type="textWrapping"/>
      </w:r>
      <w:r>
        <w:t>在美国除了被指控侵权者之外，任何人都可以挑战专利权的有效性，但其中是否包括与专利权人签订许可协议的被许可人则是一个需要仔细讨论的问题。是否允许被许可人挑战专利权的效力，实际上涉及两种法律传统的冲突，即合同法上的不得反悔理论和专利法上不保护公有领域发明创造的传统。传统上，合同法上的禁止反悔原则曾经占据上风，专利的被许可人不得对有关专利权的效力提出挑战，尤其禁止为了逃避专利许可费而挑战专利权的有效性。但在著名的“利尔”案中，美国联邦最高法院以美国专利法不保护公有领域的发明这一基本原则为出发点，详细讨论了以两种不同的观点来判断是否允许被许可人挑战专利权有效性对专利制度以及市场竞争的影响，认为所有在公众中流传的思想观念应当由公众自由享有，如果不允许被许可人挑战专利权的效力，可能产生公众向可能的垄断者支付不必要的代价等不利于竞争的后果。</w:t>
      </w:r>
    </w:p>
    <w:p>
      <w:pPr>
        <w:ind w:firstLine="482"/>
        <w:rPr>
          <w:b/>
          <w:bCs/>
        </w:rPr>
      </w:pPr>
      <w:r>
        <w:rPr>
          <w:rFonts w:hint="eastAsia" w:asciiTheme="minorEastAsia" w:hAnsiTheme="minorEastAsia" w:eastAsiaTheme="minorEastAsia"/>
          <w:b/>
          <w:bCs/>
        </w:rPr>
        <w:t>2．</w:t>
      </w:r>
      <w:r>
        <w:rPr>
          <w:b/>
          <w:bCs/>
        </w:rPr>
        <w:t>反诉专利权不可实施</w:t>
      </w:r>
    </w:p>
    <w:p>
      <w:pPr>
        <w:ind w:firstLine="480"/>
      </w:pPr>
      <w:r>
        <w:t>专利权不可实施通常是由专利权人在获得专利授权时采取了不正当手段而导致的。专利权不可实施理论和实践由衡平法中的“不干净之手”发展而来。按照美国专利法的规定，在申请获得专利授权时，申请人应当向专利局如实提供有关申请案的新颖性、非显而易见性和实用性的信息，包括完全披露有关发明。如果申请人在专利审批过程中提供了虚假信息，尤其是在答复专利审查员的询问时提供了虚假的证明，则很可能在未来的诉讼中导致专利权不可实施。</w:t>
      </w:r>
    </w:p>
    <w:p>
      <w:pPr>
        <w:ind w:firstLine="480"/>
      </w:pPr>
      <w:r>
        <w:t>在侵权诉讼中，如果被告需要证明对方专利系不可实施，需要提供清楚而且具有说服力的证据，说明申请人确实在申请专利的过程中向专利审查员作出过误导性陈述或者隐瞒了某些重要信息。这些情况均会导致相关的专利不可实施。即使申请人的错误仅仅与专利权的一项权利要求相关，也会导致整个专利权的不可实施。而且，权利人在申请专利过程中在某一项专利申请上的不正当行为，有时甚至会导致与这项专利相关的其他专利的不可实施。</w:t>
      </w:r>
    </w:p>
    <w:p>
      <w:pPr>
        <w:ind w:firstLine="482"/>
        <w:rPr>
          <w:b/>
          <w:bCs/>
        </w:rPr>
      </w:pPr>
      <w:r>
        <w:rPr>
          <w:rFonts w:hint="eastAsia" w:asciiTheme="minorEastAsia" w:hAnsiTheme="minorEastAsia" w:eastAsiaTheme="minorEastAsia"/>
          <w:b/>
          <w:bCs/>
        </w:rPr>
        <w:t>3.</w:t>
      </w:r>
      <w:r>
        <w:rPr>
          <w:b/>
          <w:bCs/>
        </w:rPr>
        <w:t>反诉专利权人滥用专利权</w:t>
      </w:r>
    </w:p>
    <w:p>
      <w:pPr>
        <w:ind w:firstLine="480"/>
      </w:pPr>
      <w:r>
        <w:t>滥用专利权是指专利权人超出法律允许的范围利用专利权限制市场竞争的行为。传统上，竞争被认为既是经济人的本性也是资本主义自由经济的基石，同时也被认为是经济繁荣的重要保证。但过度竞争与垄断之间常常是一个问题的两个方面，自由放任竞争的结果往往导致垄断的产生。因此世界各国少有从正面鼓励、促进竞争的法律，而把对影响正常竞争的行为进行限制和控制作为维护竞争的主要途径。</w:t>
      </w:r>
    </w:p>
    <w:p>
      <w:pPr>
        <w:ind w:firstLine="480"/>
      </w:pPr>
      <w:r>
        <w:t>在美国滥用是被指控侵权者常用的抗辩手段之一，如果专利权人被裁定滥用专利权，则被告的侵权责任不但得以免除，而且专利权人可能会因为其滥用专利权的行为受到反垄断法的处罚。但由于专利保护涉及促进创新、为社会公众提供更高水平的福利等价值目标，其与反垄断的政策目标和价值取向之间的平衡，常常根据经济形式和市场竞争状态的发展而不断地进行修正。这一点在美国专利法的修订过程中能够鲜明地体现出来。1952年美国大幅修订美国专利法时增加了第271条d款，规定了3种不属于滥用专利权的行为，1988年再次重修美国专利法时，增加了2种不属于滥用专利权的行为。</w:t>
      </w:r>
    </w:p>
    <w:p>
      <w:pPr>
        <w:ind w:firstLine="480"/>
      </w:pPr>
      <w:r>
        <w:t>在美国司法实践中，专利侵权诉讼中的专利权滥用与非滥用，主要是就搭售与发明专利有关的，而又不为专利权所覆盖的产品而言。专利权的滥用多与帮助侵权有关。当法律允许专利权人以搭售的方式行使自己的权利时，他人如果销售专用于实施专利的设备、零部件时即构成帮助侵权，即使该设备、零部件并非专利权保护范围所覆盖；当法律不允许专利权人以搭售的方式行使专利权时，他人销售相关设备很难构成帮助侵权。</w:t>
      </w:r>
    </w:p>
    <w:p>
      <w:pPr>
        <w:ind w:firstLine="482"/>
        <w:rPr>
          <w:b/>
          <w:bCs/>
        </w:rPr>
      </w:pPr>
      <w:r>
        <w:rPr>
          <w:rFonts w:asciiTheme="minorEastAsia" w:hAnsiTheme="minorEastAsia" w:eastAsiaTheme="minorEastAsia"/>
          <w:b/>
          <w:bCs/>
        </w:rPr>
        <w:t>4</w:t>
      </w:r>
      <w:r>
        <w:rPr>
          <w:rFonts w:hint="eastAsia" w:asciiTheme="minorEastAsia" w:hAnsiTheme="minorEastAsia" w:eastAsiaTheme="minorEastAsia"/>
          <w:b/>
          <w:bCs/>
        </w:rPr>
        <w:t>．</w:t>
      </w:r>
      <w:r>
        <w:rPr>
          <w:b/>
          <w:bCs/>
        </w:rPr>
        <w:t>权利用尽的抗辩</w:t>
      </w:r>
    </w:p>
    <w:p>
      <w:pPr>
        <w:ind w:firstLine="480"/>
      </w:pPr>
      <w:r>
        <w:t>权利用尽是指如果专利权人不对专利产品进行限制且将专利产品自行销售或者授权他人销售至市场，则购买人得对产品进行使用或者予以再次销售。购买人的使用或者销售行为不构成对专利的侵权。然而，尽管产品是由专利权人自行销售或者授权销售，通过在专利产品的首次销售契约上所记载的排他性文字也可以对其进行限制。</w:t>
      </w:r>
    </w:p>
    <w:p>
      <w:pPr>
        <w:ind w:firstLine="480"/>
      </w:pPr>
      <w:r>
        <w:t>由销售导致的权利用尽也有例外情况。进口者从专利权人以外的销售者手中于外国购入专利产品，将其于国内进行销售的行为构成侵权。这种自国外合法销售商手中获得专利产品并进口到美国的行为被称为“平行进口”。美国专利法第271条a款和第271条g款将这种平行进口认定为作为侵权行为，但是需要专利权人明确保留该专利权。专利权人可以在销售许可协议中设定地域限制而实现前述所谓权利保留。</w:t>
      </w:r>
    </w:p>
    <w:p>
      <w:pPr>
        <w:ind w:firstLine="482"/>
        <w:rPr>
          <w:b/>
          <w:bCs/>
        </w:rPr>
      </w:pPr>
      <w:r>
        <w:rPr>
          <w:rFonts w:asciiTheme="minorEastAsia" w:hAnsiTheme="minorEastAsia" w:eastAsiaTheme="minorEastAsia"/>
          <w:b/>
          <w:bCs/>
        </w:rPr>
        <w:t>5</w:t>
      </w:r>
      <w:r>
        <w:rPr>
          <w:rFonts w:hint="eastAsia" w:asciiTheme="minorEastAsia" w:hAnsiTheme="minorEastAsia" w:eastAsiaTheme="minorEastAsia"/>
          <w:b/>
          <w:bCs/>
        </w:rPr>
        <w:t>．</w:t>
      </w:r>
      <w:r>
        <w:rPr>
          <w:b/>
          <w:bCs/>
        </w:rPr>
        <w:t>实施许可或者默示实施许可</w:t>
      </w:r>
    </w:p>
    <w:p>
      <w:pPr>
        <w:ind w:firstLine="480"/>
      </w:pPr>
      <w:r>
        <w:t>实施许可是被指控侵权者的一项积极的抗辩形式。如果获得了明确的实施许可，专利权人即应受此约束，被许可人有在协议范围内使用专利权利的自由。实施许可通常通过明示的协议而成立，但也存在默示的情况。</w:t>
      </w:r>
    </w:p>
    <w:p>
      <w:pPr>
        <w:ind w:firstLine="480"/>
      </w:pPr>
      <w:r>
        <w:t>默示实施许诺也是对专利侵权的抗辩。默示实施许诺意味着专利权人放弃了排他权。被指控侵权人具有证明存在默认实施许诺的责任。默示实施许诺通常可以通过默认、行为、基于平衡法或者法定禁止反悔原则而形成。根据美国判例法，由禁止反悔原则而形成的默示实施许诺通常需要满足的条件为专利权人的某种行为使得被指控侵权者产生了专利权人放弃权利或者默示许可其行使侵权行为的误解，并且被指控侵权人对这种误解有着较高程度的信赖。这种行为包括，权利人在得知被指控侵权者销售专利产品但并没有采取维护自身权益的行为等。</w:t>
      </w:r>
    </w:p>
    <w:p>
      <w:pPr>
        <w:ind w:firstLine="482"/>
        <w:rPr>
          <w:b/>
          <w:bCs/>
        </w:rPr>
      </w:pPr>
      <w:r>
        <w:rPr>
          <w:rFonts w:asciiTheme="minorEastAsia" w:hAnsiTheme="minorEastAsia" w:eastAsiaTheme="minorEastAsia"/>
          <w:b/>
          <w:bCs/>
        </w:rPr>
        <w:t>6</w:t>
      </w:r>
      <w:r>
        <w:rPr>
          <w:rFonts w:hint="eastAsia" w:asciiTheme="minorEastAsia" w:hAnsiTheme="minorEastAsia" w:eastAsiaTheme="minorEastAsia"/>
          <w:b/>
          <w:bCs/>
        </w:rPr>
        <w:t>．</w:t>
      </w:r>
      <w:r>
        <w:rPr>
          <w:b/>
          <w:bCs/>
        </w:rPr>
        <w:t>研究实验目的的抗辩和bolar例外</w:t>
      </w:r>
    </w:p>
    <w:p>
      <w:pPr>
        <w:ind w:firstLine="480"/>
      </w:pPr>
      <w:r>
        <w:t>研究实验的抗辩是指为了科学研究和满足个人兴趣而使用他人专利，此类行为不构成专利侵权。在美国法上，为研究实验而使用是一个非常狭窄的概念，仅仅针对科学研究和满足个人兴趣。如果被告是为了商业目的而使用，包括为了开发新产品或作出新发明而使用，即不属于为研究实验的目的。即使被指控侵权者为个人方便而使用专利技术，也不属于为研究实验目的使用。</w:t>
      </w:r>
    </w:p>
    <w:p>
      <w:pPr>
        <w:ind w:firstLine="480"/>
      </w:pPr>
      <w:r>
        <w:t>Bolar例外来源于医药的专利保护领域。在美国，药品的上市需要获得美国联邦食品与药品管理局的批准，为获得这种批准，申请人需要提交大量的实验报告。在专利药品即将过期之前，即有仿制药品生产厂商开始对该药品进行实验，并提交实验报告等待食品与药品管理局的审批。如果此时以专利侵权为由禁止仿制药品生产厂商对专利药品进行以商业目的的实验，即有可能导致实质上延长专利药品的20年保护期。因此，1998年美国修订专利法时，在第271条e款中规定，为了向联邦有关机构提供信息而使用专利药品不构成侵权。</w:t>
      </w:r>
    </w:p>
    <w:p>
      <w:pPr>
        <w:ind w:firstLine="482"/>
        <w:rPr>
          <w:b/>
          <w:bCs/>
        </w:rPr>
      </w:pPr>
      <w:r>
        <w:rPr>
          <w:rFonts w:asciiTheme="minorEastAsia" w:hAnsiTheme="minorEastAsia" w:eastAsiaTheme="minorEastAsia"/>
          <w:b/>
          <w:bCs/>
        </w:rPr>
        <w:t>7</w:t>
      </w:r>
      <w:r>
        <w:rPr>
          <w:rFonts w:hint="eastAsia" w:asciiTheme="minorEastAsia" w:hAnsiTheme="minorEastAsia" w:eastAsiaTheme="minorEastAsia"/>
          <w:b/>
          <w:bCs/>
        </w:rPr>
        <w:t>．</w:t>
      </w:r>
      <w:r>
        <w:rPr>
          <w:b/>
          <w:bCs/>
        </w:rPr>
        <w:t>在先使用的抗辩</w:t>
      </w:r>
    </w:p>
    <w:p>
      <w:pPr>
        <w:ind w:firstLine="480"/>
      </w:pPr>
      <w:r>
        <w:t>美国是先发明制国家，本不存在先申请制国家中所谓先用权问题。但是为了协调商业秘密保护和专利保护制度之间的关系，美国仍然允许以在先使用为条件对专利侵权的指控进行抗辩。根据美国专利法的规定，如果在专利有效申请日至少1年之前，被指控侵权人以诚实的行为自己发明了相关技术方案或者以其他合法方式获得了处于保密状态的技术方案，并且在专利的生效日之前对专利权利要求所述的技术方案进行使用，则不负有侵权的责任。</w:t>
      </w:r>
    </w:p>
    <w:p>
      <w:pPr>
        <w:ind w:firstLine="562"/>
        <w:outlineLvl w:val="1"/>
      </w:pPr>
      <w:bookmarkStart w:id="70" w:name="_Toc203061379"/>
      <w:r>
        <w:rPr>
          <w:rFonts w:ascii="黑体" w:hAnsi="黑体" w:eastAsia="黑体"/>
          <w:b/>
          <w:bCs/>
          <w:sz w:val="28"/>
          <w:szCs w:val="28"/>
        </w:rPr>
        <w:t>4</w:t>
      </w:r>
      <w:r>
        <w:rPr>
          <w:rFonts w:hint="eastAsia" w:ascii="黑体" w:hAnsi="黑体" w:eastAsia="黑体"/>
          <w:b/>
          <w:bCs/>
          <w:sz w:val="28"/>
          <w:szCs w:val="28"/>
        </w:rPr>
        <w:t>.</w:t>
      </w:r>
      <w:r>
        <w:rPr>
          <w:rFonts w:ascii="黑体" w:hAnsi="黑体" w:eastAsia="黑体"/>
          <w:b/>
          <w:bCs/>
          <w:sz w:val="28"/>
          <w:szCs w:val="28"/>
        </w:rPr>
        <w:t xml:space="preserve">2 </w:t>
      </w:r>
      <w:r>
        <w:rPr>
          <w:rFonts w:hint="eastAsia" w:ascii="黑体" w:hAnsi="黑体" w:eastAsia="黑体"/>
          <w:b/>
          <w:bCs/>
          <w:sz w:val="28"/>
          <w:szCs w:val="28"/>
        </w:rPr>
        <w:t>德国知识产权风险防控分析</w:t>
      </w:r>
      <w:bookmarkEnd w:id="70"/>
    </w:p>
    <w:p>
      <w:pPr>
        <w:ind w:firstLine="562"/>
        <w:outlineLvl w:val="2"/>
        <w:rPr>
          <w:rFonts w:ascii="黑体" w:hAnsi="黑体" w:eastAsia="黑体" w:cs="Helvetica"/>
          <w:b/>
          <w:color w:val="000000" w:themeColor="text1"/>
          <w:kern w:val="0"/>
          <w:sz w:val="28"/>
          <w:szCs w:val="28"/>
        </w:rPr>
      </w:pPr>
      <w:bookmarkStart w:id="71" w:name="_Toc121146314"/>
      <w:bookmarkStart w:id="72" w:name="_Toc203061380"/>
      <w:r>
        <w:rPr>
          <w:rFonts w:ascii="黑体" w:hAnsi="黑体" w:eastAsia="黑体" w:cs="Helvetica"/>
          <w:b/>
          <w:color w:val="000000" w:themeColor="text1"/>
          <w:kern w:val="0"/>
          <w:sz w:val="28"/>
          <w:szCs w:val="28"/>
        </w:rPr>
        <w:t xml:space="preserve">4.2.1 </w:t>
      </w:r>
      <w:r>
        <w:rPr>
          <w:rFonts w:hint="eastAsia" w:ascii="黑体" w:hAnsi="黑体" w:eastAsia="黑体" w:cs="Helvetica"/>
          <w:b/>
          <w:color w:val="000000" w:themeColor="text1"/>
          <w:kern w:val="0"/>
          <w:sz w:val="28"/>
          <w:szCs w:val="28"/>
        </w:rPr>
        <w:t>德国专利侵权行为及其例外</w:t>
      </w:r>
      <w:bookmarkEnd w:id="71"/>
      <w:bookmarkEnd w:id="72"/>
    </w:p>
    <w:p>
      <w:pPr>
        <w:ind w:firstLine="480"/>
      </w:pPr>
      <w:r>
        <w:t>德国专利法第9～14条是关于侵权要件的主要来源。其中第9条规定哪些行为构成直接侵权，第10条规定直接侵权的含义，第11～13条规定在不同情形下专利权行使的某些限制，第14条是关于权利要求解释的条款。</w:t>
      </w:r>
    </w:p>
    <w:p>
      <w:pPr>
        <w:ind w:firstLine="482"/>
        <w:rPr>
          <w:b/>
          <w:bCs/>
        </w:rPr>
      </w:pPr>
      <w:bookmarkStart w:id="73" w:name="_Toc121146315"/>
      <w:r>
        <w:rPr>
          <w:rFonts w:hint="eastAsia"/>
          <w:b/>
          <w:bCs/>
        </w:rPr>
        <w:t>一、专利侵权的种类和表现</w:t>
      </w:r>
      <w:bookmarkEnd w:id="73"/>
    </w:p>
    <w:p>
      <w:pPr>
        <w:ind w:firstLine="482"/>
        <w:rPr>
          <w:b/>
          <w:bCs/>
        </w:rPr>
      </w:pPr>
      <w:r>
        <w:rPr>
          <w:rFonts w:hint="eastAsia"/>
          <w:b/>
          <w:bCs/>
        </w:rPr>
        <w:t>（一）</w:t>
      </w:r>
      <w:r>
        <w:rPr>
          <w:b/>
          <w:bCs/>
        </w:rPr>
        <w:t>直接侵权</w:t>
      </w:r>
    </w:p>
    <w:p>
      <w:pPr>
        <w:ind w:firstLine="480"/>
      </w:pPr>
      <w:r>
        <w:t>明确了专利或实用新型的保护范围之后，判断产品或方法是否侵权还需要判断当事人是否实施了侵权行为，即判断当事人是否符合德国专利法或实用新型法关于侵权构成的条件</w:t>
      </w:r>
      <w:r>
        <w:rPr>
          <w:rFonts w:hint="eastAsia" w:ascii="宋体" w:hAnsi="宋体" w:cs="宋体"/>
        </w:rPr>
        <w:t>∶</w:t>
      </w:r>
      <w:r>
        <w:t>（1）当事人行为系以营利为目的或从事公开行为；（2）当事人实施了侵权行为。</w:t>
      </w:r>
    </w:p>
    <w:p>
      <w:pPr>
        <w:ind w:firstLine="482"/>
      </w:pPr>
      <w:r>
        <w:rPr>
          <w:rFonts w:asciiTheme="minorEastAsia" w:hAnsiTheme="minorEastAsia" w:eastAsiaTheme="minorEastAsia"/>
          <w:b/>
          <w:bCs/>
        </w:rPr>
        <w:t>1.</w:t>
      </w:r>
      <w:r>
        <w:rPr>
          <w:b/>
          <w:bCs/>
        </w:rPr>
        <w:t>以营利为目的或者公开行为</w:t>
      </w:r>
    </w:p>
    <w:p>
      <w:pPr>
        <w:ind w:firstLine="480"/>
      </w:pPr>
      <w:r>
        <w:t>当事人行为只要具备“以营利为目的”或者“公开方式”二者之一，就满足本条件，这一点与我国专利法上的“为生产经营目的”有着很大差异。“以营利为目”的是指当事人生产相关产品或使用方法非以自己私人享用为目的。关键是需要理解“私人享用”的范围以及含义，家庭主妇利用公开的专利或实用新型文献制造专为家用的厨房工具当然属于“私人享用”的范畴，但是如果该家庭主妇把厨房工具制造出来之后，赠送给邻居或好友使用则不属于私人享用的范畴。因此，“以营利为目的”并非指生产专利产品或使用专利方法以赚钱为目的，一切超出制造人本人或家庭使用范围的行为均属于“以营利为目的”。“公开行为”一般理解为当事人从事相关行为非私人亲力、亲为。还是以上述家庭主妇根据公开的专利或实用新型文献制造厨房用品为例，当事人仅以自己一人之力或者借助于家庭其他成员或亲友的帮助制造专利产品属于“私人行为”，但如果雇用专业技术人员制造相关产品则属于"公开方式"，具备专利或实用新型侵权的条件。</w:t>
      </w:r>
    </w:p>
    <w:p>
      <w:pPr>
        <w:ind w:firstLine="482"/>
      </w:pPr>
      <w:r>
        <w:rPr>
          <w:rFonts w:asciiTheme="minorEastAsia" w:hAnsiTheme="minorEastAsia" w:eastAsiaTheme="minorEastAsia"/>
          <w:b/>
          <w:bCs/>
        </w:rPr>
        <w:t>2.</w:t>
      </w:r>
      <w:r>
        <w:rPr>
          <w:b/>
          <w:bCs/>
        </w:rPr>
        <w:t>直接实施了侵权行为</w:t>
      </w:r>
    </w:p>
    <w:p>
      <w:pPr>
        <w:ind w:firstLine="480"/>
      </w:pPr>
      <w:r>
        <w:t>实施了侵权行为是指当事人从事了专利或实用新型权人有权禁止的行为。德国专利法和实用新型法均授予权利人禁止他人未经许可从事制造、许诺销售、销售、使用或为上述目的而进口或存储、占有专利或实用新型产品的权利；以及使用专利方法或许诺销售、销售、使用或为上述目的而进口或存储、占有以专利方法直接制造的产品。如果当事人直接实施了上述权利人有权禁止的行为即构成专利或实用新型直接侵权。</w:t>
      </w:r>
    </w:p>
    <w:p>
      <w:pPr>
        <w:ind w:firstLine="480"/>
      </w:pPr>
      <w:r>
        <w:t>（1）对产品专利实施了制造、销售、许诺销售等行为。</w:t>
      </w:r>
    </w:p>
    <w:p>
      <w:pPr>
        <w:ind w:firstLine="480"/>
      </w:pPr>
      <w:r>
        <w:t>制造是指任何再现受专利或实用新型保护的产品的行为，包括大规模机器制造和手工制造等各种方式。受保护产品的制造权受到法律的绝对保护，除不以营利为目的的私人行为之外，任何制造专利或实用新型产品的行为均为德国法律所禁止。但是在判断再现专利或实用新型产品行为是否侵权时，需要对制造和修理行为进行区分。消费者购买专利产品之后，有权购买零配件对损坏的产品进行修理，但修理过程中不得在事实上产生一件新的产品。多次购买多种零部件对同一件产品进行维修与生产一件新的产品并无差异，在德国这种行为是被禁止的。</w:t>
      </w:r>
    </w:p>
    <w:p>
      <w:pPr>
        <w:ind w:firstLine="480"/>
      </w:pPr>
      <w:r>
        <w:t>授予专利或实用新型权人“许诺销售权”，是为了尽可能早地制止专利或实用新型产品的交易，使权利人能够在侵权产品扩散之前就有可能制止对其发明创造的侵权使用。在德国专利法和实用新型法上，此项权利被称为“of-fering”。构成许诺销售行为与行为人采取何种行为方式无关，书面形式、口头形式、电话电传、显示、展示以及广告等行为都可以构成“许诺销售”。也就是说，任何在商业意义上的提供受专利或实用新型保护的意思表示，或者导致被提供者获得或享有某种权利的行为，都构成许诺销售意义上的侵权。此外，构成许诺销售与交易由谁提出、产品由谁提供等也没有关系，产品信息发布人或合同要约提出人并不是实际的产品提供者，但仍然需要承担侵权责任。事实上从展会与知识产权保护的关系来说，许诺销售是最值得参展商注意的一项权利，展示侵权商品本身即构成专利或实用新型侵权。当事人未经许可而实施对专利或实用新型产品的许诺销售行为即构成直接侵权，与产品是否实际销售无关。</w:t>
      </w:r>
    </w:p>
    <w:p>
      <w:pPr>
        <w:ind w:firstLine="480"/>
      </w:pPr>
      <w:r>
        <w:t>与我国专利法中规定相对应的是德国专利法和实用新型法中的禁止未经许可的“putting on the market”权利。但德国法上的“putting on the market”较我国专利法上的销售权含义和范围要宽得多。除了完成交割、权利发生转移的交易行为之外，签订合同、尚未完成产品产权交割的行为也属于"put-ting on the market”行为之列。在德国展会上就侵权商品签订的买卖合同、订单等虽然并未立刻导致侵权商品实际进入市场，但仍然将被认为侵犯了专利或实用新型权利。</w:t>
      </w:r>
    </w:p>
    <w:p>
      <w:pPr>
        <w:ind w:firstLine="480"/>
      </w:pPr>
      <w:r>
        <w:t>德国法上产品的“使用权”（using the product）是指权利人有权禁止他人未经允许利用专利或实用新型产品，使专利或实用新型产品的技术功能得到发挥。一般来说，使用者无论是未经许可自己制造专利或实用新型产品，继而予以利用，还是购买他人未经许可而制造并售出的专利或实用新型产品，继而予以利用，都构成侵权。在法律上，当事人使用产品的方式对判定是否侵权一般没有限制，使用者可以直接利用受保护产品以获得其产生的效果，也可以将受保护产品作为生产工具，制造其他产品，还可以将受保护产品作为零部件，生产其他产品。在把受保护产品作为零部件生产其他制成品时，无论该产品在最终制成品中占有核心地位，还是仅仅起到次要作用，都构成使用受保护产品的行为。</w:t>
      </w:r>
    </w:p>
    <w:p>
      <w:pPr>
        <w:ind w:firstLine="480"/>
      </w:pPr>
      <w:r>
        <w:t>为销售、许诺销售、使用目的而进口受保护产品的行为，是指为把受法律保护的产品投放到德国或欧盟市场上，而从国外制造商、销售商进口产品的行为。此外，德国法规定“为销售等目的而占有、存储或者保存受保护产品的行为”是侵权行为，这点与我国不同。展会上的商品如果确实落入德国专利或实用新型的保护范围，即使参展商并未把该产品放上展台，也没有发布该产品的任何销售信息，参展商拥有该产品的事实本身即可构成侵权。</w:t>
      </w:r>
    </w:p>
    <w:p>
      <w:pPr>
        <w:ind w:firstLine="480"/>
      </w:pPr>
      <w:r>
        <w:t>（2）实施了侵犯方法专利的行为。</w:t>
      </w:r>
    </w:p>
    <w:p>
      <w:pPr>
        <w:ind w:firstLine="480"/>
      </w:pPr>
      <w:r>
        <w:t>对于方法专利而言，实施了直接侵权行为是指当事人在商业活动中使用了受专利保护的生产方法、工艺、流程等。一般来说，权利人很难证明嫌疑人是否确实在生产过程中使用了方法专利。但是现行德国专利法确定了方法专利保护延及依方法直接生产的产品的原则。根据该原则，在德国销售、许诺销售、使用以及为前述目的存储和进口依专利方法直接制造的产品的行为得为权利人所禁止，在德国展会上展示了按照方法专利生产的产品因此也被德国法律所禁止。适用方法专利延伸保护至直接生产产品的原则，需要理解两个问题，以明确方法专利保护的边界</w:t>
      </w:r>
      <w:r>
        <w:rPr>
          <w:rFonts w:hint="eastAsia" w:ascii="宋体" w:hAnsi="宋体" w:cs="宋体"/>
        </w:rPr>
        <w:t>∶</w:t>
      </w:r>
    </w:p>
    <w:p>
      <w:pPr>
        <w:ind w:firstLine="480"/>
      </w:pPr>
      <w:r>
        <w:t>一是何谓依方法专利所获得或生产的产品。方法专利从技术内容上划分，至少可以包括三种类型</w:t>
      </w:r>
      <w:r>
        <w:rPr>
          <w:rFonts w:hint="eastAsia" w:ascii="宋体" w:hAnsi="宋体" w:cs="宋体"/>
        </w:rPr>
        <w:t>∶</w:t>
      </w:r>
      <w:r>
        <w:t>第一种是制造方法，通常是指改变原材料物品的结构、形状或者化学性质，产生新产品的方法；第二种是作业方法，如测量、检验、采掘、运输等不以改变物品本身结构、特性或功能为目的的方法；第三种是使用方法，是指对某种已知物品的新的应用方式，其目的是产生某种新的技术效果，不改变物品本身。对于这三种类型的方法来说，第一种方法因为改变了物品的外形结构或化学性质，所以一般会涉及方法专利延伸保护产品的问题；第三种方法则因为仅仅是新的用途，物品本身的物理结构和化学性质均不发生改变，所以一般不会涉及方法专利延伸保护的问题。对于作业方法来说，在德国判例司法实践中，一般认为方法专利延伸保护至作业后，产品需要满足两个条件</w:t>
      </w:r>
      <w:r>
        <w:rPr>
          <w:rFonts w:hint="eastAsia" w:ascii="宋体" w:hAnsi="宋体" w:cs="宋体"/>
        </w:rPr>
        <w:t>∶</w:t>
      </w:r>
      <w:r>
        <w:t>第一，这样的产品应当限于物质产品，能量等不属于延伸保护的范畴；第二，标的物经过专利方法的加工之后，应当在结构或物理化学特性上产生足够大的变化，使之从公众的眼光看来已经成为一种与处理之前的物品不相同的物品。</w:t>
      </w:r>
    </w:p>
    <w:p>
      <w:pPr>
        <w:ind w:firstLine="480"/>
      </w:pPr>
      <w:r>
        <w:t>二是如何理解产品是否“直接”经方法专利获得，也就是说需要明确方法专利延伸保护的范围和程度。德国的司法实践对“直接”的含义采取的是广义的理解方式，即所谓“直接”获得，不仅包括实施方法专利获得的最初产品，而且在满足一定条件的情况下，还包括对最初产品作进一步加工、处理后获得的产品。前述所提到的“一定条件”，按照德国法院的解释，是指最终获得的产品的价值或主要特点，系由专利方法所处理的最初产品所决定。也就是说根据德国经验，一项最终产品经过专利方法处理之后，无论再经过多少项其他方法的处理，只要其主要价值或特点系由最初专利方法处理之后产生的产品所决定，该最终产品即受方法专利所延伸保护。</w:t>
      </w:r>
    </w:p>
    <w:p>
      <w:pPr>
        <w:ind w:firstLine="482"/>
      </w:pPr>
      <w:r>
        <w:rPr>
          <w:rFonts w:asciiTheme="majorEastAsia" w:hAnsiTheme="majorEastAsia" w:eastAsiaTheme="majorEastAsia"/>
          <w:b/>
          <w:bCs/>
        </w:rPr>
        <w:t>3</w:t>
      </w:r>
      <w:r>
        <w:rPr>
          <w:rFonts w:hint="eastAsia" w:asciiTheme="majorEastAsia" w:hAnsiTheme="majorEastAsia" w:eastAsiaTheme="majorEastAsia"/>
          <w:b/>
          <w:bCs/>
        </w:rPr>
        <w:t>．</w:t>
      </w:r>
      <w:r>
        <w:rPr>
          <w:b/>
          <w:bCs/>
        </w:rPr>
        <w:t>落入了专利或实用新型权利要求的保护范围</w:t>
      </w:r>
    </w:p>
    <w:p>
      <w:pPr>
        <w:ind w:firstLine="480"/>
      </w:pPr>
      <w:r>
        <w:t>判定参展商品是否侵犯德国专利或实用新型权，关键的一点是了解产品以及生产产品的方法是否落入德国专利或实用新型权利要求的保护范围。一般是判断被控侵权的产品或方法中能否找出与专利或实用新型权利要求中记载的每一个技术特征相同或等同的对应技术特征。</w:t>
      </w:r>
    </w:p>
    <w:p>
      <w:pPr>
        <w:ind w:firstLine="482"/>
        <w:rPr>
          <w:b/>
          <w:bCs/>
        </w:rPr>
      </w:pPr>
      <w:r>
        <w:rPr>
          <w:rFonts w:hint="eastAsia"/>
          <w:b/>
          <w:bCs/>
        </w:rPr>
        <w:t>（二）</w:t>
      </w:r>
      <w:r>
        <w:rPr>
          <w:b/>
          <w:bCs/>
        </w:rPr>
        <w:t>其他类型的侵权</w:t>
      </w:r>
    </w:p>
    <w:p>
      <w:pPr>
        <w:ind w:firstLine="482"/>
        <w:rPr>
          <w:b/>
          <w:bCs/>
        </w:rPr>
      </w:pPr>
      <w:r>
        <w:rPr>
          <w:rFonts w:hint="eastAsia" w:asciiTheme="majorEastAsia" w:hAnsiTheme="majorEastAsia" w:eastAsiaTheme="majorEastAsia"/>
          <w:b/>
          <w:bCs/>
        </w:rPr>
        <w:t>1．</w:t>
      </w:r>
      <w:r>
        <w:rPr>
          <w:b/>
          <w:bCs/>
        </w:rPr>
        <w:t>帮助侵权</w:t>
      </w:r>
    </w:p>
    <w:p>
      <w:pPr>
        <w:ind w:firstLine="480"/>
      </w:pPr>
      <w:r>
        <w:t>德国专利法第10条涉及帮助侵权问题。设置帮助侵权条款的目的在于，如果无权使用专利发明的人使用了专利发明，专利权人可以有效维护自身的利益。根据德国专利法的规定，任何第三人知道或者显然应当知道涉及专利发明基本要素的手段适于并且专门用于实施发明专利，那么该第三人在德国专利法的有效地域范围内向他人提供该手段的行为构成帮助侵权。因而，构成德国法上专利帮助侵权需要满足如下要求</w:t>
      </w:r>
      <w:r>
        <w:rPr>
          <w:rFonts w:hint="eastAsia" w:ascii="宋体" w:hAnsi="宋体" w:cs="宋体"/>
        </w:rPr>
        <w:t>∶</w:t>
      </w:r>
      <w:r>
        <w:t>（1）第三人知道或者应当知道，其向侵权人提供的是适于或者专门用于实施发明专利的技术手段；（2）该技术手段在公开市场上无法得到；（3）在德国国内进行“提出或者提供"，向无权限人提出或者提供。</w:t>
      </w:r>
    </w:p>
    <w:p>
      <w:pPr>
        <w:ind w:firstLine="480"/>
      </w:pPr>
      <w:r>
        <w:t>对于德国专利法上的帮助侵权需要说明的是，第三人向他人提供的技术手段原则上是没有授予专利的技术方案，该技术手段对专利发明的实施是基本的，且位于包括等同范围在内的保护范围之外。无权使用的他人必须知道，或者至少显然应当知道其是以侵权的形式使用上述基本技术手段。需要注意的是，即使实际上不存在最终的直接侵权行为，帮助侵权行为也有可能成立，但是至少必须有要实施发明的意图。</w:t>
      </w:r>
    </w:p>
    <w:p>
      <w:pPr>
        <w:ind w:firstLine="482"/>
        <w:rPr>
          <w:b/>
          <w:bCs/>
        </w:rPr>
      </w:pPr>
      <w:r>
        <w:rPr>
          <w:rFonts w:asciiTheme="majorEastAsia" w:hAnsiTheme="majorEastAsia" w:eastAsiaTheme="majorEastAsia"/>
          <w:b/>
          <w:bCs/>
        </w:rPr>
        <w:t>2</w:t>
      </w:r>
      <w:r>
        <w:rPr>
          <w:rFonts w:hint="eastAsia" w:asciiTheme="majorEastAsia" w:hAnsiTheme="majorEastAsia" w:eastAsiaTheme="majorEastAsia"/>
          <w:b/>
          <w:bCs/>
        </w:rPr>
        <w:t>．</w:t>
      </w:r>
      <w:r>
        <w:rPr>
          <w:b/>
          <w:bCs/>
        </w:rPr>
        <w:t>诱导侵权</w:t>
      </w:r>
    </w:p>
    <w:p>
      <w:pPr>
        <w:ind w:firstLine="480"/>
      </w:pPr>
      <w:r>
        <w:t>诱导侵权是指向他人提供制造受专利保护的装置的部件，该部件具有专利发明的基本特征，并且起初便打算与其他的（常规）部件组合以生产成品装置。构成诱导侵权必须是提供部件的人在主观上存在故意，且被提供人实施了直接侵权行为。</w:t>
      </w:r>
    </w:p>
    <w:p>
      <w:pPr>
        <w:ind w:firstLine="482"/>
        <w:rPr>
          <w:b/>
          <w:bCs/>
        </w:rPr>
      </w:pPr>
      <w:r>
        <w:rPr>
          <w:rFonts w:asciiTheme="majorEastAsia" w:hAnsiTheme="majorEastAsia" w:eastAsiaTheme="majorEastAsia"/>
          <w:b/>
          <w:bCs/>
        </w:rPr>
        <w:t>3</w:t>
      </w:r>
      <w:r>
        <w:rPr>
          <w:rFonts w:hint="eastAsia" w:asciiTheme="majorEastAsia" w:hAnsiTheme="majorEastAsia" w:eastAsiaTheme="majorEastAsia"/>
          <w:b/>
          <w:bCs/>
        </w:rPr>
        <w:t>．</w:t>
      </w:r>
      <w:r>
        <w:rPr>
          <w:b/>
          <w:bCs/>
        </w:rPr>
        <w:t>间接侵权</w:t>
      </w:r>
    </w:p>
    <w:p>
      <w:pPr>
        <w:ind w:firstLine="480"/>
      </w:pPr>
      <w:r>
        <w:t>1981年德国专利法第10条规定了对间接使用即间接侵权的禁止。设定间接侵权的目的是给予权利人充分的权利防止他人未经许可的使用行为，禁止购买者对第三者请求和/或提供违法使用专利发明的具有本质意义的技术手段。根据德国法律，构成间接侵权的条件为</w:t>
      </w:r>
      <w:r>
        <w:rPr>
          <w:rFonts w:hint="eastAsia" w:ascii="宋体" w:hAnsi="宋体" w:cs="宋体"/>
        </w:rPr>
        <w:t>∶</w:t>
      </w:r>
      <w:r>
        <w:t>（1）侵权行为的发生与受保护发明的本质要素相关；（2）第三者（间接侵权人）知晓该技术手段可用于专利的实施，并知晓为实施专利而使用该技术手段的意图，或者上述事实是显而易见的。</w:t>
      </w:r>
    </w:p>
    <w:p>
      <w:pPr>
        <w:ind w:firstLine="482"/>
        <w:rPr>
          <w:b/>
          <w:bCs/>
        </w:rPr>
      </w:pPr>
      <w:bookmarkStart w:id="74" w:name="_Toc121146316"/>
      <w:r>
        <w:rPr>
          <w:rFonts w:hint="eastAsia"/>
          <w:b/>
          <w:bCs/>
        </w:rPr>
        <w:t>二、专利侵权的例外</w:t>
      </w:r>
      <w:bookmarkEnd w:id="74"/>
    </w:p>
    <w:p>
      <w:pPr>
        <w:ind w:firstLine="480"/>
        <w:rPr>
          <w:rFonts w:cs="楷体" w:asciiTheme="minorEastAsia" w:hAnsiTheme="minorEastAsia" w:eastAsiaTheme="minorEastAsia"/>
        </w:rPr>
      </w:pPr>
      <w:r>
        <w:t>德国专利侵权的例外是指虽然实施了专利，但是因为存在合法的实施理由，则认为这种专利实施行为不属于侵权的范围。</w:t>
      </w:r>
    </w:p>
    <w:p>
      <w:pPr>
        <w:ind w:firstLine="482"/>
        <w:rPr>
          <w:b/>
          <w:bCs/>
        </w:rPr>
      </w:pPr>
      <w:r>
        <w:rPr>
          <w:rFonts w:asciiTheme="majorEastAsia" w:hAnsiTheme="majorEastAsia" w:eastAsiaTheme="majorEastAsia"/>
          <w:b/>
          <w:bCs/>
        </w:rPr>
        <w:t>1</w:t>
      </w:r>
      <w:r>
        <w:rPr>
          <w:rFonts w:hint="eastAsia" w:asciiTheme="majorEastAsia" w:hAnsiTheme="majorEastAsia" w:eastAsiaTheme="majorEastAsia"/>
          <w:b/>
          <w:bCs/>
        </w:rPr>
        <w:t>．</w:t>
      </w:r>
      <w:r>
        <w:rPr>
          <w:b/>
          <w:bCs/>
        </w:rPr>
        <w:t>获得专利实施的许可证</w:t>
      </w:r>
    </w:p>
    <w:p>
      <w:pPr>
        <w:ind w:firstLine="480"/>
      </w:pPr>
      <w:r>
        <w:t>根据德国专利法第9条的规定，专利的禁止效力仅涉及在未经持有人同意的情况下第三人的行为。因此，如果被告能够证明存在实施专利行为的许可证则可以拒绝权利人的侵权主张。根据德国专利法第24条取得的强制许可，相同的结论也成立。</w:t>
      </w:r>
    </w:p>
    <w:p>
      <w:pPr>
        <w:ind w:firstLine="480"/>
      </w:pPr>
      <w:r>
        <w:t>如果专利权人以书面形式向德国专利局提出声明，表明他人在支付合理的使用费情况下可以使用专利，任何第三人均可以在支付权利人要求的使用费的情况下，使用专利。</w:t>
      </w:r>
    </w:p>
    <w:p>
      <w:pPr>
        <w:ind w:firstLine="482"/>
        <w:rPr>
          <w:b/>
          <w:bCs/>
        </w:rPr>
      </w:pPr>
      <w:r>
        <w:rPr>
          <w:rFonts w:asciiTheme="majorEastAsia" w:hAnsiTheme="majorEastAsia" w:eastAsiaTheme="majorEastAsia"/>
          <w:b/>
          <w:bCs/>
        </w:rPr>
        <w:t>2</w:t>
      </w:r>
      <w:r>
        <w:rPr>
          <w:rFonts w:hint="eastAsia" w:asciiTheme="majorEastAsia" w:hAnsiTheme="majorEastAsia" w:eastAsiaTheme="majorEastAsia"/>
          <w:b/>
          <w:bCs/>
        </w:rPr>
        <w:t>．</w:t>
      </w:r>
      <w:r>
        <w:rPr>
          <w:b/>
          <w:bCs/>
        </w:rPr>
        <w:t>先用权</w:t>
      </w:r>
    </w:p>
    <w:p>
      <w:pPr>
        <w:ind w:firstLine="480"/>
      </w:pPr>
      <w:r>
        <w:t>先用权是指在专利优先权日之前，第三人已经在德国专利法有效地域内使用相同的技术方案或者已经为这种使用作出了必要的准备，则该第三人享有继续使用的权利。法律承认先用权的意义在于保护首先作出发明但未能递交专利申请的自然人或者法人，使其产业上或者经济上的资产不受专利权人的侵扰。</w:t>
      </w:r>
    </w:p>
    <w:p>
      <w:pPr>
        <w:ind w:firstLine="480"/>
      </w:pPr>
      <w:r>
        <w:t>根据德国专利法的规定，主张优先使用权的人必须"已经使用发明"，判例法对上述法律文字进行了拓展，使其成为拥有优先使用权的权利持有人还必须具备发明的概念。因此，先使用人在优先权（申请）日之时，必须理解发明的概念，必须在现实中使用发明或者至少进行了发明的使用准备工作。例如，为了检查新产品在治疗上的有用性在动物身上对发明进行试验，仅仅表示了产业使用等使用意图，则不满足这一要件。取得先使用权必须满足的另一个必要前提条件是在该专利的申请日或者优先权日之前必须已经正在德国国内使用该专利发明。</w:t>
      </w:r>
    </w:p>
    <w:p>
      <w:pPr>
        <w:ind w:firstLine="480"/>
      </w:pPr>
      <w:r>
        <w:t>先使用权并不局限于对发生先使用权之时的事业必要的范围。先使用人可以继续实施与在申请日前已实施的该发明相同的技术课题有关的发明，对其生产数量没有限制。但是，先使用权应和先使用人的事业相结合。因此，允许进行工厂和设备的扩张和增产。然而，对于与先使用权无直接关系的其他工厂的生产，仅当拥有先使用权的人仍然对该工厂的生产种类和范围负有责任时，才可包含在先使用权的范围中。除此之外，先使用权不能转让。</w:t>
      </w:r>
    </w:p>
    <w:p>
      <w:pPr>
        <w:ind w:firstLine="482"/>
        <w:rPr>
          <w:b/>
          <w:bCs/>
        </w:rPr>
      </w:pPr>
      <w:r>
        <w:rPr>
          <w:rFonts w:asciiTheme="majorEastAsia" w:hAnsiTheme="majorEastAsia" w:eastAsiaTheme="majorEastAsia"/>
          <w:b/>
          <w:bCs/>
        </w:rPr>
        <w:t>3</w:t>
      </w:r>
      <w:r>
        <w:rPr>
          <w:rFonts w:hint="eastAsia" w:asciiTheme="majorEastAsia" w:hAnsiTheme="majorEastAsia" w:eastAsiaTheme="majorEastAsia"/>
          <w:b/>
          <w:bCs/>
        </w:rPr>
        <w:t>．</w:t>
      </w:r>
      <w:r>
        <w:rPr>
          <w:rFonts w:asciiTheme="majorEastAsia" w:hAnsiTheme="majorEastAsia" w:eastAsiaTheme="majorEastAsia"/>
          <w:b/>
          <w:bCs/>
        </w:rPr>
        <w:t>专</w:t>
      </w:r>
      <w:r>
        <w:rPr>
          <w:b/>
          <w:bCs/>
        </w:rPr>
        <w:t>利权的用尽和平行输入</w:t>
      </w:r>
    </w:p>
    <w:p>
      <w:pPr>
        <w:ind w:firstLine="480"/>
      </w:pPr>
      <w:r>
        <w:t>专利权人无法再对使用受保护发明的第三人主张自己的专利权利，称为专利权利用尽。这是因为专利权人或者得到其许可的第三人已经将专利产品（或者专利保护的过程的直接产品）销售到市场，如果任由专利权人再次对产品进行控制不利于商品市场的流通。这种权利用尽通常仅在一个国家内发生。例如，产品在德国投放市场时，仅在德国国内权利用尽。除此之外，根据某种要件，专利权人（或者得到其许可的第三人）将受保护的产品销售至欧洲联盟加盟国的市场时也会发生权利用尽。</w:t>
      </w:r>
    </w:p>
    <w:p>
      <w:pPr>
        <w:ind w:firstLine="480"/>
      </w:pPr>
      <w:r>
        <w:t>关于专利权利用尽有所谓的国际用尽问题。根据德国的判例法，目前只承认在欧盟市场上的国际用尽，对于其他国家尚不存在这个问题。也就是说，自欧盟以外的其他国家的平行进口仍然构成对德国专利权的侵犯。</w:t>
      </w:r>
    </w:p>
    <w:p>
      <w:pPr>
        <w:ind w:firstLine="480"/>
      </w:pPr>
      <w:r>
        <w:t>直到出现了日本最高法院著名的BBS铝制车轮判决，专利界才开始实际考虑国际用尽的问题。该判决虽然引起了轩然大波，但默默无闻的许可证概念在一些国家长期以来一直存在。</w:t>
      </w:r>
    </w:p>
    <w:p>
      <w:pPr>
        <w:ind w:firstLine="482"/>
        <w:rPr>
          <w:b/>
          <w:bCs/>
        </w:rPr>
      </w:pPr>
      <w:r>
        <w:rPr>
          <w:rFonts w:asciiTheme="majorEastAsia" w:hAnsiTheme="majorEastAsia" w:eastAsiaTheme="majorEastAsia"/>
          <w:b/>
          <w:bCs/>
        </w:rPr>
        <w:t>4</w:t>
      </w:r>
      <w:r>
        <w:rPr>
          <w:rFonts w:hint="eastAsia" w:asciiTheme="majorEastAsia" w:hAnsiTheme="majorEastAsia" w:eastAsiaTheme="majorEastAsia"/>
          <w:b/>
          <w:bCs/>
        </w:rPr>
        <w:t>．</w:t>
      </w:r>
      <w:r>
        <w:rPr>
          <w:rFonts w:asciiTheme="majorEastAsia" w:hAnsiTheme="majorEastAsia" w:eastAsiaTheme="majorEastAsia"/>
          <w:b/>
          <w:bCs/>
        </w:rPr>
        <w:t>实</w:t>
      </w:r>
      <w:r>
        <w:rPr>
          <w:b/>
          <w:bCs/>
        </w:rPr>
        <w:t>验和临床试验</w:t>
      </w:r>
    </w:p>
    <w:p>
      <w:pPr>
        <w:ind w:firstLine="480"/>
      </w:pPr>
      <w:r>
        <w:t>在医药和植物保护药品的领域内，新的活性成分在得到销售许可之前，必须进行广泛的临床试验和实地试验，并且必须向当局提出请求。这会产生一个问题，即什么试验构成专利侵权，什么试验不构成专利侵权?根据1981 年德国专利法的规定，专利的效力不能涵盖与专利发明主题有关的以实验目的实施的行为。为了判断取得医药专利的活性物质是否适于治疗或者减轻人类疾病，在临床试验中以任何形式使用活性物质，属于围绕发明主题以试验目的实施的行为，因此可以明确地认为是合法行为。德国联邦最高法院还强调，德国专利法第11条第2款规定的实验包括以获得知识为目的的（计划的）所有试验。为了确立这一概念，法律规定要求试验必须符合发明专利的主题。专利效力的这种免除超出了试验的纯粹研究性质，与试验背后是否有销售方面的考虑（无论什么情况下均不会参考这一点）无关。即使进行该试验的目的是获取用于医药合成物的销售许可的数据，也是允许的。试验在商业上的定位和试验所得结果的商业使用意图本身不会使试验行为成为非法的专利侵权。但是，如果此类临床试验的范围过于广泛，以至于超出了正当范围，或者此类试验妨碍了专利权人的产品的销售或者以这种妨碍为意图进行此类试验，则情况会有所不同。</w:t>
      </w:r>
    </w:p>
    <w:p>
      <w:pPr>
        <w:ind w:firstLine="482"/>
        <w:rPr>
          <w:b/>
          <w:bCs/>
        </w:rPr>
      </w:pPr>
      <w:r>
        <w:rPr>
          <w:rFonts w:asciiTheme="majorEastAsia" w:hAnsiTheme="majorEastAsia" w:eastAsiaTheme="majorEastAsia"/>
          <w:b/>
          <w:bCs/>
        </w:rPr>
        <w:t>5</w:t>
      </w:r>
      <w:r>
        <w:rPr>
          <w:rFonts w:hint="eastAsia" w:asciiTheme="majorEastAsia" w:hAnsiTheme="majorEastAsia" w:eastAsiaTheme="majorEastAsia"/>
          <w:b/>
          <w:bCs/>
        </w:rPr>
        <w:t>．</w:t>
      </w:r>
      <w:r>
        <w:rPr>
          <w:rFonts w:asciiTheme="majorEastAsia" w:hAnsiTheme="majorEastAsia" w:eastAsiaTheme="majorEastAsia"/>
          <w:b/>
          <w:bCs/>
        </w:rPr>
        <w:t>专</w:t>
      </w:r>
      <w:r>
        <w:rPr>
          <w:b/>
          <w:bCs/>
        </w:rPr>
        <w:t>利权的限制</w:t>
      </w:r>
    </w:p>
    <w:p>
      <w:pPr>
        <w:ind w:firstLine="480"/>
      </w:pPr>
      <w:r>
        <w:t>德国专利法第11条记载了一些专利效力无法涵盖的行为。首先，最需要注意的是，该条款规定专利权的效力无法涵盖出于个人的或者非商业的目的而实施的行为（德国专利法第11条第1款）。这里的“非商业的”是指仅在纯粹个人的私人范围内进行使用。同样，对于得到专利授权的装置，只要不是以销售为目的展示装置，在公开展览会上进行演示不被认为是商业性的。</w:t>
      </w:r>
    </w:p>
    <w:p>
      <w:pPr>
        <w:ind w:firstLine="480"/>
      </w:pPr>
      <w:r>
        <w:t>其次，专利的效果无法涵盖与专利发明的主题有关的出于实验目的而实施的行为（德国专利法第11条第2款）。这种情况并不要求以个人或者非商业为目的进行实验。因此，允许对发明进行实验性使用，即使这种实验性使用具有商业目的也是如此，例如工业研究所为了开发发明进行的可用性和可能性试验。</w:t>
      </w:r>
    </w:p>
    <w:p>
      <w:pPr>
        <w:ind w:firstLine="480"/>
        <w:rPr>
          <w:rFonts w:cs="楷体" w:asciiTheme="minorEastAsia" w:hAnsiTheme="minorEastAsia" w:eastAsiaTheme="minorEastAsia"/>
        </w:rPr>
      </w:pPr>
      <w:r>
        <w:t>最后，专利无法禁止药房按照处方对个别药品进行实时配方和与该配方医药有关的行为（德国专利法第11条第3款）。</w:t>
      </w:r>
    </w:p>
    <w:p>
      <w:pPr>
        <w:ind w:firstLine="562"/>
        <w:outlineLvl w:val="2"/>
        <w:rPr>
          <w:rFonts w:ascii="黑体" w:hAnsi="黑体" w:eastAsia="黑体" w:cs="Helvetica"/>
          <w:b/>
          <w:color w:val="000000" w:themeColor="text1"/>
          <w:kern w:val="0"/>
          <w:sz w:val="28"/>
          <w:szCs w:val="28"/>
        </w:rPr>
      </w:pPr>
      <w:bookmarkStart w:id="75" w:name="_Toc121146317"/>
      <w:bookmarkStart w:id="76" w:name="_Toc203061381"/>
      <w:r>
        <w:rPr>
          <w:rFonts w:ascii="黑体" w:hAnsi="黑体" w:eastAsia="黑体" w:cs="Helvetica"/>
          <w:b/>
          <w:color w:val="000000" w:themeColor="text1"/>
          <w:kern w:val="0"/>
          <w:sz w:val="28"/>
          <w:szCs w:val="28"/>
        </w:rPr>
        <w:t xml:space="preserve">4.2.2 </w:t>
      </w:r>
      <w:r>
        <w:rPr>
          <w:rFonts w:hint="eastAsia" w:ascii="黑体" w:hAnsi="黑体" w:eastAsia="黑体" w:cs="Helvetica"/>
          <w:b/>
          <w:color w:val="000000" w:themeColor="text1"/>
          <w:kern w:val="0"/>
          <w:sz w:val="28"/>
          <w:szCs w:val="28"/>
        </w:rPr>
        <w:t>德国侵权诉讼的反诉及抗辩</w:t>
      </w:r>
      <w:bookmarkEnd w:id="75"/>
      <w:bookmarkEnd w:id="76"/>
    </w:p>
    <w:p>
      <w:pPr>
        <w:ind w:firstLine="480"/>
      </w:pPr>
      <w:r>
        <w:rPr>
          <w:rFonts w:hint="eastAsia" w:cs="Times New Roman"/>
        </w:rPr>
        <w:t>在侵权诉讼中，针对专利权人的侵权主张，被告也存着着诸多的抗辩手段，</w:t>
      </w:r>
      <w:r>
        <w:t>比如可以从根本上起诉对方权利无效；主张不侵权或者主张对方权利虽然有效，自己也使用了对方的专利技术方案，但是自己的使用存在合理的理由等等。对对方的侵权损害赔偿也可以提出自己的不同意见。本节仅介绍其中最为重要的几项。</w:t>
      </w:r>
    </w:p>
    <w:p>
      <w:pPr>
        <w:ind w:firstLine="482"/>
        <w:rPr>
          <w:b/>
          <w:bCs/>
        </w:rPr>
      </w:pPr>
      <w:r>
        <w:rPr>
          <w:rFonts w:hint="eastAsia"/>
          <w:b/>
          <w:bCs/>
        </w:rPr>
        <w:t>一、</w:t>
      </w:r>
      <w:r>
        <w:rPr>
          <w:b/>
          <w:bCs/>
        </w:rPr>
        <w:t>诉原告专利无效</w:t>
      </w:r>
    </w:p>
    <w:p>
      <w:pPr>
        <w:ind w:firstLine="480"/>
      </w:pPr>
      <w:r>
        <w:t>根据德国专利法的规定，被告可以基于如下理由诉原告专利权无效</w:t>
      </w:r>
      <w:r>
        <w:rPr>
          <w:rFonts w:hint="eastAsia" w:ascii="宋体" w:hAnsi="宋体" w:cs="宋体"/>
        </w:rPr>
        <w:t>∶</w:t>
      </w:r>
      <w:r>
        <w:t>（1）专利不具有新颖性或者创造性；（2）专利权利要求中记载的技术方案不属于发明的范畴（如属于发现、科学理论、美学上的创作作品等）；（3）专利发明的技术方案属于法律上的禁止范围（例如，违反道德的发明、植物或者动物品种、生产植物或者动物的本质上的生物学过程）；（4）专利缺乏实用性（例如疾病的治疗方法等）；（5）说明书未充分公开发明内容，以至于非经创造性劳动无法实施；（6）专利的内容超出了申请时最初记载的内容；（7）专利的保护范围与登记时的范围相比有所扩大；（8）专利权人不具备行使权利的能力。诉原告专利无效不仅可针对德国专利局签发的德国专利，而且可以就欧洲专利局签发并在德国生效的欧洲专利提出。受理专利无效诉讼的法院是总部设在慕尼黑的德国专利法院，不服专利法院判决书的，当事人可以向德国联邦最高法院提起上诉。与侵权诉讼的上诉不同，联邦最高法院不仅就法律问题进行审查还对该案件的实体内容作出决定。根据德国法律，在超过了专利异议期的任何时间内（包括专利有效期已结束），当事人均可以向德国专利法院提起专利无效的诉讼。</w:t>
      </w:r>
    </w:p>
    <w:p>
      <w:pPr>
        <w:ind w:firstLine="482"/>
        <w:rPr>
          <w:b/>
          <w:bCs/>
        </w:rPr>
      </w:pPr>
      <w:r>
        <w:rPr>
          <w:rFonts w:hint="eastAsia"/>
          <w:b/>
          <w:bCs/>
        </w:rPr>
        <w:t>二、</w:t>
      </w:r>
      <w:r>
        <w:rPr>
          <w:b/>
          <w:bCs/>
        </w:rPr>
        <w:t>诉原告专利不能行使</w:t>
      </w:r>
    </w:p>
    <w:p>
      <w:pPr>
        <w:ind w:firstLine="480"/>
      </w:pPr>
      <w:r>
        <w:t>除了专利无效，被告还可以在侵权诉讼中提出证据证明对方专利不能行使。专利权利不能行使是指专利权虽然在表面具备法律上的效力，但是由于存在法律上障碍，导致该专利权不能对被告产生实质性的禁止使用效力。产生专利权利不能行使的情形有包括</w:t>
      </w:r>
      <w:r>
        <w:rPr>
          <w:rFonts w:hint="eastAsia" w:ascii="宋体" w:hAnsi="宋体" w:cs="宋体"/>
        </w:rPr>
        <w:t>∶</w:t>
      </w:r>
      <w:r>
        <w:t>（1）专利权人未能及时支付专利年费；（2）该专利属于双重专利；（3）专利权人存在滥用专利的行为；（4）由于专利权人的懈怠，导致被告有理由相信其继续使用专利也不会被追诉赔偿。</w:t>
      </w:r>
    </w:p>
    <w:p>
      <w:pPr>
        <w:ind w:firstLine="482"/>
        <w:rPr>
          <w:b/>
          <w:bCs/>
        </w:rPr>
      </w:pPr>
      <w:r>
        <w:rPr>
          <w:rFonts w:hint="eastAsia"/>
          <w:b/>
          <w:bCs/>
        </w:rPr>
        <w:t>三、</w:t>
      </w:r>
      <w:r>
        <w:rPr>
          <w:b/>
          <w:bCs/>
        </w:rPr>
        <w:t>其他抗辩方式</w:t>
      </w:r>
    </w:p>
    <w:p>
      <w:pPr>
        <w:ind w:firstLine="480"/>
        <w:rPr>
          <w:rFonts w:cs="Times New Roman"/>
        </w:rPr>
      </w:pPr>
      <w:r>
        <w:t>事实上，对专利侵权的抗辩还包括前述侵权例外中的内容。只要属于侵权例外中的实施方式，均属于被告可自由使用的范围。因此，被告当然可以在侵权诉讼中主张先用权、存在实施协议或者默许的实施等</w:t>
      </w:r>
      <w:r>
        <w:rPr>
          <w:rFonts w:hint="eastAsia"/>
        </w:rPr>
        <w:t>。</w:t>
      </w:r>
    </w:p>
    <w:p>
      <w:pPr>
        <w:ind w:firstLine="562"/>
        <w:outlineLvl w:val="1"/>
      </w:pPr>
      <w:bookmarkStart w:id="77" w:name="_Toc203061382"/>
      <w:r>
        <w:rPr>
          <w:rFonts w:ascii="黑体" w:hAnsi="黑体" w:eastAsia="黑体"/>
          <w:b/>
          <w:bCs/>
          <w:sz w:val="28"/>
          <w:szCs w:val="28"/>
        </w:rPr>
        <w:t>4</w:t>
      </w:r>
      <w:r>
        <w:rPr>
          <w:rFonts w:hint="eastAsia" w:ascii="黑体" w:hAnsi="黑体" w:eastAsia="黑体"/>
          <w:b/>
          <w:bCs/>
          <w:sz w:val="28"/>
          <w:szCs w:val="28"/>
        </w:rPr>
        <w:t>.</w:t>
      </w:r>
      <w:r>
        <w:rPr>
          <w:rFonts w:ascii="黑体" w:hAnsi="黑体" w:eastAsia="黑体"/>
          <w:b/>
          <w:bCs/>
          <w:sz w:val="28"/>
          <w:szCs w:val="28"/>
        </w:rPr>
        <w:t xml:space="preserve">3 </w:t>
      </w:r>
      <w:r>
        <w:rPr>
          <w:rFonts w:hint="eastAsia" w:ascii="黑体" w:hAnsi="黑体" w:eastAsia="黑体"/>
          <w:b/>
          <w:bCs/>
          <w:sz w:val="28"/>
          <w:szCs w:val="28"/>
        </w:rPr>
        <w:t>日本</w:t>
      </w:r>
      <w:bookmarkEnd w:id="58"/>
      <w:r>
        <w:rPr>
          <w:rFonts w:hint="eastAsia" w:ascii="黑体" w:hAnsi="黑体" w:eastAsia="黑体"/>
          <w:b/>
          <w:bCs/>
          <w:sz w:val="28"/>
          <w:szCs w:val="28"/>
        </w:rPr>
        <w:t>知识产权风险防控分析</w:t>
      </w:r>
      <w:bookmarkEnd w:id="77"/>
    </w:p>
    <w:p>
      <w:pPr>
        <w:ind w:firstLine="562"/>
        <w:outlineLvl w:val="2"/>
        <w:rPr>
          <w:rFonts w:ascii="黑体" w:hAnsi="黑体" w:eastAsia="黑体" w:cs="Helvetica"/>
          <w:b/>
          <w:color w:val="000000" w:themeColor="text1"/>
          <w:kern w:val="0"/>
          <w:sz w:val="28"/>
          <w:szCs w:val="28"/>
        </w:rPr>
      </w:pPr>
      <w:bookmarkStart w:id="78" w:name="_Toc121146322"/>
      <w:bookmarkStart w:id="79" w:name="_Toc203061383"/>
      <w:r>
        <w:rPr>
          <w:rFonts w:ascii="黑体" w:hAnsi="黑体" w:eastAsia="黑体" w:cs="Helvetica"/>
          <w:b/>
          <w:color w:val="000000" w:themeColor="text1"/>
          <w:kern w:val="0"/>
          <w:sz w:val="28"/>
          <w:szCs w:val="28"/>
        </w:rPr>
        <w:t xml:space="preserve">4.3.1 </w:t>
      </w:r>
      <w:r>
        <w:rPr>
          <w:rFonts w:hint="eastAsia" w:ascii="黑体" w:hAnsi="黑体" w:eastAsia="黑体" w:cs="Helvetica"/>
          <w:b/>
          <w:color w:val="000000" w:themeColor="text1"/>
          <w:kern w:val="0"/>
          <w:sz w:val="28"/>
          <w:szCs w:val="28"/>
        </w:rPr>
        <w:t>日本专利侵权行为</w:t>
      </w:r>
      <w:bookmarkEnd w:id="78"/>
      <w:bookmarkEnd w:id="79"/>
    </w:p>
    <w:p>
      <w:pPr>
        <w:ind w:firstLine="482"/>
        <w:rPr>
          <w:b/>
          <w:bCs/>
        </w:rPr>
      </w:pPr>
      <w:bookmarkStart w:id="80" w:name="_Toc121146323"/>
      <w:r>
        <w:rPr>
          <w:rFonts w:hint="eastAsia"/>
          <w:b/>
          <w:bCs/>
        </w:rPr>
        <w:t>一、专利侵权的定义</w:t>
      </w:r>
      <w:bookmarkEnd w:id="80"/>
    </w:p>
    <w:p>
      <w:pPr>
        <w:ind w:firstLine="480"/>
      </w:pPr>
      <w:r>
        <w:t>专利侵权，又称侵害专利权，是指行为人未经专利权人许可又无法律依据，以营利为目的，针对专利权人依法受保护的专利在保护期内所享有的人身权或财产权的侵害行为。日本专利法第101条规定下述行为，视为侵害专利权或专用实施权的行为</w:t>
      </w:r>
      <w:r>
        <w:rPr>
          <w:rFonts w:hint="eastAsia" w:ascii="宋体" w:hAnsi="宋体" w:cs="宋体"/>
        </w:rPr>
        <w:t>∶</w:t>
      </w:r>
      <w:r>
        <w:t>一是针对专利产品，以生产经营为目的，制造、使用、许诺销售、销售、进口专利产品的行为；二是针对专利方法，以生产经营为目的，使用专利方法及使用、许诺销售、销售、进口依照该方法直接获得的产品的行为。</w:t>
      </w:r>
    </w:p>
    <w:p>
      <w:pPr>
        <w:ind w:firstLine="482"/>
        <w:rPr>
          <w:b/>
          <w:bCs/>
        </w:rPr>
      </w:pPr>
      <w:bookmarkStart w:id="81" w:name="_Toc121146324"/>
      <w:r>
        <w:rPr>
          <w:rFonts w:hint="eastAsia"/>
          <w:b/>
          <w:bCs/>
        </w:rPr>
        <w:t>二、专利侵权行为</w:t>
      </w:r>
      <w:bookmarkEnd w:id="81"/>
    </w:p>
    <w:p>
      <w:pPr>
        <w:ind w:firstLine="480"/>
      </w:pPr>
      <w:r>
        <w:t>专利侵权行为分为直接侵权行为和间接侵权行为两类。</w:t>
      </w:r>
    </w:p>
    <w:p>
      <w:pPr>
        <w:ind w:firstLine="482"/>
        <w:rPr>
          <w:b/>
          <w:bCs/>
        </w:rPr>
      </w:pPr>
      <w:r>
        <w:rPr>
          <w:rFonts w:hint="eastAsia"/>
          <w:b/>
          <w:bCs/>
        </w:rPr>
        <w:t>（一）</w:t>
      </w:r>
      <w:r>
        <w:rPr>
          <w:b/>
          <w:bCs/>
        </w:rPr>
        <w:t>直接侵权行为</w:t>
      </w:r>
    </w:p>
    <w:p>
      <w:pPr>
        <w:ind w:firstLine="480"/>
      </w:pPr>
      <w:r>
        <w:t>直接侵权行为是指直接由行为人实施的侵犯他人专利权的行为，其表现形式包括</w:t>
      </w:r>
      <w:r>
        <w:rPr>
          <w:rFonts w:hint="eastAsia" w:ascii="宋体" w:hAnsi="宋体" w:cs="宋体"/>
        </w:rPr>
        <w:t>∶</w:t>
      </w:r>
    </w:p>
    <w:p>
      <w:pPr>
        <w:ind w:firstLine="480"/>
      </w:pPr>
      <w:r>
        <w:t>（1）制造专利产品的行为。专利产品是指专利权人在权利要求书中描述的产品。无论制造者是否知道是专利产品，也不论是用什么方法制造的，只要未经专利权人许可，以营利目的制造，就构成侵权行为。</w:t>
      </w:r>
    </w:p>
    <w:p>
      <w:pPr>
        <w:ind w:firstLine="480"/>
        <w:rPr>
          <w:rFonts w:cs="楷体" w:asciiTheme="minorEastAsia" w:hAnsiTheme="minorEastAsia" w:eastAsiaTheme="minorEastAsia"/>
        </w:rPr>
      </w:pPr>
      <w:r>
        <w:t>（2）使用专利产品的行为。此种行为在主观上必须有故意的过错才能成立。故意，是指使用人明知产品是未经专利权人许可而制造的，仍购买使用的。</w:t>
      </w:r>
    </w:p>
    <w:p>
      <w:pPr>
        <w:ind w:firstLine="480"/>
      </w:pPr>
      <w:r>
        <w:t>（3）许诺销售专利产品的行为。</w:t>
      </w:r>
    </w:p>
    <w:p>
      <w:pPr>
        <w:ind w:firstLine="480"/>
      </w:pPr>
      <w:r>
        <w:t>（4）销售专利产品的行为。和使用专利产品的行为一样，此行为由主观故意而构成，即明知属于侵权产品仍予以销售。</w:t>
      </w:r>
    </w:p>
    <w:p>
      <w:pPr>
        <w:ind w:firstLine="480"/>
      </w:pPr>
      <w:r>
        <w:t>（5）进口专利产品的行为。进口专利产品或进口依照专利方法直接获得的产品。</w:t>
      </w:r>
    </w:p>
    <w:p>
      <w:pPr>
        <w:ind w:firstLine="480"/>
      </w:pPr>
      <w:r>
        <w:t>（6）使用专利方法以及使用、许诺销售、销售、进口依照该专利方法直接获得的产品的行为。</w:t>
      </w:r>
    </w:p>
    <w:p>
      <w:pPr>
        <w:ind w:firstLine="480"/>
      </w:pPr>
      <w:r>
        <w:t>（7）假冒他人专利的行为。此种行为是指非专利权人未经专利权人许可，在产品或产品包装上标示专利权人的专利标志或专利号，仿冒专利权人的专利产品。</w:t>
      </w:r>
    </w:p>
    <w:p>
      <w:pPr>
        <w:ind w:firstLine="480"/>
      </w:pPr>
      <w:r>
        <w:t>为生产经营目的使用或者销售不知道是未经专利权人许可而制造并售出的专利产品或者依照专利方法直接获得的产品，能证明其产品合法来源的，仍然属于侵犯专利权的行为，需要停止侵害但不承担赔偿责任。</w:t>
      </w:r>
    </w:p>
    <w:p>
      <w:pPr>
        <w:ind w:firstLine="482"/>
      </w:pPr>
      <w:r>
        <w:rPr>
          <w:rFonts w:hint="eastAsia"/>
          <w:b/>
          <w:bCs/>
        </w:rPr>
        <w:t>（二）</w:t>
      </w:r>
      <w:r>
        <w:rPr>
          <w:b/>
          <w:bCs/>
        </w:rPr>
        <w:t>间接侵权行为</w:t>
      </w:r>
    </w:p>
    <w:p>
      <w:pPr>
        <w:ind w:firstLine="480"/>
      </w:pPr>
      <w:r>
        <w:t>根据日本专利法第102条的规定，为侵权做准备或者帮助侵权且诱发直接侵权的概率非常高的行为也被视为侵害专利权或专用实施权的行为，这就是所谓的间接侵权。间接侵权行为是指行为人本身的行为并不直接构成对专利权的侵害，但实施了诱导、怂恿、教唆、帮助他人侵害专利权的行为。间接侵权行为表现在</w:t>
      </w:r>
      <w:r>
        <w:rPr>
          <w:rFonts w:hint="eastAsia" w:ascii="宋体" w:hAnsi="宋体" w:cs="宋体"/>
        </w:rPr>
        <w:t>∶</w:t>
      </w:r>
      <w:r>
        <w:t>出售专利产品或者用于使用专利方法的设备的主要零件；提供实施专利方法的条件的行为；制造出售只能生产专利产品或者实施专利方法的设备的行为；修理和改造行为等。</w:t>
      </w:r>
    </w:p>
    <w:p>
      <w:pPr>
        <w:ind w:firstLine="482"/>
        <w:rPr>
          <w:rFonts w:asciiTheme="majorEastAsia" w:hAnsiTheme="majorEastAsia" w:eastAsiaTheme="majorEastAsia"/>
          <w:b/>
          <w:bCs/>
        </w:rPr>
      </w:pPr>
      <w:bookmarkStart w:id="82" w:name="_Toc121146325"/>
      <w:r>
        <w:rPr>
          <w:rFonts w:hint="eastAsia" w:asciiTheme="majorEastAsia" w:hAnsiTheme="majorEastAsia" w:eastAsiaTheme="majorEastAsia"/>
          <w:b/>
          <w:bCs/>
        </w:rPr>
        <w:t>三、专利侵权的例外</w:t>
      </w:r>
      <w:bookmarkEnd w:id="82"/>
    </w:p>
    <w:p>
      <w:pPr>
        <w:ind w:firstLine="482"/>
        <w:rPr>
          <w:rFonts w:asciiTheme="minorEastAsia" w:hAnsiTheme="minorEastAsia" w:eastAsiaTheme="minorEastAsia"/>
        </w:rPr>
      </w:pPr>
      <w:r>
        <w:rPr>
          <w:rFonts w:hint="eastAsia" w:asciiTheme="majorEastAsia" w:hAnsiTheme="majorEastAsia" w:eastAsiaTheme="majorEastAsia"/>
          <w:b/>
          <w:bCs/>
        </w:rPr>
        <w:t>1</w:t>
      </w:r>
      <w:r>
        <w:rPr>
          <w:rFonts w:asciiTheme="majorEastAsia" w:hAnsiTheme="majorEastAsia" w:eastAsiaTheme="majorEastAsia"/>
          <w:b/>
          <w:bCs/>
        </w:rPr>
        <w:t>.专利权</w:t>
      </w:r>
      <w:r>
        <w:rPr>
          <w:rFonts w:asciiTheme="minorEastAsia" w:hAnsiTheme="minorEastAsia" w:eastAsiaTheme="minorEastAsia"/>
          <w:b/>
          <w:bCs/>
        </w:rPr>
        <w:t>的用尽</w:t>
      </w:r>
    </w:p>
    <w:p>
      <w:pPr>
        <w:ind w:firstLine="480"/>
      </w:pPr>
      <w:r>
        <w:t>专利权人自己或许可他人制造的专利产品被合法投入市场后，任何人对该产品进行使用或销售，不再需要经过专利权人的许可，不构成侵犯专利权。</w:t>
      </w:r>
    </w:p>
    <w:p>
      <w:pPr>
        <w:ind w:firstLine="480"/>
      </w:pPr>
      <w:r>
        <w:t>专利权用尽有很多种方式，平行进口中的专利权问题属于其中一种，日本对于平行进口中的权利问题争议颇多。</w:t>
      </w:r>
    </w:p>
    <w:p>
      <w:pPr>
        <w:ind w:firstLine="482"/>
        <w:rPr>
          <w:rFonts w:asciiTheme="minorEastAsia" w:hAnsiTheme="minorEastAsia" w:eastAsiaTheme="minorEastAsia"/>
          <w:b/>
          <w:bCs/>
        </w:rPr>
      </w:pPr>
      <w:r>
        <w:rPr>
          <w:rFonts w:asciiTheme="majorEastAsia" w:hAnsiTheme="majorEastAsia" w:eastAsiaTheme="majorEastAsia"/>
          <w:b/>
          <w:bCs/>
        </w:rPr>
        <w:t>2</w:t>
      </w:r>
      <w:r>
        <w:rPr>
          <w:rFonts w:hint="eastAsia" w:asciiTheme="majorEastAsia" w:hAnsiTheme="majorEastAsia" w:eastAsiaTheme="majorEastAsia"/>
          <w:b/>
          <w:bCs/>
        </w:rPr>
        <w:t>．</w:t>
      </w:r>
      <w:r>
        <w:rPr>
          <w:rFonts w:asciiTheme="majorEastAsia" w:hAnsiTheme="majorEastAsia" w:eastAsiaTheme="majorEastAsia"/>
          <w:b/>
          <w:bCs/>
        </w:rPr>
        <w:t>善意实施</w:t>
      </w:r>
      <w:r>
        <w:rPr>
          <w:rFonts w:asciiTheme="minorEastAsia" w:hAnsiTheme="minorEastAsia" w:eastAsiaTheme="minorEastAsia"/>
          <w:b/>
          <w:bCs/>
        </w:rPr>
        <w:t>行为</w:t>
      </w:r>
    </w:p>
    <w:p>
      <w:pPr>
        <w:ind w:firstLine="480"/>
      </w:pPr>
      <w:r>
        <w:t>日本专利法第69条规定，专利权的效力不适用于为试验或研究而实施的专利发明。所以为科学研究和实验目的，使用专利产品或专利方法的，属于善意使用行为，不构成侵权。该条第2款在规定在专利申请时，在日本国内已存在的物品为专利产品或是专利方法制造的产品，其专利权的效力不适用。</w:t>
      </w:r>
    </w:p>
    <w:p>
      <w:pPr>
        <w:ind w:firstLine="480"/>
      </w:pPr>
      <w:r>
        <w:t>根据日本专利法第79条的规定，行为人因不知属于他人已申请专利的发明内容而完成自己的发明，以及同样不知他人拟申请专利的发明内容，而从该发明人处了解到的情况下提出自己的专利申请时</w:t>
      </w:r>
      <w:r>
        <w:rPr>
          <w:rFonts w:hint="eastAsia"/>
        </w:rPr>
        <w:t>[</w:t>
      </w:r>
      <w:r>
        <w:t>根据日本专利法第44条及第53条第（4）项的规定</w:t>
      </w:r>
      <w:r>
        <w:rPr>
          <w:rFonts w:hint="eastAsia"/>
        </w:rPr>
        <w:t>]</w:t>
      </w:r>
      <w:r>
        <w:t>，实际已经在日本国内实施该发明的生产项目和准备完成该项目行为，并且该行为的实施在原有范围内，不视为对专利权的侵犯。故在专利申请日以前已经制造相同产品、使用相同方法或已经做好制造、使用的必要准备，并且在原有范围内继续制造、使用的，不视为侵犯专利权。</w:t>
      </w:r>
    </w:p>
    <w:p>
      <w:pPr>
        <w:ind w:firstLine="482"/>
        <w:rPr>
          <w:rFonts w:asciiTheme="majorEastAsia" w:hAnsiTheme="majorEastAsia" w:eastAsiaTheme="majorEastAsia"/>
          <w:b/>
          <w:bCs/>
        </w:rPr>
      </w:pPr>
      <w:r>
        <w:rPr>
          <w:rFonts w:asciiTheme="majorEastAsia" w:hAnsiTheme="majorEastAsia" w:eastAsiaTheme="majorEastAsia"/>
          <w:b/>
          <w:bCs/>
        </w:rPr>
        <w:t>3</w:t>
      </w:r>
      <w:r>
        <w:rPr>
          <w:rFonts w:hint="eastAsia" w:asciiTheme="majorEastAsia" w:hAnsiTheme="majorEastAsia" w:eastAsiaTheme="majorEastAsia"/>
          <w:b/>
          <w:bCs/>
        </w:rPr>
        <w:t>．</w:t>
      </w:r>
      <w:r>
        <w:rPr>
          <w:rFonts w:asciiTheme="majorEastAsia" w:hAnsiTheme="majorEastAsia" w:eastAsiaTheme="majorEastAsia"/>
          <w:b/>
          <w:bCs/>
        </w:rPr>
        <w:t>临时过境</w:t>
      </w:r>
    </w:p>
    <w:p>
      <w:pPr>
        <w:ind w:firstLine="480"/>
      </w:pPr>
      <w:r>
        <w:t>日本专利法第69条第2款规定，专利权的效力不适用于仅在日本过境的船舶或飞机，或供其使用的机械、器具、装置及其他物品。所以临时通过日本国领域、领水或领空的外国运输工具，依照其所属国同日本签订的协议或共同参加的国际条约，或依照互惠原则，为其自身需要而使用在日本享有专利权的机械装置和零部件的，无须得到专利权人的许可，不构成侵权。</w:t>
      </w:r>
    </w:p>
    <w:p>
      <w:pPr>
        <w:ind w:firstLine="482"/>
        <w:rPr>
          <w:rFonts w:asciiTheme="majorEastAsia" w:hAnsiTheme="majorEastAsia" w:eastAsiaTheme="majorEastAsia"/>
          <w:b/>
          <w:bCs/>
        </w:rPr>
      </w:pPr>
      <w:r>
        <w:rPr>
          <w:rFonts w:asciiTheme="majorEastAsia" w:hAnsiTheme="majorEastAsia" w:eastAsiaTheme="majorEastAsia"/>
          <w:b/>
          <w:bCs/>
        </w:rPr>
        <w:t>4</w:t>
      </w:r>
      <w:r>
        <w:rPr>
          <w:rFonts w:hint="eastAsia" w:asciiTheme="majorEastAsia" w:hAnsiTheme="majorEastAsia" w:eastAsiaTheme="majorEastAsia"/>
          <w:b/>
          <w:bCs/>
        </w:rPr>
        <w:t>．</w:t>
      </w:r>
      <w:r>
        <w:rPr>
          <w:rFonts w:asciiTheme="majorEastAsia" w:hAnsiTheme="majorEastAsia" w:eastAsiaTheme="majorEastAsia"/>
          <w:b/>
          <w:bCs/>
        </w:rPr>
        <w:t>特别实施</w:t>
      </w:r>
    </w:p>
    <w:p>
      <w:pPr>
        <w:ind w:firstLine="480"/>
      </w:pPr>
      <w:r>
        <w:t>日本专利法第93条规定，为了公众利益而实施的专利行为，属于专利不侵权行为。但该专利的实施是有前提条件的，首先是专利实施行为确系公众利益的需要，其次是专利发明的拟实施者，必须与专利权所有人或独占实施权所有人达成一致协议，如果协议不成则通过通商产业大臣裁决。</w:t>
      </w:r>
    </w:p>
    <w:p>
      <w:pPr>
        <w:ind w:firstLine="562"/>
        <w:outlineLvl w:val="2"/>
        <w:rPr>
          <w:rFonts w:ascii="黑体" w:hAnsi="黑体" w:eastAsia="黑体" w:cs="Helvetica"/>
          <w:b/>
          <w:color w:val="000000" w:themeColor="text1"/>
          <w:kern w:val="0"/>
          <w:sz w:val="28"/>
          <w:szCs w:val="28"/>
        </w:rPr>
      </w:pPr>
      <w:bookmarkStart w:id="83" w:name="_Toc121146326"/>
      <w:bookmarkStart w:id="84" w:name="_Toc203061384"/>
      <w:r>
        <w:rPr>
          <w:rFonts w:ascii="黑体" w:hAnsi="黑体" w:eastAsia="黑体" w:cs="Helvetica"/>
          <w:b/>
          <w:color w:val="000000" w:themeColor="text1"/>
          <w:kern w:val="0"/>
          <w:sz w:val="28"/>
          <w:szCs w:val="28"/>
        </w:rPr>
        <w:t xml:space="preserve">4.3.2 </w:t>
      </w:r>
      <w:r>
        <w:rPr>
          <w:rFonts w:hint="eastAsia" w:ascii="黑体" w:hAnsi="黑体" w:eastAsia="黑体" w:cs="Helvetica"/>
          <w:b/>
          <w:color w:val="000000" w:themeColor="text1"/>
          <w:kern w:val="0"/>
          <w:sz w:val="28"/>
          <w:szCs w:val="28"/>
        </w:rPr>
        <w:t>日本专利侵权诉讼的反诉及抗辩</w:t>
      </w:r>
      <w:bookmarkEnd w:id="83"/>
      <w:bookmarkEnd w:id="84"/>
    </w:p>
    <w:p>
      <w:pPr>
        <w:ind w:firstLine="480"/>
      </w:pPr>
      <w:r>
        <w:t>被控专利权侵权的人可提出某种所谓的反论以进行抗辩。就此而言，例如，证明专利权人主张的被追诉者的技术为公知技术，是属于相应公知技术的实施行为，从而基于所谓的公知技术进行抗辩，或者进行连带禁止反言的抗辩，即，可以考虑以专利权不能企及在申请过程中有意识排除的事项这一理论为依据，对专利权人主张的事实在申请当时属于申请人（发明人）有意识排除的事项进行的有意识排除主张。</w:t>
      </w:r>
    </w:p>
    <w:p>
      <w:pPr>
        <w:ind w:firstLine="480"/>
      </w:pPr>
      <w:r>
        <w:t>而且，还可以考虑在专利发明整体上其专利权存在无效理由时提出无效这样的抗辩。这是基于在存在专利无效审判请求的场合中，针对专利权侵权手续法院能够中止诉讼手续这样的规定。在这种场合下，专利无效审判在日本的制度中是于专利局中进行的，而专利权侵权是在法院进行的。两者由于各自履行各自的手续，至于何者为先抑或联合进行这在法律上不是原则性问题。但是，针对专利权侵权而被法院临时禁令的专利而言，由于专利局在后下达专利无效判决事务相当复杂，所以，最好考虑尽量先裁决专利无效审判，根据该结果再决定履行专利权侵权手续。</w:t>
      </w:r>
    </w:p>
    <w:p>
      <w:pPr>
        <w:ind w:firstLine="480"/>
      </w:pPr>
      <w:r>
        <w:t>在日本“专利审查基准”（以下简称为“审查基准”）第Ⅱ部分第2章新颖性创造性1.2.4中指出</w:t>
      </w:r>
      <w:r>
        <w:rPr>
          <w:rFonts w:hint="eastAsia" w:ascii="宋体" w:hAnsi="宋体" w:cs="宋体"/>
        </w:rPr>
        <w:t>∶</w:t>
      </w:r>
      <w:r>
        <w:t>技术常识指本领域普通技术人员普遍知道的技术（包含公知技术、惯用技术）或根据经验法则而容易得出的事项。在审查基准第I部分第1章说明书和权利要求的记载要素2.2第36条第6项第2号中给出了“技术常识”、“公知技术”、“惯用技术”的定义。“技术常识”指根据本领域普通技术人员普遍知道的技术或经验法则而容易得出的事项。于是，只要技术常识是本领域普通技术人员普遍知道，则其还包括实验、分析、制造的方法等。本领域普通技术人员是否普遍知道不仅应根据记载该技术的文献的数量来判断，而且还考虑本领域普通技术人员对该技术的关注程度来判断。另外，技术常识为含义比公知惯用技术的概念广的术语。“公知技术”指本技术领域普遍知道的技术，比如，具有与其有关的相当多的公开文献，或在本行业已知，或者不必列举而熟知的技术。另外"惯用技术"为公知技术，并且指常用的技术。</w:t>
      </w:r>
    </w:p>
    <w:p>
      <w:pPr>
        <w:ind w:firstLine="480"/>
      </w:pPr>
      <w:r>
        <w:t>日本专利侵权诉讼中进行抗辩主要依据专利法规定的先用权、现有技术、禁止反悔等原则。此外还包括诸如自己专利抗辩、专利权丧失又恢复时他人的使用权、同一申请人重复申请专利、专利内容公开前实施不侵权、权利用尽、平行进口、科研实践、临时过境、经授权使用、默许使用、搭售等反垄断行为，鉴于篇幅关系，</w:t>
      </w:r>
      <w:r>
        <w:rPr>
          <w:rFonts w:hint="eastAsia"/>
        </w:rPr>
        <w:t>下面</w:t>
      </w:r>
      <w:r>
        <w:t>将择要介绍。</w:t>
      </w:r>
    </w:p>
    <w:p>
      <w:pPr>
        <w:ind w:firstLine="482"/>
      </w:pPr>
      <w:r>
        <w:rPr>
          <w:rFonts w:hint="eastAsia"/>
          <w:b/>
          <w:bCs/>
        </w:rPr>
        <w:t>一、</w:t>
      </w:r>
      <w:r>
        <w:rPr>
          <w:b/>
          <w:bCs/>
        </w:rPr>
        <w:t>在先权抗辩</w:t>
      </w:r>
    </w:p>
    <w:p>
      <w:pPr>
        <w:ind w:firstLine="480"/>
      </w:pPr>
      <w:r>
        <w:t>两项或者两项以上权利，分别归属于不同主体，可能导致相互矛盾或抵触，不免发生权利冲突。当冲突发生时，如果当事人之间不能自行协商解决，难免形成诉讼。对于专利领域，日本专利法第72条规定解决此类诉讼的重要原则之一是保护在先权利原则。该原则的含义有二</w:t>
      </w:r>
      <w:r>
        <w:rPr>
          <w:rFonts w:hint="eastAsia" w:ascii="宋体" w:hAnsi="宋体" w:cs="宋体"/>
        </w:rPr>
        <w:t>∶</w:t>
      </w:r>
      <w:r>
        <w:t>其一，在先权利人指控在后权利人侵权时，在先权利应受到保护，在后权利人不能对抗在先权利人。其二，在后权利人指控在先权利人侵权时，在先权利人可以对抗在后权利人。</w:t>
      </w:r>
    </w:p>
    <w:p>
      <w:pPr>
        <w:ind w:firstLine="480"/>
      </w:pPr>
      <w:r>
        <w:t>从日本的专利权利冲突案件看，既有在先权利人指控在后权利人侵权的案件，也有在后权利人指控在先权利人侵权的案件，涉及专利权与专利权纠纷、专利权与著作权纠纷以及专利权与商品的包装装潢纠纷等。初期，由于缺乏明确的法律依据，日本各地法院的审理思路不统一，做法不尽相同。有的法院以上述纠纷涉及行政管理为由，不予受理，或驳回起诉；有的法院则中止诉讼，等待相关处理结果；有的法院则依据相关法理，保护在先权利；有的法院则以冲突权利均合法为由，驳回当事人诉讼请求。后期，各地做法逐渐统一。按照日本专利法的精神将保护在先权利确立为审理知识产权权利冲突纠纷案件的一项最基本的原则。在适用该原则时，主要有以下做法</w:t>
      </w:r>
      <w:r>
        <w:rPr>
          <w:rFonts w:hint="eastAsia" w:ascii="宋体" w:hAnsi="宋体" w:cs="宋体"/>
        </w:rPr>
        <w:t>∶</w:t>
      </w:r>
      <w:r>
        <w:t>首先，审查在先权利和在后权利的合法性。在先权利和在后权利从形式到内容均应具有合法性，均能够成为一项独立、完整的权利。如果其中一项不合法，则不再从权利冲突角度审查，而径行从权利人与侵权人之间的侵权纠纷方面审理。其次，严格审查不同权利的形成时间，根据“谁主张，谁举证”原则，权利人应对其主张权利和赖以抗辩权利的形成时间负举证责任，并达到优势证据程度。再次，在先权利的效力范围应当覆盖在后权利，如此，在先权利抗辩成立。否则，仍需结合具体案情做进一步分析。</w:t>
      </w:r>
    </w:p>
    <w:p>
      <w:pPr>
        <w:ind w:firstLine="482"/>
        <w:rPr>
          <w:b/>
          <w:bCs/>
        </w:rPr>
      </w:pPr>
      <w:r>
        <w:rPr>
          <w:rFonts w:hint="eastAsia"/>
          <w:b/>
          <w:bCs/>
        </w:rPr>
        <w:t>二、</w:t>
      </w:r>
      <w:r>
        <w:rPr>
          <w:b/>
          <w:bCs/>
        </w:rPr>
        <w:t>先用权抗辩</w:t>
      </w:r>
    </w:p>
    <w:p>
      <w:pPr>
        <w:ind w:firstLine="480"/>
      </w:pPr>
      <w:r>
        <w:t>日本专利法第69条第2款第（2）项规定，专利权的效力在专利申请时，对于用申请专利的方法制造的产品或者申请专利的产品在国内已经存在的物品不适用。这是对先用权的规定。</w:t>
      </w:r>
    </w:p>
    <w:p>
      <w:pPr>
        <w:ind w:firstLine="480"/>
        <w:rPr>
          <w:rFonts w:ascii="宋体" w:hAnsi="宋体" w:cs="宋体"/>
        </w:rPr>
      </w:pPr>
      <w:r>
        <w:t>在专利侵权诉讼中正确适用先用权的关键在于把握先用权成立的条件</w:t>
      </w:r>
      <w:r>
        <w:rPr>
          <w:rFonts w:hint="eastAsia" w:ascii="宋体" w:hAnsi="宋体" w:cs="宋体"/>
        </w:rPr>
        <w:t>∶</w:t>
      </w:r>
    </w:p>
    <w:p>
      <w:pPr>
        <w:ind w:firstLine="480"/>
      </w:pPr>
      <w:r>
        <w:t>（1）时间条件</w:t>
      </w:r>
      <w:r>
        <w:rPr>
          <w:rFonts w:hint="eastAsia" w:ascii="宋体" w:hAnsi="宋体" w:cs="宋体"/>
        </w:rPr>
        <w:t>∶</w:t>
      </w:r>
      <w:r>
        <w:t>在先使用行为必须是在该项专利的申请日或优先权日以前已经制造相同产品、使用相同方法。</w:t>
      </w:r>
    </w:p>
    <w:p>
      <w:pPr>
        <w:ind w:firstLine="480"/>
      </w:pPr>
      <w:r>
        <w:t>（2）独立性条件</w:t>
      </w:r>
      <w:r>
        <w:rPr>
          <w:rFonts w:hint="eastAsia" w:ascii="宋体" w:hAnsi="宋体" w:cs="宋体"/>
        </w:rPr>
        <w:t>∶</w:t>
      </w:r>
      <w:r>
        <w:t>先使用人所使用的发明创造必须是独立完成或者合法获得的且应与专利权人无关，以非法途径得到的发明创造不能产生优先权。</w:t>
      </w:r>
    </w:p>
    <w:p>
      <w:pPr>
        <w:ind w:firstLine="480"/>
      </w:pPr>
      <w:r>
        <w:t>（3）使用性条件</w:t>
      </w:r>
      <w:r>
        <w:rPr>
          <w:rFonts w:hint="eastAsia" w:ascii="宋体" w:hAnsi="宋体" w:cs="宋体"/>
        </w:rPr>
        <w:t>∶</w:t>
      </w:r>
      <w:r>
        <w:t>先使用人必须在他人专利申请日前至少已经做好了制造或者使用的必要准备。</w:t>
      </w:r>
    </w:p>
    <w:p>
      <w:pPr>
        <w:ind w:firstLine="480"/>
      </w:pPr>
      <w:r>
        <w:t>（4）使用范围条件</w:t>
      </w:r>
      <w:r>
        <w:rPr>
          <w:rFonts w:hint="eastAsia" w:ascii="宋体" w:hAnsi="宋体" w:cs="宋体"/>
        </w:rPr>
        <w:t>∶</w:t>
      </w:r>
      <w:r>
        <w:t>先用权的制造或使用行为，只限于原有的范围之内，不得扩大使用范围。</w:t>
      </w:r>
    </w:p>
    <w:p>
      <w:pPr>
        <w:ind w:firstLine="480"/>
      </w:pPr>
      <w:r>
        <w:t>无论将先用权理解为独立的权利，还是抗辩权，均不影响其对专利权的限制。实践中，当被控侵权人提出先用权抗辩的，日本的做法是</w:t>
      </w:r>
      <w:r>
        <w:rPr>
          <w:rFonts w:hint="eastAsia" w:ascii="宋体" w:hAnsi="宋体" w:cs="宋体"/>
        </w:rPr>
        <w:t>∶</w:t>
      </w:r>
      <w:r>
        <w:t>首先将权利要求记载的全部必要技术特征与被控侵权物的相应技术特征进行对比，判断二者是否相同或等同，如果既不相同也不等同，直接驳回原告的诉讼请求；如果相同或等同成立，便接着审查先用权抗辩是否成立。</w:t>
      </w:r>
    </w:p>
    <w:p>
      <w:pPr>
        <w:ind w:firstLine="480"/>
      </w:pPr>
      <w:r>
        <w:t>判定先用权抗辩是否成立的关键在于，如何准确地理解先用权抗辩人是否“已经制造相同产品、使用相同方法”、“已经做好制造、使用的必要准备”以及“仅在原有范围内继续制造、使用”。是否“已经制造相同产品、使用相同方法”比较容易把握，可以审查先用权抗辩人的相关生产记录、仓储情况等。</w:t>
      </w:r>
    </w:p>
    <w:p>
      <w:pPr>
        <w:ind w:firstLine="482"/>
        <w:rPr>
          <w:b/>
          <w:bCs/>
        </w:rPr>
      </w:pPr>
      <w:r>
        <w:rPr>
          <w:rFonts w:hint="eastAsia"/>
          <w:b/>
          <w:bCs/>
        </w:rPr>
        <w:t>三、</w:t>
      </w:r>
      <w:r>
        <w:rPr>
          <w:b/>
          <w:bCs/>
        </w:rPr>
        <w:t>现有技术抗辩</w:t>
      </w:r>
    </w:p>
    <w:p>
      <w:pPr>
        <w:ind w:firstLine="480"/>
      </w:pPr>
      <w:r>
        <w:t>日本专利法规定，未作出宣告专利无效的决定，即便专利存在某些瑕疵，法院也必须将该专利视为有效。在该背景的下，日本法院积极探讨现有技术抗辩的法律适用，在专利侵权诉讼中积极参考公知技术，建立了非常完整的判例理论，如公知技术排外论、公共财产论、权利滥用论等，旨在平衡专利权人和社会公众的利益。2000年日本最高法院的Kilby案判决之前，日本法院在侵权诉讼中一概不涉及专利无效的问题，严格遵循职权分离原则。如1962年12月7日，日本最高法院判决指出，"与专利无效审判不同，确认权利要求范围的审判是以专利权有效为前提的，因此，在这样的诉讼中不能讨论专利的内容是否为现有技术的问题"。需要指出的是，该阶段还存在现有技术排除说和自由技术抗辩说。如1964年8月4日，日本最高法院判决指出，"如果实用新型包含有申请时已经公开的技术，应将上述现有技术排除在具有新颖性的方案之外"。也就是说，将现有技术作为限制权利要求保护范围的方式。再如1970年4月17日，日本东京地方法院判决指出，“申请时现有的技术属于公众共有的财产，根据私权应当服从公共利益的原则，即使对公众共有的财产加上实用新型的名义，也没有禁止他人实施而由特定申请人独占行使的理由”。该学说认为，如果被控侵权人实施的技术是现有技术，不管该技术是否属于专利权利要求的保护范围，都不构成侵权。2000年，日本最高法院在“无限折动用滚珠花键轴承”案中，提出了适用等同原则的五个要素</w:t>
      </w:r>
      <w:r>
        <w:rPr>
          <w:rFonts w:hint="eastAsia" w:ascii="宋体" w:hAnsi="宋体" w:cs="宋体"/>
        </w:rPr>
        <w:t>∶</w:t>
      </w:r>
      <w:r>
        <w:t>非本质部分、置换可能性、置换容易性、非公知技术和特别事由（禁止反悔）。其中，“非公知技术”这一要素就是现有技术抗辩。也就是说，被控侵权技术与专利申请时的公知技术或者本领域普通技术人员在专利申请日容易从公知技术中推导得出的技术并不相同。可见，在日本的现有技术抗辩中，采用的对比方式是被控侵权技术与现有技术之间的单独对比。</w:t>
      </w:r>
    </w:p>
    <w:p>
      <w:pPr>
        <w:ind w:firstLine="480"/>
      </w:pPr>
      <w:r>
        <w:t>就对比标准而言，日本法院曾经存在争议。1980年5月9日，日本东京地方法院在“生检针”案中指出，只有与公知技术完全相同的技术，才能成立现有技术抗辩。1990年日本大阪地方法院在“模具装卸工具”案中持有相同观点。另外一种观点认为，被控侵权技术与公知技术之间的对比应当是创造性标准。1981年日本东京地方法院在“包装容器”案中使用了根据两件从公知技术中容易推知的技术进行判断。日本最高法院在“无限折动用滚珠花键轴承”案中肯定了第二种观点，将其范围扩大到与公知技术相同的技术以及本领域普通技术人员在专利申请日容易从公知技术中推导得出的技术。其中，“从公知技术中容易推导得出”的判断标准，与专利法有关创造性的标准是相当的。可见，在日本的现有技术抗辩中，采用的对比标准包括新颖性和创造性。</w:t>
      </w:r>
    </w:p>
    <w:p>
      <w:pPr>
        <w:ind w:firstLine="482"/>
        <w:rPr>
          <w:b/>
          <w:bCs/>
        </w:rPr>
      </w:pPr>
      <w:r>
        <w:rPr>
          <w:rFonts w:hint="eastAsia"/>
          <w:b/>
          <w:bCs/>
        </w:rPr>
        <w:t>四、</w:t>
      </w:r>
      <w:r>
        <w:rPr>
          <w:b/>
          <w:bCs/>
        </w:rPr>
        <w:t>禁止反悔原则抗辩</w:t>
      </w:r>
    </w:p>
    <w:p>
      <w:pPr>
        <w:ind w:firstLine="482"/>
        <w:rPr>
          <w:rFonts w:asciiTheme="majorEastAsia" w:hAnsiTheme="majorEastAsia" w:eastAsiaTheme="majorEastAsia"/>
          <w:b/>
          <w:bCs/>
        </w:rPr>
      </w:pPr>
      <w:r>
        <w:rPr>
          <w:rFonts w:asciiTheme="majorEastAsia" w:hAnsiTheme="majorEastAsia" w:eastAsiaTheme="majorEastAsia"/>
          <w:b/>
          <w:bCs/>
        </w:rPr>
        <w:t>1</w:t>
      </w:r>
      <w:r>
        <w:rPr>
          <w:rFonts w:hint="eastAsia" w:asciiTheme="majorEastAsia" w:hAnsiTheme="majorEastAsia" w:eastAsiaTheme="majorEastAsia"/>
          <w:b/>
          <w:bCs/>
        </w:rPr>
        <w:t>．</w:t>
      </w:r>
      <w:r>
        <w:rPr>
          <w:rFonts w:asciiTheme="majorEastAsia" w:hAnsiTheme="majorEastAsia" w:eastAsiaTheme="majorEastAsia"/>
          <w:b/>
          <w:bCs/>
        </w:rPr>
        <w:t>禁止反悔原则</w:t>
      </w:r>
    </w:p>
    <w:p>
      <w:pPr>
        <w:ind w:firstLine="480"/>
      </w:pPr>
      <w:r>
        <w:t>权利要求界定了专利权保护范围的边界，社会公众（特别是专利权人的竞争对手）根据权利要求的记载评估自己行为是否会构成专利侵权。由于等同侵权将专利权的保护范围延伸到权利要求字面含义之外，社会公众根据权利要求的记载评估自己行为是否会构成专利侵权的确定性就会降低，权利要求的公众告示功能就会受到一定的影响。禁止反悔原则的作用就在于将等同侵权的适用限定在一个恰当的范围，以确保权利要求的公众告示功能。</w:t>
      </w:r>
    </w:p>
    <w:p>
      <w:pPr>
        <w:ind w:firstLine="480"/>
      </w:pPr>
      <w:r>
        <w:t>本质上，禁止反悔原则寻求的是要实现权利要求的公众告示功能。禁止反悔原则限制根据等同原则主张侵权的权利要求的等同特征范围，排除在专利审查过程中为了获得专利权而放弃了的等同特征。等同特征的放弃发生于申请人在专利审查过程中进行的限制性修改或者限定性地陈述。通常地，法律允许公众依赖审查过程中明显放弃的内容进行其行为。关于修改导致禁止反悔的公众告示功能，美国最高法院解释说，当专利权人针对专利局的驳回理由缩小其权利要求时，禁止反悔原则禁止专利权人后来主张由原来宽范围权利要求覆盖的内容只不过是获得授权的窄范围权利要求的等同物。竞争者可以依赖禁止反悔原则确信他们自己的行为不会因为等同而被认定侵权。禁止反悔原则确保等同原则符合其本质目的，阻止等同原则的扩大使用。</w:t>
      </w:r>
    </w:p>
    <w:p>
      <w:pPr>
        <w:ind w:firstLine="482"/>
        <w:rPr>
          <w:rFonts w:asciiTheme="majorEastAsia" w:hAnsiTheme="majorEastAsia" w:eastAsiaTheme="majorEastAsia"/>
          <w:b/>
          <w:bCs/>
        </w:rPr>
      </w:pPr>
      <w:r>
        <w:rPr>
          <w:rFonts w:asciiTheme="majorEastAsia" w:hAnsiTheme="majorEastAsia" w:eastAsiaTheme="majorEastAsia"/>
          <w:b/>
          <w:bCs/>
        </w:rPr>
        <w:t>2</w:t>
      </w:r>
      <w:r>
        <w:rPr>
          <w:rFonts w:hint="eastAsia" w:asciiTheme="majorEastAsia" w:hAnsiTheme="majorEastAsia" w:eastAsiaTheme="majorEastAsia"/>
          <w:b/>
          <w:bCs/>
        </w:rPr>
        <w:t>．</w:t>
      </w:r>
      <w:r>
        <w:rPr>
          <w:rFonts w:asciiTheme="majorEastAsia" w:hAnsiTheme="majorEastAsia" w:eastAsiaTheme="majorEastAsia"/>
          <w:b/>
          <w:bCs/>
        </w:rPr>
        <w:t>原则的具体适用</w:t>
      </w:r>
    </w:p>
    <w:p>
      <w:pPr>
        <w:ind w:firstLine="480"/>
      </w:pPr>
      <w:r>
        <w:t>在前述的“无限折动用滚珠花键轴承”案中，日本最高法院第一次确认专利侵权可以适用等同原则。在该案中，日本最高法院认为，即使被控侵权物与权利要求记载的技术特征存在差异，在满足五个要素的情况下，被控侵权物作为权利要求范围记载构成的等同物，仍属于专利发明的技术范围。日本法院关于等同侵权认定的第一至第三要素，相当于美国认定等同侵权的条件；第四要素是从公知技术方面对等同侵权的认定进行限制；第五要素相当于从禁止反悔原则方面对等同侵权的认定进行限制。</w:t>
      </w:r>
    </w:p>
    <w:p>
      <w:pPr>
        <w:ind w:firstLine="480"/>
      </w:pPr>
      <w:r>
        <w:t>虽然第一至第三要素是认定等同侵权的关键，但相当于禁止反悔原则的第五要素仍对等同侵权作了更严格的限制。在上述案件中，日本最高法院对第五要素的解释是，在专利申请过程中，申请人从权利要求范围中有意识地排除的内容等，一旦专利权人承认它不属于专利发明的技术范围，或者从表面上看专利权人的行为可以被认为具有上述意思，专利权人其后再提出与此不同的主张，按照禁止反悔原则是不能被允许的。</w:t>
      </w:r>
    </w:p>
    <w:p>
      <w:pPr>
        <w:ind w:firstLine="480"/>
      </w:pPr>
      <w:r>
        <w:t>日本法院认为，根据回应专利局的拒绝理由通知以及撤销理由通知等，为了避免专利申请被拒绝或者专利被撤销或者无效，专利权人对权利要求的范围进行了减缩性补正的情况，通常要对权利要求的范围进行限定解释，如果权利要求的文字字面含义不包括被控侵权物，就应当认为被控侵权物属于专利申请过程中从权利要求的范围中有意识地排除的。这时，应当认定不符合等同原则的第五要素。对于专利权人非为回避拒绝理由而对权利要求进行的补正，主流意见的看法与为回避拒绝理由而进行的补正一样。另外，日本法院认为，如果对于本领域普通技术人员来说，在专利申请时将包含某变换技术特征的技术包括在权利要求中是容易做到的，专利申请人没有这样做，则属于专利申请人的意识限定，按不符合等同原则的第五要素处理。</w:t>
      </w:r>
    </w:p>
    <w:p>
      <w:pPr>
        <w:ind w:firstLine="480"/>
      </w:pPr>
      <w:r>
        <w:t>由此可见，日本法院判决中禁止反悔对等同侵权认定的限制作用比美国法院判决中对等同侵权认定的限制作用还要大，限定的范围还要宽。在日本法院没有认定等同侵权的168件判决中，以不满足第五要素而没有认定等同侵权的为55件，主要体现为禁止反悔原则的第五要素仅次于第一要素是认定等同的第二大障碍。</w:t>
      </w:r>
    </w:p>
    <w:p>
      <w:pPr>
        <w:ind w:firstLine="482"/>
        <w:rPr>
          <w:b/>
          <w:bCs/>
        </w:rPr>
      </w:pPr>
      <w:r>
        <w:rPr>
          <w:rFonts w:hint="eastAsia"/>
          <w:b/>
          <w:bCs/>
        </w:rPr>
        <w:t>五、</w:t>
      </w:r>
      <w:r>
        <w:rPr>
          <w:b/>
          <w:bCs/>
        </w:rPr>
        <w:t>合理使用抗辩</w:t>
      </w:r>
    </w:p>
    <w:p>
      <w:pPr>
        <w:ind w:firstLine="480"/>
      </w:pPr>
      <w:r>
        <w:t>日本专利法第69条规定了专利权效力例外的情况，该条规定专利权的效力不适用于为试验或研究而实施的发明专利。具体不适用的范围一是仅在日本过境的船舶或飞机，或供其使用的机械、器具、装置及其他物品；二是在专利申请时，在日本国内已存在的物品。同时还专门对药物制造作出进一步的规定，由两种以上药物（指供人类疾病的诊断、治疗、手术及预防用的药物）混合配制的医药发明以及属于两种以上医药混合的制药方法的专利权效力，不适用于医师和牙医处方的调剂行为和按医师及牙医处方调剂的药物。</w:t>
      </w:r>
    </w:p>
    <w:p>
      <w:pPr>
        <w:ind w:firstLine="482"/>
        <w:rPr>
          <w:b/>
          <w:bCs/>
        </w:rPr>
      </w:pPr>
      <w:r>
        <w:rPr>
          <w:rFonts w:hint="eastAsia"/>
          <w:b/>
          <w:bCs/>
        </w:rPr>
        <w:t>六、</w:t>
      </w:r>
      <w:r>
        <w:rPr>
          <w:b/>
          <w:bCs/>
        </w:rPr>
        <w:t>专利滥用（无效）抗辩</w:t>
      </w:r>
    </w:p>
    <w:p>
      <w:pPr>
        <w:ind w:firstLine="480"/>
      </w:pPr>
      <w:r>
        <w:t>在日本，“滥用专利”也是专利侵权抗辩的依据。滥用专利的抗辩通常与在先技术抗辩以及专利权的无效联系在一起。运用专利无效来抵制专利滥用在日本有个发展认识的过程，这个过程凸显出专利侵权与确权相互间的冲突，这个冲突将专利无效和专利滥用紧密联系在一起。</w:t>
      </w:r>
    </w:p>
    <w:p>
      <w:pPr>
        <w:ind w:firstLine="480"/>
      </w:pPr>
      <w:r>
        <w:t>现行日本专利法规定，侵犯专利权或专用实施权的诉讼中，认定该专利经专利无效审判应当无效时，专利权人或独占实施许可人不得向对方当事人行使其权利（日本专利法第104条第3款）。这个条款已经涵盖了所有的无效宣告理由，在专利侵权诉讼中，被告可以依据原告所主张的专利权中存在无效事由为理由，要求（抗辩）撤销相关诉讼。按照该条款的第（2）项的规定，专利无效，不但可以作为侵权诉讼被告人的抗辩方法，而且可以作为侵权诉讼中被告人攻击专利权人的方法，但是不管是作为攻击还是防御方法，如果被告具有以此为手段，以达到不当延迟侵权诉讼审理的目的，则法院可以直接驳回被告人提起专利无效准司法程序的申请。这种规定明显是为了平衡专利权人和侵权行为人的利益关系而作出的设计。既然专利权人可能因为法院运用权力不得滥用的法理禁止其使用权利，侵权行为也不能滥用诉权延迟审判，以达到毁灭证据等不正当目的。其实质是对侵权行为人滥用专利无效抗辩程序采取的防御措施。</w:t>
      </w:r>
    </w:p>
    <w:p>
      <w:pPr>
        <w:ind w:firstLine="562"/>
        <w:outlineLvl w:val="1"/>
      </w:pPr>
      <w:bookmarkStart w:id="85" w:name="_Toc203061385"/>
      <w:r>
        <w:rPr>
          <w:rFonts w:ascii="黑体" w:hAnsi="黑体" w:eastAsia="黑体"/>
          <w:b/>
          <w:bCs/>
          <w:sz w:val="28"/>
          <w:szCs w:val="28"/>
        </w:rPr>
        <w:t>4</w:t>
      </w:r>
      <w:r>
        <w:rPr>
          <w:rFonts w:hint="eastAsia" w:ascii="黑体" w:hAnsi="黑体" w:eastAsia="黑体"/>
          <w:b/>
          <w:bCs/>
          <w:sz w:val="28"/>
          <w:szCs w:val="28"/>
        </w:rPr>
        <w:t>.</w:t>
      </w:r>
      <w:r>
        <w:rPr>
          <w:rFonts w:ascii="黑体" w:hAnsi="黑体" w:eastAsia="黑体"/>
          <w:b/>
          <w:bCs/>
          <w:sz w:val="28"/>
          <w:szCs w:val="28"/>
        </w:rPr>
        <w:t xml:space="preserve">4 </w:t>
      </w:r>
      <w:r>
        <w:rPr>
          <w:rFonts w:hint="eastAsia" w:ascii="黑体" w:hAnsi="黑体" w:eastAsia="黑体"/>
          <w:b/>
          <w:bCs/>
          <w:sz w:val="28"/>
          <w:szCs w:val="28"/>
        </w:rPr>
        <w:t>法国知识产权风险防控分析</w:t>
      </w:r>
      <w:bookmarkEnd w:id="85"/>
    </w:p>
    <w:bookmarkEnd w:id="59"/>
    <w:p>
      <w:pPr>
        <w:ind w:firstLine="562"/>
        <w:outlineLvl w:val="2"/>
        <w:rPr>
          <w:rFonts w:ascii="黑体" w:hAnsi="黑体" w:eastAsia="黑体" w:cs="Helvetica"/>
          <w:b/>
          <w:color w:val="000000" w:themeColor="text1"/>
          <w:kern w:val="0"/>
          <w:sz w:val="28"/>
          <w:szCs w:val="28"/>
        </w:rPr>
      </w:pPr>
      <w:bookmarkStart w:id="86" w:name="_Toc203061386"/>
      <w:bookmarkStart w:id="87" w:name="_Toc121146344"/>
      <w:r>
        <w:rPr>
          <w:rFonts w:ascii="黑体" w:hAnsi="黑体" w:eastAsia="黑体" w:cs="Helvetica"/>
          <w:b/>
          <w:color w:val="000000" w:themeColor="text1"/>
          <w:kern w:val="0"/>
          <w:sz w:val="28"/>
          <w:szCs w:val="28"/>
        </w:rPr>
        <w:t xml:space="preserve">4.4.1 </w:t>
      </w:r>
      <w:r>
        <w:rPr>
          <w:rFonts w:hint="eastAsia" w:ascii="黑体" w:hAnsi="黑体" w:eastAsia="黑体" w:cs="Helvetica"/>
          <w:b/>
          <w:color w:val="000000" w:themeColor="text1"/>
          <w:kern w:val="0"/>
          <w:sz w:val="28"/>
          <w:szCs w:val="28"/>
        </w:rPr>
        <w:t>专利侵权行为</w:t>
      </w:r>
      <w:bookmarkEnd w:id="86"/>
      <w:bookmarkEnd w:id="87"/>
    </w:p>
    <w:p>
      <w:pPr>
        <w:ind w:firstLine="480"/>
        <w:rPr>
          <w:rFonts w:cs="楷体" w:asciiTheme="minorEastAsia" w:hAnsiTheme="minorEastAsia" w:eastAsiaTheme="minorEastAsia"/>
        </w:rPr>
      </w:pPr>
      <w:r>
        <w:rPr>
          <w:rFonts w:cs="楷体" w:asciiTheme="minorEastAsia" w:hAnsiTheme="minorEastAsia" w:eastAsiaTheme="minorEastAsia"/>
        </w:rPr>
        <w:t>以行为人的行为是否直接侵犯了专利权人的利益为标准进行划分，可以将专利侵权行为分为直接侵权和间接侵权。直接侵权表现为违反法律赋予专利权人的禁止权的情形，即违反专利法及相关法律规定，未经专利权人许可实施他人专利的行为。间接侵权表现为行为人本身的行为并没有直接侵害他人的专利权，但是却帮助他人实施了专利侵权行为。根据法国知识产权法典的规定，专利侵权行为</w:t>
      </w:r>
    </w:p>
    <w:p>
      <w:pPr>
        <w:ind w:firstLine="482"/>
        <w:rPr>
          <w:rFonts w:cs="楷体" w:asciiTheme="minorEastAsia" w:hAnsiTheme="minorEastAsia" w:eastAsiaTheme="minorEastAsia"/>
          <w:b/>
          <w:bCs/>
        </w:rPr>
      </w:pPr>
      <w:r>
        <w:rPr>
          <w:rFonts w:hint="eastAsia" w:cs="楷体" w:asciiTheme="minorEastAsia" w:hAnsiTheme="minorEastAsia" w:eastAsiaTheme="minorEastAsia"/>
          <w:b/>
          <w:bCs/>
        </w:rPr>
        <w:t>一、</w:t>
      </w:r>
      <w:r>
        <w:rPr>
          <w:rFonts w:cs="楷体" w:asciiTheme="minorEastAsia" w:hAnsiTheme="minorEastAsia" w:eastAsiaTheme="minorEastAsia"/>
          <w:b/>
          <w:bCs/>
        </w:rPr>
        <w:t>直接侵权</w:t>
      </w:r>
    </w:p>
    <w:p>
      <w:pPr>
        <w:ind w:firstLine="480"/>
        <w:rPr>
          <w:rFonts w:cs="楷体" w:asciiTheme="minorEastAsia" w:hAnsiTheme="minorEastAsia" w:eastAsiaTheme="minorEastAsia"/>
        </w:rPr>
      </w:pPr>
      <w:r>
        <w:rPr>
          <w:rFonts w:cs="楷体" w:asciiTheme="minorEastAsia" w:hAnsiTheme="minorEastAsia" w:eastAsiaTheme="minorEastAsia"/>
        </w:rPr>
        <w:t>根据法国知识产权法典L.613-3的规定，未经专利权人同意，禁止∶（1）制造、提供、销售、使用或为上述目的进口或持有专利产品；（2）使用专利方法，或在第三人明知或有证据表明未经专利权人同意禁止使用该方法，在法国领土上提供该方法的使用；（3）提供、销售、使用或为上述目的进口或持有直接由专利方法获得的产品。违反法国知识产权法典的上述规定，即构成直接侵权。直接侵权的表现形式有∶</w:t>
      </w:r>
    </w:p>
    <w:p>
      <w:pPr>
        <w:ind w:firstLine="482"/>
        <w:rPr>
          <w:rFonts w:cs="楷体" w:asciiTheme="minorEastAsia" w:hAnsiTheme="minorEastAsia" w:eastAsiaTheme="minorEastAsia"/>
          <w:b/>
          <w:bCs/>
        </w:rPr>
      </w:pPr>
      <w:r>
        <w:rPr>
          <w:rFonts w:cs="楷体" w:asciiTheme="minorEastAsia" w:hAnsiTheme="minorEastAsia" w:eastAsiaTheme="minorEastAsia"/>
          <w:b/>
          <w:bCs/>
        </w:rPr>
        <w:t>1.专利产品的制造</w:t>
      </w:r>
    </w:p>
    <w:p>
      <w:pPr>
        <w:ind w:firstLine="480"/>
        <w:rPr>
          <w:rFonts w:cs="楷体" w:asciiTheme="minorEastAsia" w:hAnsiTheme="minorEastAsia" w:eastAsiaTheme="minorEastAsia"/>
        </w:rPr>
      </w:pPr>
      <w:r>
        <w:rPr>
          <w:rFonts w:cs="楷体" w:asciiTheme="minorEastAsia" w:hAnsiTheme="minorEastAsia" w:eastAsiaTheme="minorEastAsia"/>
        </w:rPr>
        <w:t>专利产品的制造是对专利产品实质上的复制。对于专利产品的制造，即使相关产品没有被提供至市场进行销售，或者没有被使用，也构成侵权行为。</w:t>
      </w:r>
    </w:p>
    <w:p>
      <w:pPr>
        <w:ind w:firstLine="482"/>
        <w:rPr>
          <w:rFonts w:cs="楷体" w:asciiTheme="minorEastAsia" w:hAnsiTheme="minorEastAsia" w:eastAsiaTheme="minorEastAsia"/>
          <w:b/>
          <w:bCs/>
        </w:rPr>
      </w:pPr>
      <w:r>
        <w:rPr>
          <w:rFonts w:cs="楷体" w:asciiTheme="minorEastAsia" w:hAnsiTheme="minorEastAsia" w:eastAsiaTheme="minorEastAsia"/>
          <w:b/>
          <w:bCs/>
        </w:rPr>
        <w:t>2.专利产品的提供或许诺销售</w:t>
      </w:r>
    </w:p>
    <w:p>
      <w:pPr>
        <w:ind w:firstLine="480"/>
        <w:rPr>
          <w:rFonts w:cs="楷体" w:asciiTheme="minorEastAsia" w:hAnsiTheme="minorEastAsia" w:eastAsiaTheme="minorEastAsia"/>
        </w:rPr>
      </w:pPr>
      <w:r>
        <w:rPr>
          <w:rFonts w:cs="楷体" w:asciiTheme="minorEastAsia" w:hAnsiTheme="minorEastAsia" w:eastAsiaTheme="minorEastAsia"/>
        </w:rPr>
        <w:t>法律规定中的“产品”一般是指“没有权限的人所制造的产品”，但也可以是“有权限的人制造的产品”。由专利权人或者在专利权人同意的情况下实施所制造的产品的提供或者许诺销售的行为，只要专利权人的权利根据法国知识产权法典L.613-6而没有用尽，就构成侵权行为。即使相关产品没有被实施销售，然而出租、提供（捐赠）销售目录或者单纯的销售用手册相当于所说的提供行为，也构成侵权。</w:t>
      </w:r>
    </w:p>
    <w:p>
      <w:pPr>
        <w:ind w:firstLine="482"/>
        <w:rPr>
          <w:rFonts w:cs="楷体" w:asciiTheme="minorEastAsia" w:hAnsiTheme="minorEastAsia" w:eastAsiaTheme="minorEastAsia"/>
          <w:b/>
          <w:bCs/>
        </w:rPr>
      </w:pPr>
      <w:r>
        <w:rPr>
          <w:rFonts w:cs="楷体" w:asciiTheme="minorEastAsia" w:hAnsiTheme="minorEastAsia" w:eastAsiaTheme="minorEastAsia"/>
          <w:b/>
          <w:bCs/>
        </w:rPr>
        <w:t>3.专利产品的使用</w:t>
      </w:r>
    </w:p>
    <w:p>
      <w:pPr>
        <w:ind w:firstLine="480"/>
        <w:rPr>
          <w:rFonts w:cs="楷体" w:asciiTheme="minorEastAsia" w:hAnsiTheme="minorEastAsia" w:eastAsiaTheme="minorEastAsia"/>
        </w:rPr>
      </w:pPr>
      <w:r>
        <w:rPr>
          <w:rFonts w:cs="楷体" w:asciiTheme="minorEastAsia" w:hAnsiTheme="minorEastAsia" w:eastAsiaTheme="minorEastAsia"/>
        </w:rPr>
        <w:t>除了法国知识产权法典L.613-5和L613-6的规定中的特定情况之外，使用作为专利对象的产品的行为均构成侵权。</w:t>
      </w:r>
    </w:p>
    <w:p>
      <w:pPr>
        <w:ind w:firstLine="482"/>
        <w:rPr>
          <w:rFonts w:cs="楷体" w:asciiTheme="minorEastAsia" w:hAnsiTheme="minorEastAsia" w:eastAsiaTheme="minorEastAsia"/>
          <w:b/>
          <w:bCs/>
        </w:rPr>
      </w:pPr>
      <w:r>
        <w:rPr>
          <w:rFonts w:cs="楷体" w:asciiTheme="minorEastAsia" w:hAnsiTheme="minorEastAsia" w:eastAsiaTheme="minorEastAsia"/>
          <w:b/>
          <w:bCs/>
        </w:rPr>
        <w:t>4.专利产品的进口</w:t>
      </w:r>
    </w:p>
    <w:p>
      <w:pPr>
        <w:ind w:firstLine="480"/>
        <w:rPr>
          <w:rFonts w:cs="楷体" w:asciiTheme="minorEastAsia" w:hAnsiTheme="minorEastAsia" w:eastAsiaTheme="minorEastAsia"/>
        </w:rPr>
      </w:pPr>
      <w:r>
        <w:rPr>
          <w:rFonts w:cs="楷体" w:asciiTheme="minorEastAsia" w:hAnsiTheme="minorEastAsia" w:eastAsiaTheme="minorEastAsia"/>
        </w:rPr>
        <w:t>进口侵权产品意味着侵权产品进入法国境内，与该进口相关的人均可以称之为侵权人，包括在国外购入侵权产品而使之可能进入法国市场的法国进口者，以及将侵权产品直接送入法国的外国制造者，都同样构成侵权。就后者而言，一旦专利产品通过外国制造者在法国国外制造出来之后被法国进口者进行销售，就视为对在法国已获专利权的产品进行进口和许诺销售具有积极的相关性，因此认为该外国制造者也成为侵权人。</w:t>
      </w:r>
    </w:p>
    <w:p>
      <w:pPr>
        <w:ind w:firstLine="480"/>
        <w:rPr>
          <w:rFonts w:cs="楷体" w:asciiTheme="minorEastAsia" w:hAnsiTheme="minorEastAsia" w:eastAsiaTheme="minorEastAsia"/>
        </w:rPr>
      </w:pPr>
      <w:r>
        <w:rPr>
          <w:rFonts w:cs="楷体" w:asciiTheme="minorEastAsia" w:hAnsiTheme="minorEastAsia" w:eastAsiaTheme="minorEastAsia"/>
        </w:rPr>
        <w:t>但是，如果外国制造者与进口没有关联，只不过是法国国外的第三人对产品进行销售的场合中，即使该外国制造者明知该产品被该第三人进口至法国，且产品的进口构成专利侵权的情况下，由于是第三人将产品进口至法国，则该外国制造者不构成侵权。</w:t>
      </w:r>
    </w:p>
    <w:p>
      <w:pPr>
        <w:ind w:firstLine="480"/>
        <w:rPr>
          <w:rFonts w:cs="楷体" w:asciiTheme="minorEastAsia" w:hAnsiTheme="minorEastAsia" w:eastAsiaTheme="minorEastAsia"/>
        </w:rPr>
      </w:pPr>
      <w:r>
        <w:rPr>
          <w:rFonts w:cs="楷体" w:asciiTheme="minorEastAsia" w:hAnsiTheme="minorEastAsia" w:eastAsiaTheme="minorEastAsia"/>
        </w:rPr>
        <w:t>如果在法国国外合法制造的产品中有些在法国被专利授权的产品进口到法国，即使该产品与其他构成要素进行组合之后向外国出口，在法国区域内并没有进行销售的行为，也构成专利侵权。</w:t>
      </w:r>
    </w:p>
    <w:p>
      <w:pPr>
        <w:ind w:firstLine="482"/>
        <w:rPr>
          <w:rFonts w:cs="楷体" w:asciiTheme="minorEastAsia" w:hAnsiTheme="minorEastAsia" w:eastAsiaTheme="minorEastAsia"/>
          <w:b/>
          <w:bCs/>
        </w:rPr>
      </w:pPr>
      <w:r>
        <w:rPr>
          <w:rFonts w:cs="楷体" w:asciiTheme="minorEastAsia" w:hAnsiTheme="minorEastAsia" w:eastAsiaTheme="minorEastAsia"/>
          <w:b/>
          <w:bCs/>
        </w:rPr>
        <w:t>5.专利产品的持有</w:t>
      </w:r>
    </w:p>
    <w:p>
      <w:pPr>
        <w:ind w:firstLine="480"/>
        <w:rPr>
          <w:rFonts w:cs="楷体" w:asciiTheme="minorEastAsia" w:hAnsiTheme="minorEastAsia" w:eastAsiaTheme="minorEastAsia"/>
        </w:rPr>
      </w:pPr>
      <w:r>
        <w:rPr>
          <w:rFonts w:cs="楷体" w:asciiTheme="minorEastAsia" w:hAnsiTheme="minorEastAsia" w:eastAsiaTheme="minorEastAsia"/>
        </w:rPr>
        <w:t>对专利产品以使用、提供或者许诺销售为目的进行保管的持有也构成侵权。但如果不是以使用或者商业上的目的进行保管的持有，不构成侵权。</w:t>
      </w:r>
    </w:p>
    <w:p>
      <w:pPr>
        <w:ind w:firstLine="482"/>
        <w:rPr>
          <w:rFonts w:cs="楷体" w:asciiTheme="minorEastAsia" w:hAnsiTheme="minorEastAsia" w:eastAsiaTheme="minorEastAsia"/>
          <w:b/>
          <w:bCs/>
        </w:rPr>
      </w:pPr>
      <w:r>
        <w:rPr>
          <w:rFonts w:cs="楷体" w:asciiTheme="minorEastAsia" w:hAnsiTheme="minorEastAsia" w:eastAsiaTheme="minorEastAsia"/>
          <w:b/>
          <w:bCs/>
        </w:rPr>
        <w:t>6.专利方法的使用</w:t>
      </w:r>
    </w:p>
    <w:p>
      <w:pPr>
        <w:ind w:firstLine="480"/>
        <w:rPr>
          <w:rFonts w:cs="楷体" w:asciiTheme="minorEastAsia" w:hAnsiTheme="minorEastAsia" w:eastAsiaTheme="minorEastAsia"/>
        </w:rPr>
      </w:pPr>
      <w:r>
        <w:rPr>
          <w:rFonts w:cs="楷体" w:asciiTheme="minorEastAsia" w:hAnsiTheme="minorEastAsia" w:eastAsiaTheme="minorEastAsia"/>
        </w:rPr>
        <w:t>实施专利方法的行为当然构成侵权行为。</w:t>
      </w:r>
    </w:p>
    <w:p>
      <w:pPr>
        <w:ind w:firstLine="482"/>
        <w:rPr>
          <w:rFonts w:cs="楷体" w:asciiTheme="minorEastAsia" w:hAnsiTheme="minorEastAsia" w:eastAsiaTheme="minorEastAsia"/>
          <w:b/>
          <w:bCs/>
        </w:rPr>
      </w:pPr>
      <w:r>
        <w:rPr>
          <w:rFonts w:cs="楷体" w:asciiTheme="minorEastAsia" w:hAnsiTheme="minorEastAsia" w:eastAsiaTheme="minorEastAsia"/>
          <w:b/>
          <w:bCs/>
        </w:rPr>
        <w:t>7.提供专利方法的使用</w:t>
      </w:r>
    </w:p>
    <w:p>
      <w:pPr>
        <w:ind w:firstLine="480"/>
        <w:rPr>
          <w:rFonts w:cs="楷体" w:asciiTheme="minorEastAsia" w:hAnsiTheme="minorEastAsia" w:eastAsiaTheme="minorEastAsia"/>
        </w:rPr>
      </w:pPr>
      <w:r>
        <w:rPr>
          <w:rFonts w:cs="楷体" w:asciiTheme="minorEastAsia" w:hAnsiTheme="minorEastAsia" w:eastAsiaTheme="minorEastAsia"/>
        </w:rPr>
        <w:t>提供专利方法的使用构成侵权行为，必须满足以下两个条件∶第一，提供者明知或者应当知道在没有取得专利权人同意的情况下的使用；第二，在法国区域内实施该专利的对象。如果在法国以外提供专利方法的使用不构成侵权。</w:t>
      </w:r>
    </w:p>
    <w:p>
      <w:pPr>
        <w:ind w:firstLine="482"/>
        <w:rPr>
          <w:rFonts w:cs="楷体" w:asciiTheme="minorEastAsia" w:hAnsiTheme="minorEastAsia" w:eastAsiaTheme="minorEastAsia"/>
          <w:b/>
          <w:bCs/>
        </w:rPr>
      </w:pPr>
      <w:r>
        <w:rPr>
          <w:rFonts w:cs="楷体" w:asciiTheme="minorEastAsia" w:hAnsiTheme="minorEastAsia" w:eastAsiaTheme="minorEastAsia"/>
          <w:b/>
          <w:bCs/>
        </w:rPr>
        <w:t>8.与由方法专利直接得到的产品相关的行为</w:t>
      </w:r>
    </w:p>
    <w:p>
      <w:pPr>
        <w:ind w:firstLine="480"/>
        <w:rPr>
          <w:rFonts w:cs="楷体" w:asciiTheme="minorEastAsia" w:hAnsiTheme="minorEastAsia" w:eastAsiaTheme="minorEastAsia"/>
        </w:rPr>
      </w:pPr>
      <w:r>
        <w:rPr>
          <w:rFonts w:cs="楷体" w:asciiTheme="minorEastAsia" w:hAnsiTheme="minorEastAsia" w:eastAsiaTheme="minorEastAsia"/>
        </w:rPr>
        <w:t>根据法国知识产权法典L.613-2的规定，方法专利所给予的保护延及由该方法直接得到的产品。由方法直接得到的产品是最终产品。在对专利方法进行进一步使用的过程中，在没有丧失与由专利方法所得到的产品的相同性或者产品的主要特性的情况下，与由之得到的产品有相关的行为，也应该认为是与由方法直接得到的产品相关的行为。采用与受法国专利保护的对象即方法相等同的方法在外国得到的产品，与其相关的行为（进口等行为）构成侵权。</w:t>
      </w:r>
    </w:p>
    <w:p>
      <w:pPr>
        <w:ind w:firstLine="480"/>
        <w:rPr>
          <w:rFonts w:cs="楷体" w:asciiTheme="minorEastAsia" w:hAnsiTheme="minorEastAsia" w:eastAsiaTheme="minorEastAsia"/>
        </w:rPr>
      </w:pPr>
      <w:r>
        <w:rPr>
          <w:rFonts w:cs="楷体" w:asciiTheme="minorEastAsia" w:hAnsiTheme="minorEastAsia" w:eastAsiaTheme="minorEastAsia"/>
        </w:rPr>
        <w:t>如果产品本身并非专利对象，属于公知的产品，但如果该产品是根据方法专利直接制造的，则认定侵权的困难在于如何证明该产品是通过专利方法而直接制造得到的，其举证责任在于专利权人，在法国，可以通过熟知的查封手续而实现。如果在法国国外制造此种产品，专利权人的举证更加困难。但是，根据1996年引入法国知识产权法典L.615-5-1的规定，法院可以指令被告去证明，同一产品的制造中使用的方法并非专利方法。在被告不能举证时，根据以下两种情形推定侵犯方法专利权∶第一，采用专利方法制造的产品具有新颖性；第二，同样的产品使用专利方法制造的盖然性非常高，并且，不管专利权人付诸何种努力均不能确定被告在实际中所使用的方法。另外，根据法国知识产权法典L.613-3（c）的规定，将于外国实施作为法国专利对象的方法而直接得到的产品进口至法国的行为构成直接侵权。</w:t>
      </w:r>
    </w:p>
    <w:p>
      <w:pPr>
        <w:ind w:firstLine="482"/>
        <w:rPr>
          <w:rFonts w:cs="楷体" w:asciiTheme="minorEastAsia" w:hAnsiTheme="minorEastAsia" w:eastAsiaTheme="minorEastAsia"/>
          <w:b/>
          <w:bCs/>
        </w:rPr>
      </w:pPr>
      <w:r>
        <w:rPr>
          <w:rFonts w:hint="eastAsia" w:cs="楷体" w:asciiTheme="minorEastAsia" w:hAnsiTheme="minorEastAsia" w:eastAsiaTheme="minorEastAsia"/>
          <w:b/>
          <w:bCs/>
        </w:rPr>
        <w:t>二、</w:t>
      </w:r>
      <w:r>
        <w:rPr>
          <w:rFonts w:cs="楷体" w:asciiTheme="minorEastAsia" w:hAnsiTheme="minorEastAsia" w:eastAsiaTheme="minorEastAsia"/>
          <w:b/>
          <w:bCs/>
        </w:rPr>
        <w:t>间接侵权</w:t>
      </w:r>
    </w:p>
    <w:p>
      <w:pPr>
        <w:ind w:firstLine="480"/>
        <w:rPr>
          <w:rFonts w:cs="楷体" w:asciiTheme="minorEastAsia" w:hAnsiTheme="minorEastAsia" w:eastAsiaTheme="minorEastAsia"/>
        </w:rPr>
      </w:pPr>
      <w:r>
        <w:rPr>
          <w:rFonts w:cs="楷体" w:asciiTheme="minorEastAsia" w:hAnsiTheme="minorEastAsia" w:eastAsiaTheme="minorEastAsia"/>
        </w:rPr>
        <w:t>间接侵权体现在法国知识产权法典L.613-4的规定中，包括∶（1）除专利权人同意以外，第三人在故意或推定故意的情形下在法国领土内向无权使用专利发明的人提供或者试图提供实施与发明的基本要素有关的手段；（2）第（1）项规定排除第三者在无实施权的人诱导下违反L613-3所列举的禁止行为的情况，并且不适用于实施手段为市场上常用产品的情况；（3）第（1）项意义上有实施权的人并不包括L.613-5中（a）项、（b）项以及（c）项中所规定的行为的人。</w:t>
      </w:r>
    </w:p>
    <w:p>
      <w:pPr>
        <w:ind w:firstLine="480"/>
        <w:rPr>
          <w:rFonts w:cs="楷体" w:asciiTheme="minorEastAsia" w:hAnsiTheme="minorEastAsia" w:eastAsiaTheme="minorEastAsia"/>
        </w:rPr>
      </w:pPr>
      <w:r>
        <w:rPr>
          <w:rFonts w:cs="楷体" w:asciiTheme="minorEastAsia" w:hAnsiTheme="minorEastAsia" w:eastAsiaTheme="minorEastAsia"/>
        </w:rPr>
        <w:t>间接侵权需要满足三个条件∶（1）供给者或者提出供给申请者必须就与发明的一个必要构成要素相关的全部手段进行提案，无须提供用于可实施所保护的发明的全部手段；（2）供给或者供给申请须在法国领土内实施供给行为；（3）供给者或者供给申请者需已知晓或者应当知晓所供给的手段不仅适于而且用于实施该发明。</w:t>
      </w:r>
    </w:p>
    <w:p>
      <w:pPr>
        <w:ind w:firstLine="480"/>
        <w:rPr>
          <w:rFonts w:cs="楷体" w:asciiTheme="minorEastAsia" w:hAnsiTheme="minorEastAsia" w:eastAsiaTheme="minorEastAsia"/>
        </w:rPr>
      </w:pPr>
      <w:r>
        <w:rPr>
          <w:rFonts w:cs="楷体" w:asciiTheme="minorEastAsia" w:hAnsiTheme="minorEastAsia" w:eastAsiaTheme="minorEastAsia"/>
        </w:rPr>
        <w:t>由于专利所保护的发明为产品或者方法，因此该发明的可实施手段可以是为了制造产品或者是实施方法而能够使用的重要的、全部的构成要素。即使供给者仅仅公布要保护发明的可实施手段的一部分，但如果这一部分手段构成了该发明的必要构成要素时，这种行为也可能构成侵权行为。</w:t>
      </w:r>
    </w:p>
    <w:p>
      <w:pPr>
        <w:ind w:firstLine="480"/>
        <w:rPr>
          <w:rFonts w:cs="楷体" w:asciiTheme="minorEastAsia" w:hAnsiTheme="minorEastAsia" w:eastAsiaTheme="minorEastAsia"/>
        </w:rPr>
      </w:pPr>
      <w:r>
        <w:rPr>
          <w:rFonts w:cs="楷体" w:asciiTheme="minorEastAsia" w:hAnsiTheme="minorEastAsia" w:eastAsiaTheme="minorEastAsia"/>
        </w:rPr>
        <w:t>下述情况不构成间接侵权∶（1）根据法国知识产权法典L.613-4第2款的规定，所供给的手段是在市场上常用的产品。但是，如果供给该手段的对方在供给者诱导下，采用了该手段去实施禁止行为的场合，不受此条规定的限制；（2）如果供给是专利权人同意实施，或者说是为了具有实施该发明权限的人去实施的话，不成立侵权行为。法国知识产权法典L613-5第3款中规定，为了私人且非商业目的，或者为了试验而实施行为的人，以及根据医疗处方单在药房中单独进行药剂调和的药剂师，不是具有实施该发明的权限的人。</w:t>
      </w:r>
    </w:p>
    <w:p>
      <w:pPr>
        <w:ind w:firstLine="482"/>
        <w:rPr>
          <w:rFonts w:cs="楷体" w:asciiTheme="minorEastAsia" w:hAnsiTheme="minorEastAsia" w:eastAsiaTheme="minorEastAsia"/>
          <w:b/>
          <w:bCs/>
        </w:rPr>
      </w:pPr>
      <w:r>
        <w:rPr>
          <w:rFonts w:hint="eastAsia" w:cs="楷体" w:asciiTheme="minorEastAsia" w:hAnsiTheme="minorEastAsia" w:eastAsiaTheme="minorEastAsia"/>
          <w:b/>
          <w:bCs/>
        </w:rPr>
        <w:t>三、</w:t>
      </w:r>
      <w:r>
        <w:rPr>
          <w:rFonts w:cs="楷体" w:asciiTheme="minorEastAsia" w:hAnsiTheme="minorEastAsia" w:eastAsiaTheme="minorEastAsia"/>
          <w:b/>
          <w:bCs/>
        </w:rPr>
        <w:t>侵权诱导</w:t>
      </w:r>
    </w:p>
    <w:p>
      <w:pPr>
        <w:ind w:firstLine="480"/>
        <w:rPr>
          <w:rFonts w:cs="楷体" w:asciiTheme="minorEastAsia" w:hAnsiTheme="minorEastAsia" w:eastAsiaTheme="minorEastAsia"/>
        </w:rPr>
      </w:pPr>
      <w:r>
        <w:rPr>
          <w:rFonts w:cs="楷体" w:asciiTheme="minorEastAsia" w:hAnsiTheme="minorEastAsia" w:eastAsiaTheme="minorEastAsia"/>
        </w:rPr>
        <w:t>法国知识产权法典L.613-4的第2款是关于侵权诱导的规定。法国的法院明确反对专利权人的侵权诱导行为。如果产品供给人提供普通市场销售产品，并诱导该供给的对方采用一些手段对专利发明进行复制，则构成侵权行为。例如，在说明书中明确指出制造常规所需产品的制造者能够在专利装置中使用该产品等内容，则该制造者可以被认定为共同侵权人。巴黎一审法院在1983年2月10日的Ateliers ReunisV.Hufa案件中，作出判决∶由于是专利权人自身的诱导而导致销售侵权产品的行为，因此，专利权人基于这种不诚信手段提供的任何侵权的证据都是无效的。</w:t>
      </w:r>
    </w:p>
    <w:p>
      <w:pPr>
        <w:ind w:firstLine="562"/>
        <w:outlineLvl w:val="2"/>
        <w:rPr>
          <w:rFonts w:ascii="黑体" w:hAnsi="黑体" w:eastAsia="黑体" w:cs="Helvetica"/>
          <w:b/>
          <w:color w:val="000000" w:themeColor="text1"/>
          <w:kern w:val="0"/>
          <w:sz w:val="28"/>
          <w:szCs w:val="28"/>
        </w:rPr>
      </w:pPr>
      <w:bookmarkStart w:id="88" w:name="_Toc121146345"/>
      <w:bookmarkStart w:id="89" w:name="_Toc203061387"/>
      <w:r>
        <w:rPr>
          <w:rFonts w:ascii="黑体" w:hAnsi="黑体" w:eastAsia="黑体" w:cs="Helvetica"/>
          <w:b/>
          <w:color w:val="000000" w:themeColor="text1"/>
          <w:kern w:val="0"/>
          <w:sz w:val="28"/>
          <w:szCs w:val="28"/>
        </w:rPr>
        <w:t xml:space="preserve">4.4.2 </w:t>
      </w:r>
      <w:r>
        <w:rPr>
          <w:rFonts w:hint="eastAsia" w:ascii="黑体" w:hAnsi="黑体" w:eastAsia="黑体" w:cs="Helvetica"/>
          <w:b/>
          <w:color w:val="000000" w:themeColor="text1"/>
          <w:kern w:val="0"/>
          <w:sz w:val="28"/>
          <w:szCs w:val="28"/>
        </w:rPr>
        <w:t>专利侵权的例外</w:t>
      </w:r>
      <w:bookmarkEnd w:id="88"/>
      <w:bookmarkEnd w:id="89"/>
    </w:p>
    <w:p>
      <w:pPr>
        <w:ind w:firstLine="480"/>
        <w:rPr>
          <w:rFonts w:cs="楷体" w:asciiTheme="minorEastAsia" w:hAnsiTheme="minorEastAsia" w:eastAsiaTheme="minorEastAsia"/>
        </w:rPr>
      </w:pPr>
      <w:r>
        <w:rPr>
          <w:rFonts w:cs="楷体" w:asciiTheme="minorEastAsia" w:hAnsiTheme="minorEastAsia" w:eastAsiaTheme="minorEastAsia"/>
        </w:rPr>
        <w:t>专利侵权例外是对专利权的法律限制。法国知识产权法典中有许多条款对专利权进行了限制，主要体现在L.613-5~L.613-7和L.615-8等条款中，包括专利权的合理使用、权利用尽、先占权、诉讼时效的灭失等情形。</w:t>
      </w:r>
    </w:p>
    <w:p>
      <w:pPr>
        <w:ind w:firstLine="482"/>
        <w:rPr>
          <w:rFonts w:cs="楷体" w:asciiTheme="minorEastAsia" w:hAnsiTheme="minorEastAsia" w:eastAsiaTheme="minorEastAsia"/>
          <w:b/>
          <w:bCs/>
        </w:rPr>
      </w:pPr>
      <w:r>
        <w:rPr>
          <w:rFonts w:hint="eastAsia" w:cs="楷体" w:asciiTheme="minorEastAsia" w:hAnsiTheme="minorEastAsia" w:eastAsiaTheme="minorEastAsia"/>
          <w:b/>
          <w:bCs/>
        </w:rPr>
        <w:t>一、</w:t>
      </w:r>
      <w:r>
        <w:rPr>
          <w:rFonts w:cs="楷体" w:asciiTheme="minorEastAsia" w:hAnsiTheme="minorEastAsia" w:eastAsiaTheme="minorEastAsia"/>
          <w:b/>
          <w:bCs/>
        </w:rPr>
        <w:t>合理使用</w:t>
      </w:r>
    </w:p>
    <w:p>
      <w:pPr>
        <w:ind w:firstLine="480"/>
        <w:rPr>
          <w:rFonts w:cs="楷体" w:asciiTheme="minorEastAsia" w:hAnsiTheme="minorEastAsia" w:eastAsiaTheme="minorEastAsia"/>
        </w:rPr>
      </w:pPr>
      <w:r>
        <w:rPr>
          <w:rFonts w:cs="楷体" w:asciiTheme="minorEastAsia" w:hAnsiTheme="minorEastAsia" w:eastAsiaTheme="minorEastAsia"/>
        </w:rPr>
        <w:t>专利权的合理使用是法律中明确规定的不用经过专利权人的许可，也不用经过任何机构批准，任何人都可以制造、使用、许诺销售或者销售专利产品以及使用、许诺销售或者销售用专利方法销售的情况。法国知识产权法典L.613-5规定，专利所赋予的权利不延及与专利发明对象有关的用于私人的且非商业目的或者试验目的而实施的行为。同样的立法举措可以在欧洲各国国内法中尤其在英国法和德国法中见到。换言之，以下合理使用情形不构成侵权∶</w:t>
      </w:r>
    </w:p>
    <w:p>
      <w:pPr>
        <w:ind w:firstLine="482"/>
        <w:rPr>
          <w:rFonts w:cs="楷体" w:asciiTheme="minorEastAsia" w:hAnsiTheme="minorEastAsia" w:eastAsiaTheme="minorEastAsia"/>
          <w:b/>
          <w:bCs/>
        </w:rPr>
      </w:pPr>
      <w:r>
        <w:rPr>
          <w:rFonts w:cs="楷体" w:asciiTheme="minorEastAsia" w:hAnsiTheme="minorEastAsia" w:eastAsiaTheme="minorEastAsia"/>
          <w:b/>
          <w:bCs/>
        </w:rPr>
        <w:t>1.私人且非商业目的的使用</w:t>
      </w:r>
    </w:p>
    <w:p>
      <w:pPr>
        <w:ind w:firstLine="480"/>
        <w:rPr>
          <w:rFonts w:cs="楷体" w:asciiTheme="minorEastAsia" w:hAnsiTheme="minorEastAsia" w:eastAsiaTheme="minorEastAsia"/>
        </w:rPr>
      </w:pPr>
      <w:r>
        <w:rPr>
          <w:rFonts w:cs="楷体" w:asciiTheme="minorEastAsia" w:hAnsiTheme="minorEastAsia" w:eastAsiaTheme="minorEastAsia"/>
        </w:rPr>
        <w:t>为科学研究和实验目的，为教育、个人及其他非生产经营目的使用专利技术的，可以不经专利权人的许可，不视为侵权行为。但是这种使用只能是小范围的没有营利性质的，不能对专利权人的潜在的市场利益构成威胁，否则不属于合理使用的范围。</w:t>
      </w:r>
    </w:p>
    <w:p>
      <w:pPr>
        <w:ind w:firstLine="482"/>
        <w:rPr>
          <w:rFonts w:cs="楷体" w:asciiTheme="minorEastAsia" w:hAnsiTheme="minorEastAsia" w:eastAsiaTheme="minorEastAsia"/>
          <w:b/>
          <w:bCs/>
        </w:rPr>
      </w:pPr>
      <w:r>
        <w:rPr>
          <w:rFonts w:cs="楷体" w:asciiTheme="minorEastAsia" w:hAnsiTheme="minorEastAsia" w:eastAsiaTheme="minorEastAsia"/>
          <w:b/>
          <w:bCs/>
        </w:rPr>
        <w:t>2.试验或临床实验</w:t>
      </w:r>
    </w:p>
    <w:p>
      <w:pPr>
        <w:ind w:firstLine="480"/>
        <w:rPr>
          <w:rFonts w:cs="楷体" w:asciiTheme="minorEastAsia" w:hAnsiTheme="minorEastAsia" w:eastAsiaTheme="minorEastAsia"/>
        </w:rPr>
      </w:pPr>
      <w:r>
        <w:rPr>
          <w:rFonts w:cs="楷体" w:asciiTheme="minorEastAsia" w:hAnsiTheme="minorEastAsia" w:eastAsiaTheme="minorEastAsia"/>
        </w:rPr>
        <w:t>通常情况下，仅以得到药剂销售许可而进行的临床试验，与私人且非商业的目的实施的行为免责是不同的，这种行为作为侵权行为处理。就这一点而言，可以参考巴黎上诉法院于1984年11月27日作出的判决。该判决强调，以得到药剂销售许可为目的的调剂并不能被认定为属于以非商业目的而实施的行为。然而，由于在法国的药剂销售许可通常自专利失效日8年之前开始进行，也就是说，侵权人在这8年的时间里通常要付出相当大的努力。因此，最近为了临床试验目的而对专利产品进行测试的情况下，临床试验被认为适用由法国知识产权法典L.613-5的规定适用例外的试验行为。但是，对于仅以使专利权人产品引起市场混乱为目的而进行的临床试验等这样的情况并不适用。同样，生物体内药效等价性（bioequivalence）的试验不适用作为试验例外的免责情形。</w:t>
      </w:r>
    </w:p>
    <w:p>
      <w:pPr>
        <w:ind w:firstLine="482"/>
        <w:rPr>
          <w:rFonts w:cs="楷体" w:asciiTheme="minorEastAsia" w:hAnsiTheme="minorEastAsia" w:eastAsiaTheme="minorEastAsia"/>
          <w:b/>
          <w:bCs/>
        </w:rPr>
      </w:pPr>
      <w:r>
        <w:rPr>
          <w:rFonts w:cs="楷体" w:asciiTheme="minorEastAsia" w:hAnsiTheme="minorEastAsia" w:eastAsiaTheme="minorEastAsia"/>
          <w:b/>
          <w:bCs/>
        </w:rPr>
        <w:t>3.药剂销售许可申请</w:t>
      </w:r>
    </w:p>
    <w:p>
      <w:pPr>
        <w:ind w:firstLine="480"/>
        <w:rPr>
          <w:rFonts w:cs="楷体" w:asciiTheme="minorEastAsia" w:hAnsiTheme="minorEastAsia" w:eastAsiaTheme="minorEastAsia"/>
        </w:rPr>
      </w:pPr>
      <w:r>
        <w:rPr>
          <w:rFonts w:cs="楷体" w:asciiTheme="minorEastAsia" w:hAnsiTheme="minorEastAsia" w:eastAsiaTheme="minorEastAsia"/>
        </w:rPr>
        <w:t>用于在对于享受法国社会保障制度的利益的个体所能负担的产品的清单中注册该产品的药剂销售许可的申请，由于其出发点符合法国知识产权法典L.613-3 规定的宗旨，也不构成侵权行为。巴黎一审法院针对FisonsV.Europhta于1997年7月4日作出的查封命令中表明，药剂销售许可的申请不构成侵权行为。原因在于其只不过是表示申请人的将该产品提供至市场的愿望而已。为此，权衡考虑所有利弊关系，不认为其属于对无实施权人提供该产品的行为。</w:t>
      </w:r>
    </w:p>
    <w:p>
      <w:pPr>
        <w:ind w:firstLine="480"/>
        <w:rPr>
          <w:rFonts w:cs="楷体" w:asciiTheme="minorEastAsia" w:hAnsiTheme="minorEastAsia" w:eastAsiaTheme="minorEastAsia"/>
        </w:rPr>
      </w:pPr>
      <w:r>
        <w:rPr>
          <w:rFonts w:cs="楷体" w:asciiTheme="minorEastAsia" w:hAnsiTheme="minorEastAsia" w:eastAsiaTheme="minorEastAsia"/>
        </w:rPr>
        <w:t>巴黎一审法院在针对Glaxo对SCAT and Pharmafarm案件的1998年1月30 日的判决中还有如下陈述∶药剂销售许可，以及向由法国社会保障制度所负担的药剂的清单中注册均以不得缺少向市场提供产品作为前提条件。虽然如此，但毕竟它们仅仅是向市售供给的准备的行为。得到许可的人并无销售产品的义务。在专利失效之前，或者在延长注册期限失效之前，如果禁止竞争者提呈销售许可申请的话，会妨碍自由贸易。法国撤销法院在1998年3月28 日的判决中明确地支持∶药剂销售许可的公布不构成侵权。</w:t>
      </w:r>
    </w:p>
    <w:p>
      <w:pPr>
        <w:ind w:firstLine="480"/>
        <w:rPr>
          <w:rFonts w:cs="楷体" w:asciiTheme="minorEastAsia" w:hAnsiTheme="minorEastAsia" w:eastAsiaTheme="minorEastAsia"/>
        </w:rPr>
      </w:pPr>
      <w:r>
        <w:rPr>
          <w:rFonts w:cs="楷体" w:asciiTheme="minorEastAsia" w:hAnsiTheme="minorEastAsia" w:eastAsiaTheme="minorEastAsia"/>
        </w:rPr>
        <w:t>另外，根据医师的处方在药房进行的药剂调试以及调剂医药的使用不被认定为侵权，毕竟证明这种行为的存在是非常困难的事情。</w:t>
      </w:r>
    </w:p>
    <w:p>
      <w:pPr>
        <w:ind w:firstLine="482"/>
        <w:rPr>
          <w:rFonts w:cs="楷体" w:asciiTheme="minorEastAsia" w:hAnsiTheme="minorEastAsia" w:eastAsiaTheme="minorEastAsia"/>
          <w:b/>
          <w:bCs/>
        </w:rPr>
      </w:pPr>
      <w:r>
        <w:rPr>
          <w:rFonts w:cs="楷体" w:asciiTheme="minorEastAsia" w:hAnsiTheme="minorEastAsia" w:eastAsiaTheme="minorEastAsia"/>
          <w:b/>
          <w:bCs/>
        </w:rPr>
        <w:t>4.专利产品的修理</w:t>
      </w:r>
    </w:p>
    <w:p>
      <w:pPr>
        <w:ind w:firstLine="480"/>
        <w:rPr>
          <w:rFonts w:cs="楷体" w:asciiTheme="minorEastAsia" w:hAnsiTheme="minorEastAsia" w:eastAsiaTheme="minorEastAsia"/>
        </w:rPr>
      </w:pPr>
      <w:r>
        <w:rPr>
          <w:rFonts w:cs="楷体" w:asciiTheme="minorEastAsia" w:hAnsiTheme="minorEastAsia" w:eastAsiaTheme="minorEastAsia"/>
        </w:rPr>
        <w:t>为了表明针对专利产品的修理如何适用法国知识产权法典，以汽车领域中引擎修理的例子进行说明。假设作为专利权对象的引擎由手段组合而构成，可以分为两种情形∶第一，假定“修理”是所使用的手段，例如引擎的某个特别的阀门进行交换的情形。如果交换阀由无权限的第三人例如修理业者提供的话，也许应该考虑该修理由于供给该手段而构成间接侵权。然而，组装业者也许需要告知修理业者以事实，即该引擎已然获得专利的事实，以使修理业者能够认识到这一点。如果在交换阀由专利权人自己或者通过专利权人授权的人供给至修理业者的场合中，需要考虑并参见下面两个假定∶（1）如果该阀门由同一组装业者制作而成，且为了修理该组装业者的汽车引擎而使用的场合。该场合的修理可以考虑不构成侵权行为；（2）该阀门并非由同一组装业者制作而成，只是为了修理引擎而使用的场合。该场合中的“修理”可以考虑构成侵权行为。第二，假定“修理”是对涉及专利发明的主要的构成要素的手段进行交换，例如对万向轮进行交换的场合。这里虽然是对市场上普遍所见的产品进行交换的事例，但是根据法国知识产权法典L.613-4第2款的规定，该事例不构成侵权。</w:t>
      </w:r>
    </w:p>
    <w:p>
      <w:pPr>
        <w:ind w:firstLine="482"/>
        <w:rPr>
          <w:rFonts w:cs="楷体" w:asciiTheme="minorEastAsia" w:hAnsiTheme="minorEastAsia" w:eastAsiaTheme="minorEastAsia"/>
          <w:b/>
          <w:bCs/>
        </w:rPr>
      </w:pPr>
      <w:r>
        <w:rPr>
          <w:rFonts w:hint="eastAsia" w:cs="楷体" w:asciiTheme="minorEastAsia" w:hAnsiTheme="minorEastAsia" w:eastAsiaTheme="minorEastAsia"/>
          <w:b/>
          <w:bCs/>
        </w:rPr>
        <w:t>二、</w:t>
      </w:r>
      <w:r>
        <w:rPr>
          <w:rFonts w:cs="楷体" w:asciiTheme="minorEastAsia" w:hAnsiTheme="minorEastAsia" w:eastAsiaTheme="minorEastAsia"/>
          <w:b/>
          <w:bCs/>
        </w:rPr>
        <w:t>权利穷竭</w:t>
      </w:r>
    </w:p>
    <w:p>
      <w:pPr>
        <w:ind w:firstLine="480"/>
        <w:rPr>
          <w:rFonts w:cs="楷体" w:asciiTheme="minorEastAsia" w:hAnsiTheme="minorEastAsia" w:eastAsiaTheme="minorEastAsia"/>
        </w:rPr>
      </w:pPr>
      <w:r>
        <w:rPr>
          <w:rFonts w:cs="楷体" w:asciiTheme="minorEastAsia" w:hAnsiTheme="minorEastAsia" w:eastAsiaTheme="minorEastAsia"/>
        </w:rPr>
        <w:t>法国知识产权法典L.613-6规定，对经专利权人明确同意已投放法国或欧共体成员国市场的产品，专利权不得延伸到法国领土上完成的由该专利覆盖的产品的行为。这就是权利穷竭理论。</w:t>
      </w:r>
    </w:p>
    <w:p>
      <w:pPr>
        <w:ind w:firstLine="480"/>
        <w:rPr>
          <w:rFonts w:cs="楷体" w:asciiTheme="minorEastAsia" w:hAnsiTheme="minorEastAsia" w:eastAsiaTheme="minorEastAsia"/>
        </w:rPr>
      </w:pPr>
      <w:r>
        <w:rPr>
          <w:rFonts w:cs="楷体" w:asciiTheme="minorEastAsia" w:hAnsiTheme="minorEastAsia" w:eastAsiaTheme="minorEastAsia"/>
        </w:rPr>
        <w:t>权利穷竭理论并非一开始就出现在法国专利制度中，而是在1978年法国第四部专利法中得到确立的。在此，专利产品的使用没有通过专利权人许诺时，专利权人可以合法地阻止合法投放法国市场的专利产品的使用。但是自从1978年7月13日修改的专利法实施以来，专利产品被专利权人或者在专利权人的明确同意下（例如产品获取许可证的场合）制造出来后，无论投放市场与否，专利权均用尽。无论他以何种方式购入该产品，专利权人都不能设法阻止其使用该产品。而且，在专利权人同意的情况下，虽然专利产品是平行专利（parallel patents）产品，但是根据所谓的共同体规则（Common Market Regulations）的宗旨，将专利产品投放至任何一个盟约国市场之后在全盟约国内自由流通，根据权利用尽的规则在欧洲经济体的所有盟约国的市场均适用。</w:t>
      </w:r>
    </w:p>
    <w:p>
      <w:pPr>
        <w:ind w:firstLine="480"/>
        <w:rPr>
          <w:rFonts w:cs="楷体" w:asciiTheme="minorEastAsia" w:hAnsiTheme="minorEastAsia" w:eastAsiaTheme="minorEastAsia"/>
        </w:rPr>
      </w:pPr>
      <w:r>
        <w:rPr>
          <w:rFonts w:cs="楷体" w:asciiTheme="minorEastAsia" w:hAnsiTheme="minorEastAsia" w:eastAsiaTheme="minorEastAsia"/>
        </w:rPr>
        <w:t>权利穷竭理论产生于平行进口的问题。平行进口产生于这样的情形∶在专利权人或者经过专利权人同意制造的产品被供至第一国市场，由第三人将其进口至具有专利保护的但没有专利权人允许流通的第二国。对于平行进口中的专利权如何进行保护，欧洲法院（ECJ）考虑从欧洲共同体条约第30条和第36条的规定中导出权利穷竭这一法律原则，于1974年10月31日针对Centrafarm B.V.and Adriaan de Peijper V.Sterling Drug Inc. 案件进行如下的判决∶在平行专利产品的场合中，专利产品经过专利权人自身或者专利权人的同意被合法供给至盟约国内的市场上，之后从该盟国进口时，不存在排除商品自由流通的正当理由。</w:t>
      </w:r>
    </w:p>
    <w:p>
      <w:pPr>
        <w:ind w:firstLine="480"/>
        <w:rPr>
          <w:rFonts w:cs="楷体" w:asciiTheme="minorEastAsia" w:hAnsiTheme="minorEastAsia" w:eastAsiaTheme="minorEastAsia"/>
        </w:rPr>
      </w:pPr>
      <w:r>
        <w:rPr>
          <w:rFonts w:cs="楷体" w:asciiTheme="minorEastAsia" w:hAnsiTheme="minorEastAsia" w:eastAsiaTheme="minorEastAsia"/>
        </w:rPr>
        <w:t>欧洲法院最近针对MerckV.Prime crown和BeechamV.Europharm这两个案件就所关注的平行进口问题支持了传统的判例法。详细的说，欧洲法院的判决如下∶如果产品最初被供给至欧共体其中一个盟约国市场之中，该国对产品没有专利保护而在其他国家具有专利时，专利权就用尽；如果根据法律规定的义务，要求专利权人将产品销售至欧共体其中一个盟约国的市场，例如，根据强制许可规定专利产品在该国被销售给第三人的情形，专利权就没有用尽。</w:t>
      </w:r>
    </w:p>
    <w:p>
      <w:pPr>
        <w:ind w:firstLine="482"/>
        <w:rPr>
          <w:rFonts w:cs="楷体" w:asciiTheme="minorEastAsia" w:hAnsiTheme="minorEastAsia" w:eastAsiaTheme="minorEastAsia"/>
          <w:b/>
          <w:bCs/>
        </w:rPr>
      </w:pPr>
      <w:r>
        <w:rPr>
          <w:rFonts w:hint="eastAsia" w:cs="楷体" w:asciiTheme="minorEastAsia" w:hAnsiTheme="minorEastAsia" w:eastAsiaTheme="minorEastAsia"/>
          <w:b/>
          <w:bCs/>
        </w:rPr>
        <w:t>三、</w:t>
      </w:r>
      <w:r>
        <w:rPr>
          <w:rFonts w:cs="楷体" w:asciiTheme="minorEastAsia" w:hAnsiTheme="minorEastAsia" w:eastAsiaTheme="minorEastAsia"/>
          <w:b/>
          <w:bCs/>
        </w:rPr>
        <w:t>先占</w:t>
      </w:r>
    </w:p>
    <w:p>
      <w:pPr>
        <w:ind w:firstLine="480"/>
        <w:rPr>
          <w:rFonts w:cs="楷体" w:asciiTheme="minorEastAsia" w:hAnsiTheme="minorEastAsia" w:eastAsiaTheme="minorEastAsia"/>
        </w:rPr>
      </w:pPr>
      <w:r>
        <w:rPr>
          <w:rFonts w:cs="楷体" w:asciiTheme="minorEastAsia" w:hAnsiTheme="minorEastAsia" w:eastAsiaTheme="minorEastAsia"/>
        </w:rPr>
        <w:t>法国法律规定的“先占”权是指在专利申请日或者优先权日于法国善意占有，作为专利对象的发明的人无论是谁，不管专利有效与否，均具有为了自己而实施该发明的权利。先占作为侵权例外的情形是对专利权行使的限制。在法国，专利权人不能妨碍第三人行使对自己发明的“先占”权利。根据法国知识产权法典L.613-7的规定，在专利公布的申请日之前，在法国区域内就同一发明进行独立开发的任何人均具有“自己先占”的权利，其对发明的实施不会受到专利权人的阻止。</w:t>
      </w:r>
    </w:p>
    <w:p>
      <w:pPr>
        <w:ind w:firstLine="480"/>
        <w:rPr>
          <w:rFonts w:cs="楷体" w:asciiTheme="minorEastAsia" w:hAnsiTheme="minorEastAsia" w:eastAsiaTheme="minorEastAsia"/>
        </w:rPr>
      </w:pPr>
      <w:r>
        <w:rPr>
          <w:rFonts w:cs="楷体" w:asciiTheme="minorEastAsia" w:hAnsiTheme="minorEastAsia" w:eastAsiaTheme="minorEastAsia"/>
        </w:rPr>
        <w:t>应当注意的是，就此例外情况来讲，法国法中“先占”的概念与其他国家“在先使用”的概念是不同的。“在先使用”必须以在专利申请日之前实施发明为条件，而“自己先占”则无需实施，只要知晓发明就行。换言之，即使在实际中没有实施发明，或者即使没有为了实施而进行实质上的准备，“为了自己而实施的权利”对于占有发明的人来说是被认可的。不排除法国关于此问题的规定可能会通过与将来的专利法的调和而发生变化。</w:t>
      </w:r>
    </w:p>
    <w:p>
      <w:pPr>
        <w:ind w:firstLine="480"/>
        <w:rPr>
          <w:rFonts w:cs="楷体" w:asciiTheme="minorEastAsia" w:hAnsiTheme="minorEastAsia" w:eastAsiaTheme="minorEastAsia"/>
        </w:rPr>
      </w:pPr>
      <w:r>
        <w:rPr>
          <w:rFonts w:cs="楷体" w:asciiTheme="minorEastAsia" w:hAnsiTheme="minorEastAsia" w:eastAsiaTheme="minorEastAsia"/>
        </w:rPr>
        <w:t>先占权仅仅是对发明实施权的限制，但不能限制专利权的其他权利，因此不能将先占权与第三人的事业整体上分离出来单独转让。并且，“自己先占”通常是秘密进行的，否则发明就会丧失新颖性。法国法院一般推定侵权人必须举证，即在专利申请日之前业已知道专利发明的所有特征，法官可以要求被诉侵权人就在先占有的日期及其内容出示确凿的证据。如果关于专利发明的知识不是在法国国内而是在法国国外获得的话，不适用“自己先占”的例外。</w:t>
      </w:r>
    </w:p>
    <w:p>
      <w:pPr>
        <w:ind w:firstLine="482"/>
        <w:rPr>
          <w:rFonts w:cs="楷体" w:asciiTheme="minorEastAsia" w:hAnsiTheme="minorEastAsia" w:eastAsiaTheme="minorEastAsia"/>
          <w:b/>
          <w:bCs/>
        </w:rPr>
      </w:pPr>
      <w:r>
        <w:rPr>
          <w:rFonts w:hint="eastAsia" w:cs="楷体" w:asciiTheme="minorEastAsia" w:hAnsiTheme="minorEastAsia" w:eastAsiaTheme="minorEastAsia"/>
          <w:b/>
          <w:bCs/>
        </w:rPr>
        <w:t>四、</w:t>
      </w:r>
      <w:r>
        <w:rPr>
          <w:rFonts w:cs="楷体" w:asciiTheme="minorEastAsia" w:hAnsiTheme="minorEastAsia" w:eastAsiaTheme="minorEastAsia"/>
          <w:b/>
          <w:bCs/>
        </w:rPr>
        <w:t>强制许可</w:t>
      </w:r>
    </w:p>
    <w:p>
      <w:pPr>
        <w:ind w:firstLine="480"/>
        <w:rPr>
          <w:rFonts w:cs="楷体" w:asciiTheme="minorEastAsia" w:hAnsiTheme="minorEastAsia" w:eastAsiaTheme="minorEastAsia"/>
        </w:rPr>
      </w:pPr>
      <w:r>
        <w:rPr>
          <w:rFonts w:cs="楷体" w:asciiTheme="minorEastAsia" w:hAnsiTheme="minorEastAsia" w:eastAsiaTheme="minorEastAsia"/>
        </w:rPr>
        <w:t>法国对于强制许可的规定分为强制许可（la licence obligatoire）和征用许可（la licence doffice）。法国知识产权法典L.613-10~L.613-14规定，专利权的所有者或者权利继承人未开始实施或未认真有效地准备实施专利发明，或者放弃实施已达3年以上，而且经申诉后仍被认为无适当理由，在此条件下，任何公法法人或者私法法人均可按后列各条款的条件，获得该专利的强制许可证。由大审法院来判决、授予强制许可并就赔偿金进行裁决。</w:t>
      </w:r>
    </w:p>
    <w:p>
      <w:pPr>
        <w:ind w:firstLine="562"/>
        <w:outlineLvl w:val="2"/>
        <w:rPr>
          <w:rFonts w:ascii="黑体" w:hAnsi="黑体" w:eastAsia="黑体" w:cs="Helvetica"/>
          <w:b/>
          <w:color w:val="000000" w:themeColor="text1"/>
          <w:kern w:val="0"/>
          <w:sz w:val="28"/>
          <w:szCs w:val="28"/>
        </w:rPr>
      </w:pPr>
      <w:bookmarkStart w:id="90" w:name="_Toc121146346"/>
      <w:bookmarkStart w:id="91" w:name="_Toc203061388"/>
      <w:r>
        <w:rPr>
          <w:rFonts w:ascii="黑体" w:hAnsi="黑体" w:eastAsia="黑体" w:cs="Helvetica"/>
          <w:b/>
          <w:color w:val="000000" w:themeColor="text1"/>
          <w:kern w:val="0"/>
          <w:sz w:val="28"/>
          <w:szCs w:val="28"/>
        </w:rPr>
        <w:t xml:space="preserve">4.4.3 </w:t>
      </w:r>
      <w:r>
        <w:rPr>
          <w:rFonts w:hint="eastAsia" w:ascii="黑体" w:hAnsi="黑体" w:eastAsia="黑体" w:cs="Helvetica"/>
          <w:b/>
          <w:color w:val="000000" w:themeColor="text1"/>
          <w:kern w:val="0"/>
          <w:sz w:val="28"/>
          <w:szCs w:val="28"/>
        </w:rPr>
        <w:t>法国专利侵权的反诉及抗辩</w:t>
      </w:r>
      <w:bookmarkEnd w:id="90"/>
      <w:bookmarkEnd w:id="91"/>
    </w:p>
    <w:p>
      <w:pPr>
        <w:ind w:firstLine="482"/>
        <w:rPr>
          <w:rFonts w:cs="楷体" w:asciiTheme="minorEastAsia" w:hAnsiTheme="minorEastAsia" w:eastAsiaTheme="minorEastAsia"/>
          <w:b/>
          <w:bCs/>
        </w:rPr>
      </w:pPr>
      <w:r>
        <w:rPr>
          <w:rFonts w:hint="eastAsia" w:cs="楷体" w:asciiTheme="minorEastAsia" w:hAnsiTheme="minorEastAsia" w:eastAsiaTheme="minorEastAsia"/>
          <w:b/>
          <w:bCs/>
        </w:rPr>
        <w:t>1</w:t>
      </w:r>
      <w:r>
        <w:rPr>
          <w:rFonts w:cs="楷体" w:asciiTheme="minorEastAsia" w:hAnsiTheme="minorEastAsia" w:eastAsiaTheme="minorEastAsia"/>
          <w:b/>
          <w:bCs/>
        </w:rPr>
        <w:t>.临时禁令不存在</w:t>
      </w:r>
    </w:p>
    <w:p>
      <w:pPr>
        <w:ind w:firstLine="480"/>
        <w:rPr>
          <w:rFonts w:cs="楷体" w:asciiTheme="minorEastAsia" w:hAnsiTheme="minorEastAsia" w:eastAsiaTheme="minorEastAsia"/>
        </w:rPr>
      </w:pPr>
      <w:r>
        <w:rPr>
          <w:rFonts w:cs="楷体" w:asciiTheme="minorEastAsia" w:hAnsiTheme="minorEastAsia" w:eastAsiaTheme="minorEastAsia"/>
        </w:rPr>
        <w:t>对于临时禁令的场合，被告可能会致力于使法官确信∶①临时禁令的适用条件未充分满足；②支持临时禁止的重大理由不存在。在暂行禁令的两个主要适用条件中，最容易判别的是，在知道侵权之后专利权人直接启动侵权诉讼的事实。证明专利权人知晓侵权的义务在于被告方当事人。如上所述，在请求临时禁令之前需要6个月时间，否则可能会被裁定为过晚。</w:t>
      </w:r>
    </w:p>
    <w:p>
      <w:pPr>
        <w:ind w:firstLine="480"/>
        <w:rPr>
          <w:rFonts w:cs="楷体" w:asciiTheme="minorEastAsia" w:hAnsiTheme="minorEastAsia" w:eastAsiaTheme="minorEastAsia"/>
        </w:rPr>
      </w:pPr>
      <w:r>
        <w:rPr>
          <w:rFonts w:cs="楷体" w:asciiTheme="minorEastAsia" w:hAnsiTheme="minorEastAsia" w:eastAsiaTheme="minorEastAsia"/>
        </w:rPr>
        <w:t>与是否构成侵权密切相关的是针对专利的有效性和侵权存在的讨论，例如，被告提出的在先技术比专利审查中考虑的现有技术相关性更高，嫌疑侵权行为不能够由专利权人的权利要求直接导出等；嫌疑侵权人也可以主张专利权人并没有实施专利而向法官主张缺乏临时禁令的正当理由。</w:t>
      </w:r>
    </w:p>
    <w:p>
      <w:pPr>
        <w:ind w:firstLine="482"/>
        <w:rPr>
          <w:rFonts w:cs="楷体" w:asciiTheme="minorEastAsia" w:hAnsiTheme="minorEastAsia" w:eastAsiaTheme="minorEastAsia"/>
          <w:b/>
          <w:bCs/>
        </w:rPr>
      </w:pPr>
      <w:r>
        <w:rPr>
          <w:rFonts w:hint="eastAsia" w:cs="楷体" w:asciiTheme="minorEastAsia" w:hAnsiTheme="minorEastAsia" w:eastAsiaTheme="minorEastAsia"/>
          <w:b/>
          <w:bCs/>
        </w:rPr>
        <w:t>2</w:t>
      </w:r>
      <w:r>
        <w:rPr>
          <w:rFonts w:cs="楷体" w:asciiTheme="minorEastAsia" w:hAnsiTheme="minorEastAsia" w:eastAsiaTheme="minorEastAsia"/>
          <w:b/>
          <w:bCs/>
        </w:rPr>
        <w:t>.先占权</w:t>
      </w:r>
    </w:p>
    <w:p>
      <w:pPr>
        <w:ind w:firstLine="480"/>
        <w:rPr>
          <w:rFonts w:cs="楷体" w:asciiTheme="minorEastAsia" w:hAnsiTheme="minorEastAsia" w:eastAsiaTheme="minorEastAsia"/>
        </w:rPr>
      </w:pPr>
      <w:r>
        <w:rPr>
          <w:rFonts w:cs="楷体" w:asciiTheme="minorEastAsia" w:hAnsiTheme="minorEastAsia" w:eastAsiaTheme="minorEastAsia"/>
        </w:rPr>
        <w:t>如前所述，先占权属于专利侵权的例外。在专利申请日或者优先权日在法国善意占有作为专利对象的发明的人，无论是谁，不管专利存在与否，均具有为了自己而实施该发明的权利。法国关于先占权的规定和其他很多国家不同，即使权利人在实际中没有实施发明，或者没有为了实施而进行实质上的准备，"为了自己而实施的权利"对于占有发明的人来说也是被认可的。被告必须提出在先占有的证据。法官可以要求就在先占有的日期及其内容出示确凿的证据。</w:t>
      </w:r>
    </w:p>
    <w:p>
      <w:pPr>
        <w:ind w:firstLine="482"/>
        <w:rPr>
          <w:rFonts w:cs="楷体" w:asciiTheme="minorEastAsia" w:hAnsiTheme="minorEastAsia" w:eastAsiaTheme="minorEastAsia"/>
          <w:b/>
          <w:bCs/>
        </w:rPr>
      </w:pPr>
      <w:r>
        <w:rPr>
          <w:rFonts w:cs="楷体" w:asciiTheme="minorEastAsia" w:hAnsiTheme="minorEastAsia" w:eastAsiaTheme="minorEastAsia"/>
          <w:b/>
          <w:bCs/>
        </w:rPr>
        <w:t>3.专利权的无效</w:t>
      </w:r>
    </w:p>
    <w:p>
      <w:pPr>
        <w:ind w:firstLine="480"/>
        <w:rPr>
          <w:rFonts w:cs="楷体" w:asciiTheme="minorEastAsia" w:hAnsiTheme="minorEastAsia" w:eastAsiaTheme="minorEastAsia"/>
        </w:rPr>
      </w:pPr>
      <w:r>
        <w:rPr>
          <w:rFonts w:cs="楷体" w:asciiTheme="minorEastAsia" w:hAnsiTheme="minorEastAsia" w:eastAsiaTheme="minorEastAsia"/>
        </w:rPr>
        <w:t>在专利侵权诉讼中，被告无一例外地都会提起主张专利无效的反诉。在法国，仅民事法院拥有对无效请求的诉讼管辖权，因此，针对专利有效性的诉讼也由该专利侵权诉讼的同一法官进行审理。</w:t>
      </w:r>
    </w:p>
    <w:p>
      <w:pPr>
        <w:ind w:firstLine="480"/>
        <w:rPr>
          <w:rFonts w:cs="楷体" w:asciiTheme="minorEastAsia" w:hAnsiTheme="minorEastAsia" w:eastAsiaTheme="minorEastAsia"/>
        </w:rPr>
      </w:pPr>
      <w:r>
        <w:rPr>
          <w:rFonts w:cs="楷体" w:asciiTheme="minorEastAsia" w:hAnsiTheme="minorEastAsia" w:eastAsiaTheme="minorEastAsia"/>
        </w:rPr>
        <w:t>法国知识产权法典L.613-25规定∶“司法决定可宣告专利无效”，并就可宣告无效的情形主要规定为∶"按第6条到第11条所规定的条件不批专利的发明；未对发明作出必要的明确而完整的说明，致使专业人员不能予以实施；专利对象是申请专利时的申请内容以外者，或者专利是在单项申请的基础上颁发的，而专利对象超出了最初申请时的内容。”可见，法国专利无效的情形分为三种∶①专利对象由于缺乏新颖性、创造性或者产业上的可利用性而不具有专利权的情况；②没有足够清楚且完整地公开发明以达到本领域技术人员能够实施该发明的程度的情况；③专利对象超出申请时说明书的内容，或者在基于分案申请的专利被授予的时候，超出申请时原说明书的内容的情况。</w:t>
      </w:r>
    </w:p>
    <w:p>
      <w:pPr>
        <w:ind w:firstLine="480"/>
        <w:rPr>
          <w:rFonts w:cs="楷体" w:asciiTheme="minorEastAsia" w:hAnsiTheme="minorEastAsia" w:eastAsiaTheme="minorEastAsia"/>
        </w:rPr>
      </w:pPr>
      <w:r>
        <w:rPr>
          <w:rFonts w:cs="楷体" w:asciiTheme="minorEastAsia" w:hAnsiTheme="minorEastAsia" w:eastAsiaTheme="minorEastAsia"/>
        </w:rPr>
        <w:t>将法国作为指定国的欧洲专利除了上述情况之外，在以下情况下也视为无效∶①由欧洲专利所赋予的保护被扩大的情况（含异议）；②专利权人不具有享受由专利权所带来的利益的情况。</w:t>
      </w:r>
    </w:p>
    <w:p>
      <w:pPr>
        <w:ind w:firstLine="480"/>
        <w:rPr>
          <w:rFonts w:cs="楷体" w:asciiTheme="minorEastAsia" w:hAnsiTheme="minorEastAsia" w:eastAsiaTheme="minorEastAsia"/>
        </w:rPr>
      </w:pPr>
      <w:r>
        <w:rPr>
          <w:rFonts w:cs="楷体" w:asciiTheme="minorEastAsia" w:hAnsiTheme="minorEastAsia" w:eastAsiaTheme="minorEastAsia"/>
        </w:rPr>
        <w:t>专利部分或者全部无效的判决具有绝对的效力，即并非仅针对当事人。因此，即使第三人在另外的诉讼中被专利权人控诉侵权，其也可以持有在和别人的在先诉讼中所宣判的专利的无效性与专利权人进行抗辩。如果是终审判决，则该判决将通知法国专利局，并记录于专利注册簿中，专利的无效被公开。</w:t>
      </w:r>
    </w:p>
    <w:p>
      <w:pPr>
        <w:ind w:firstLine="480"/>
        <w:rPr>
          <w:rFonts w:cs="楷体" w:asciiTheme="minorEastAsia" w:hAnsiTheme="minorEastAsia" w:eastAsiaTheme="minorEastAsia"/>
        </w:rPr>
      </w:pPr>
      <w:r>
        <w:rPr>
          <w:rFonts w:cs="楷体" w:asciiTheme="minorEastAsia" w:hAnsiTheme="minorEastAsia" w:eastAsiaTheme="minorEastAsia"/>
        </w:rPr>
        <w:t>在无效理由仅影响专利的一部分时，与之对应地，该无效以对专利进行限定的方式宣判判决。通过部分无效的判决即可进行已授权专利的变更。专利权人被指令再次向法国工业产权局提交按照判决而修改的权利要求书。在修改后的权利要求不适于判决时，法国产权局局长有权驳回不符合判决的权利要求书。</w:t>
      </w:r>
    </w:p>
    <w:p>
      <w:pPr>
        <w:pStyle w:val="2"/>
        <w:ind w:firstLine="480"/>
      </w:pPr>
      <w:r>
        <w:br w:type="page"/>
      </w:r>
    </w:p>
    <w:p>
      <w:pPr>
        <w:pStyle w:val="3"/>
        <w:spacing w:before="312" w:after="312"/>
      </w:pPr>
      <w:bookmarkStart w:id="92" w:name="_Toc199407985"/>
      <w:bookmarkStart w:id="93" w:name="_Toc203061389"/>
      <w:bookmarkStart w:id="94" w:name="_Toc24515"/>
      <w:r>
        <w:rPr>
          <w:rFonts w:hint="eastAsia"/>
        </w:rPr>
        <w:t>第五章 应对措施</w:t>
      </w:r>
      <w:bookmarkEnd w:id="92"/>
      <w:bookmarkEnd w:id="93"/>
      <w:bookmarkEnd w:id="94"/>
    </w:p>
    <w:p>
      <w:pPr>
        <w:ind w:firstLine="562"/>
        <w:outlineLvl w:val="1"/>
        <w:rPr>
          <w:rFonts w:ascii="黑体" w:hAnsi="黑体" w:eastAsia="黑体"/>
          <w:b/>
          <w:bCs/>
          <w:sz w:val="28"/>
          <w:szCs w:val="28"/>
        </w:rPr>
      </w:pPr>
      <w:bookmarkStart w:id="95" w:name="_Toc199407986"/>
      <w:bookmarkStart w:id="96" w:name="_Toc203061390"/>
      <w:r>
        <w:rPr>
          <w:rFonts w:hint="eastAsia" w:ascii="黑体" w:hAnsi="黑体" w:eastAsia="黑体"/>
          <w:b/>
          <w:bCs/>
          <w:sz w:val="28"/>
          <w:szCs w:val="28"/>
        </w:rPr>
        <w:t>5.1</w:t>
      </w:r>
      <w:r>
        <w:rPr>
          <w:rFonts w:ascii="黑体" w:hAnsi="黑体" w:eastAsia="黑体"/>
          <w:b/>
          <w:bCs/>
          <w:sz w:val="28"/>
          <w:szCs w:val="28"/>
        </w:rPr>
        <w:t xml:space="preserve"> </w:t>
      </w:r>
      <w:r>
        <w:rPr>
          <w:rFonts w:hint="eastAsia" w:ascii="黑体" w:hAnsi="黑体" w:eastAsia="黑体"/>
          <w:b/>
          <w:bCs/>
          <w:sz w:val="28"/>
          <w:szCs w:val="28"/>
        </w:rPr>
        <w:t>产业现状与海外知识产权风险研判</w:t>
      </w:r>
      <w:bookmarkEnd w:id="95"/>
      <w:bookmarkEnd w:id="96"/>
    </w:p>
    <w:p>
      <w:pPr>
        <w:pStyle w:val="2"/>
        <w:ind w:firstLine="480"/>
      </w:pPr>
      <w:r>
        <w:t>聊城市的农业机械产业作为传统优势产业，规模效益显著。已构建起完备的生产体系，具备年产农用车辆130万辆、发动机150万台、拖拉机30万台、联合收割机3万台的强大产能，实现年产值高达200亿元，吸纳从业人员达2万余人。在装备制造产业链中，规上企业数量多达232家，为产业发展提供了坚实的支撑。例如时风集团，作为产业龙头企业，在生产规模和市场影响力方面都起到了引领作用</w:t>
      </w:r>
    </w:p>
    <w:p>
      <w:pPr>
        <w:pStyle w:val="2"/>
        <w:ind w:firstLine="480"/>
      </w:pPr>
      <w:r>
        <w:t>随着聊城市农用三轮车和农用拖拉机产业海外市场拓展，知识产权风险逐渐显现。在国际市场上，不同国家和地区的知识产权法律法规差异较大，企业可能因不熟悉当地法规而无意识侵权。同时，随着产业竞争加剧，部分企业创新能力不足，可能模仿或抄袭其他企业的技术和设计，从而引发知识产权纠纷。此外，一些国际竞争对手可能利用知识产权诉讼作为竞争手段，给聊城市相关企业带来困扰。因此，分析聊城市</w:t>
      </w:r>
      <w:r>
        <w:rPr>
          <w:rFonts w:hint="eastAsia"/>
        </w:rPr>
        <w:t>农业运输机械</w:t>
      </w:r>
      <w:r>
        <w:t>产业现状，提出针对性的海外知识产权侵权风险应对措施具有重要的现实意义。</w:t>
      </w:r>
      <w:r>
        <w:rPr>
          <w:rFonts w:hint="eastAsia"/>
        </w:rPr>
        <w:t>具体应付措施如下文所示。</w:t>
      </w:r>
    </w:p>
    <w:p>
      <w:pPr>
        <w:ind w:firstLine="562"/>
        <w:outlineLvl w:val="1"/>
        <w:rPr>
          <w:rFonts w:ascii="黑体" w:hAnsi="黑体" w:eastAsia="黑体"/>
          <w:b/>
          <w:bCs/>
          <w:sz w:val="28"/>
          <w:szCs w:val="28"/>
        </w:rPr>
      </w:pPr>
      <w:bookmarkStart w:id="97" w:name="_Toc203061391"/>
      <w:r>
        <w:rPr>
          <w:rFonts w:hint="eastAsia" w:ascii="黑体" w:hAnsi="黑体" w:eastAsia="黑体"/>
          <w:b/>
          <w:bCs/>
          <w:sz w:val="28"/>
          <w:szCs w:val="28"/>
        </w:rPr>
        <w:t>5.</w:t>
      </w:r>
      <w:r>
        <w:rPr>
          <w:rFonts w:ascii="黑体" w:hAnsi="黑体" w:eastAsia="黑体"/>
          <w:b/>
          <w:bCs/>
          <w:sz w:val="28"/>
          <w:szCs w:val="28"/>
        </w:rPr>
        <w:t xml:space="preserve">2 </w:t>
      </w:r>
      <w:r>
        <w:rPr>
          <w:rFonts w:hint="eastAsia" w:ascii="黑体" w:hAnsi="黑体" w:eastAsia="黑体"/>
          <w:b/>
          <w:bCs/>
          <w:sz w:val="28"/>
          <w:szCs w:val="28"/>
        </w:rPr>
        <w:t>政府层面</w:t>
      </w:r>
      <w:r>
        <w:rPr>
          <w:rFonts w:hint="eastAsia" w:ascii="MS Gothic" w:hAnsi="MS Gothic" w:eastAsia="MS Gothic" w:cs="MS Gothic"/>
          <w:b/>
          <w:bCs/>
          <w:sz w:val="28"/>
          <w:szCs w:val="28"/>
        </w:rPr>
        <w:t>​</w:t>
      </w:r>
      <w:bookmarkEnd w:id="97"/>
    </w:p>
    <w:p>
      <w:pPr>
        <w:pStyle w:val="2"/>
        <w:ind w:firstLine="480"/>
      </w:pPr>
      <w:r>
        <w:t>（一）强化公共服务平台功能​</w:t>
      </w:r>
    </w:p>
    <w:p>
      <w:pPr>
        <w:pStyle w:val="2"/>
        <w:ind w:firstLine="480"/>
      </w:pPr>
      <w:r>
        <w:t>依托国家海外知识产权纠纷应对指导中心聊城分中心，进一步丰富服务内容。除了及时发布海外知识产权信息，还应针对农用机械行业特点，建立专业的知识产权数据库，涵盖主要出口市场国家和地区的专利、商标等信息。定期组织专家团队对海外知识产权风险进行评估和预警，为企业提供精准的风险监测服务。例如，根据非洲、东欧等市场的知识产权政策变化，及时向企业发布预警信息，提醒企业调整产品策略。​</w:t>
      </w:r>
    </w:p>
    <w:p>
      <w:pPr>
        <w:pStyle w:val="2"/>
        <w:ind w:firstLine="480"/>
      </w:pPr>
      <w:r>
        <w:t>（二）深化培训与指导服务​</w:t>
      </w:r>
    </w:p>
    <w:p>
      <w:pPr>
        <w:pStyle w:val="2"/>
        <w:ind w:firstLine="480"/>
      </w:pPr>
      <w:r>
        <w:t>持续开展针对性强的涉外知识产权保护培训活动。邀请国内外知识产权领域的专家、律师，结合实际案例，为企业深入讲解海外专利申请流程、商标注册要点、侵权判定标准以及纠纷应对策略等知识。在企业日常经营中，加强走访调研，为企业提供一对一的知识产权指导服务。协助企业制定知识产权战略规划，引导企业合理布局知识产权，提高企业知识产权管理水平。​</w:t>
      </w:r>
    </w:p>
    <w:p>
      <w:pPr>
        <w:pStyle w:val="2"/>
        <w:ind w:firstLine="480"/>
      </w:pPr>
      <w:r>
        <w:t>（三）推动企业交流合作平台建设​</w:t>
      </w:r>
    </w:p>
    <w:p>
      <w:pPr>
        <w:pStyle w:val="2"/>
        <w:ind w:firstLine="480"/>
      </w:pPr>
      <w:r>
        <w:t>借助产业链工作专班的组织协调优势，定期举办海外市场拓展与知识产权保护经验分享会。鼓励有丰富海外市场经验的企业分享在应对知识产权纠纷方面的成功案例和失败教训，促进企业之间的信息交流与资源共享。组织企业参加国际农机展会和行业交流活动，搭建企业与国际同行沟通合作的桥梁，在交流合作中提升企业对国际知识产权规则的理解和运用能力。​</w:t>
      </w:r>
    </w:p>
    <w:p>
      <w:pPr>
        <w:pStyle w:val="2"/>
        <w:ind w:firstLine="480"/>
      </w:pPr>
      <w:r>
        <w:t>（四）加强国际合作与协调​</w:t>
      </w:r>
    </w:p>
    <w:p>
      <w:pPr>
        <w:pStyle w:val="2"/>
        <w:ind w:firstLine="480"/>
      </w:pPr>
      <w:r>
        <w:t>政府相关部门应积极利用外交、商务等多种渠道，与主要出口市场国家和地区的政府部门、知识产权机构建立常态化的交流合作机制。推动双边或多边知识产权保护合作协议的签订，为企业创造更加稳定、可预期的国际知识产权环境。在国际知识产权规则制定过程中，积极参与并表达中国企业的诉求，为聊城市农用机械企业在海外市场的发展争取有利的政策空间。</w:t>
      </w:r>
    </w:p>
    <w:p>
      <w:pPr>
        <w:ind w:firstLine="562"/>
        <w:outlineLvl w:val="1"/>
        <w:rPr>
          <w:rFonts w:ascii="黑体" w:hAnsi="黑体" w:eastAsia="黑体"/>
          <w:b/>
          <w:bCs/>
          <w:sz w:val="28"/>
          <w:szCs w:val="28"/>
        </w:rPr>
      </w:pPr>
      <w:bookmarkStart w:id="98" w:name="_Toc203061392"/>
      <w:r>
        <w:rPr>
          <w:rFonts w:hint="eastAsia" w:ascii="黑体" w:hAnsi="黑体" w:eastAsia="黑体"/>
          <w:b/>
          <w:bCs/>
          <w:sz w:val="28"/>
          <w:szCs w:val="28"/>
        </w:rPr>
        <w:t>5</w:t>
      </w:r>
      <w:r>
        <w:rPr>
          <w:rFonts w:ascii="黑体" w:hAnsi="黑体" w:eastAsia="黑体"/>
          <w:b/>
          <w:bCs/>
          <w:sz w:val="28"/>
          <w:szCs w:val="28"/>
        </w:rPr>
        <w:t xml:space="preserve">.3 </w:t>
      </w:r>
      <w:r>
        <w:rPr>
          <w:rFonts w:hint="eastAsia" w:ascii="黑体" w:hAnsi="黑体" w:eastAsia="黑体"/>
          <w:b/>
          <w:bCs/>
          <w:sz w:val="28"/>
          <w:szCs w:val="28"/>
        </w:rPr>
        <w:t>企业层面</w:t>
      </w:r>
      <w:bookmarkEnd w:id="98"/>
    </w:p>
    <w:p>
      <w:pPr>
        <w:pStyle w:val="2"/>
        <w:ind w:firstLine="480"/>
      </w:pPr>
      <w:r>
        <w:t>（一）全面提升知识产权意识​</w:t>
      </w:r>
    </w:p>
    <w:p>
      <w:pPr>
        <w:pStyle w:val="2"/>
        <w:ind w:firstLine="480"/>
      </w:pPr>
      <w:r>
        <w:t>企业要积极主动参加政府组织的各类知识产权培训活动，加强对海外知识产权法律法规的学习和研究。在企业内部开展知识产权知识普及教育，将知识产权意识融入到企业的研发、生产、销售等各个环节。建立知识产权管理部门或岗位，配备专业人员，负责企业知识产权事务的管理和监督，确保企业在日常经营活动中严格遵守知识产权法律法规。​</w:t>
      </w:r>
    </w:p>
    <w:p>
      <w:pPr>
        <w:pStyle w:val="2"/>
        <w:ind w:firstLine="480"/>
      </w:pPr>
      <w:r>
        <w:t>（二）优化知识产权布局​</w:t>
      </w:r>
    </w:p>
    <w:p>
      <w:pPr>
        <w:pStyle w:val="2"/>
        <w:ind w:firstLine="480"/>
      </w:pPr>
      <w:r>
        <w:t>根据产品的主要出口市场分布情况，深入研究目标市场国家和地区的知识产权法律制度和市场需求。针对非洲市场对农用三轮车实用性和经济性的偏好，及时就相关独特设计和关键技术申请专利保护，同时在当地注册品牌商标，防止被他人恶意抢注。在研发过程中，注重对自主知识产权的培育和积累，形成核心技术专利群，提升企业在国际市场上的竞争力。​</w:t>
      </w:r>
    </w:p>
    <w:p>
      <w:pPr>
        <w:pStyle w:val="2"/>
        <w:ind w:firstLine="480"/>
      </w:pPr>
      <w:r>
        <w:t>（三）建立健全风险预警机制​</w:t>
      </w:r>
    </w:p>
    <w:p>
      <w:pPr>
        <w:pStyle w:val="2"/>
        <w:ind w:firstLine="480"/>
      </w:pPr>
      <w:r>
        <w:t>企业应设立专门的知识产权风险监测岗位或团队，利用专业的知识产权信息检索工具和分析软件，对海外市场的知识产权动态进行实时监测。重点关注竞争对手的知识产权申请情况、专利诉讼动态以及市场上新出现的技术和设计趋势。定期对企业产品和技术进行知识产权侵权风险分析，制定风险应对预案。一旦发现潜在的侵权风险，及时调整产品技术方案或市场策略，避免陷入知识产权纠纷</w:t>
      </w:r>
      <w:r>
        <w:rPr>
          <w:rFonts w:hint="eastAsia"/>
        </w:rPr>
        <w:t>。</w:t>
      </w:r>
    </w:p>
    <w:p>
      <w:pPr>
        <w:pStyle w:val="2"/>
        <w:ind w:firstLine="480"/>
      </w:pPr>
      <w:r>
        <w:t>（四）持续加强技术创新与合作​</w:t>
      </w:r>
    </w:p>
    <w:p>
      <w:pPr>
        <w:pStyle w:val="2"/>
        <w:ind w:firstLine="480"/>
      </w:pPr>
      <w:r>
        <w:t>积极借助政府搭建的 “一链一院” 服务平台，加强与高校、科研机构的产学研合作。加大研发投入，引进高端技术人才，提升企业自主创新能力，开发具有自主知识产权的核心技术和产品。通过技术创新，减少对他人知识产权的依赖，从源头上降低知识产权侵权风险。同时，以知识产权为纽带，与海外企业开展技术合作、专利交叉许可等合作模式，实现互利共赢，共同开拓国际市场。​</w:t>
      </w:r>
    </w:p>
    <w:p>
      <w:pPr>
        <w:pStyle w:val="2"/>
        <w:ind w:firstLine="480"/>
      </w:pPr>
      <w:r>
        <w:br w:type="page"/>
      </w:r>
    </w:p>
    <w:p>
      <w:pPr>
        <w:ind w:firstLine="0" w:firstLineChars="0"/>
        <w:jc w:val="center"/>
        <w:outlineLvl w:val="0"/>
        <w:rPr>
          <w:rFonts w:ascii="宋体" w:hAnsi="宋体"/>
          <w:b/>
          <w:bCs/>
          <w:sz w:val="30"/>
          <w:szCs w:val="30"/>
        </w:rPr>
      </w:pPr>
      <w:bookmarkStart w:id="99" w:name="_Toc203061393"/>
      <w:bookmarkStart w:id="100" w:name="_Toc199407992"/>
      <w:r>
        <w:rPr>
          <w:rFonts w:hint="eastAsia" w:ascii="宋体" w:hAnsi="宋体"/>
          <w:b/>
          <w:bCs/>
          <w:sz w:val="30"/>
          <w:szCs w:val="30"/>
        </w:rPr>
        <w:t>附件1：</w:t>
      </w:r>
      <w:r>
        <w:rPr>
          <w:rFonts w:ascii="宋体" w:hAnsi="宋体"/>
          <w:b/>
          <w:bCs/>
          <w:sz w:val="30"/>
          <w:szCs w:val="30"/>
        </w:rPr>
        <w:t>海外知识产权侵权风险防控标准化流程</w:t>
      </w:r>
      <w:bookmarkEnd w:id="99"/>
      <w:bookmarkEnd w:id="100"/>
    </w:p>
    <w:p>
      <w:pPr>
        <w:ind w:firstLine="482"/>
        <w:rPr>
          <w:rFonts w:ascii="宋体" w:hAnsi="宋体"/>
          <w:b/>
          <w:bCs/>
        </w:rPr>
      </w:pPr>
      <w:r>
        <w:rPr>
          <w:rFonts w:ascii="宋体" w:hAnsi="宋体"/>
          <w:b/>
          <w:bCs/>
        </w:rPr>
        <w:t>一、前期调研与风险识别</w:t>
      </w:r>
    </w:p>
    <w:p>
      <w:pPr>
        <w:ind w:firstLine="482"/>
        <w:rPr>
          <w:rFonts w:ascii="宋体" w:hAnsi="宋体"/>
          <w:b/>
          <w:bCs/>
        </w:rPr>
      </w:pPr>
      <w:r>
        <w:rPr>
          <w:rFonts w:ascii="宋体" w:hAnsi="宋体"/>
          <w:b/>
          <w:bCs/>
        </w:rPr>
        <w:t>1.明确目标市场知识产权法律体系</w:t>
      </w:r>
    </w:p>
    <w:p>
      <w:pPr>
        <w:ind w:firstLine="480"/>
        <w:rPr>
          <w:rFonts w:ascii="宋体" w:hAnsi="宋体"/>
        </w:rPr>
      </w:pPr>
      <w:r>
        <w:rPr>
          <w:rFonts w:ascii="宋体" w:hAnsi="宋体"/>
        </w:rPr>
        <w:t>调研内容：</w:t>
      </w:r>
    </w:p>
    <w:p>
      <w:pPr>
        <w:ind w:firstLine="480"/>
        <w:rPr>
          <w:rFonts w:ascii="宋体" w:hAnsi="宋体"/>
        </w:rPr>
      </w:pPr>
      <w:r>
        <w:rPr>
          <w:rFonts w:ascii="宋体" w:hAnsi="宋体"/>
        </w:rPr>
        <w:t>目标国家/地区的知识产权法律类型（如大陆法系、普通法系）、专利/商标/版权的保护范围及期限。</w:t>
      </w:r>
    </w:p>
    <w:p>
      <w:pPr>
        <w:ind w:firstLine="480"/>
        <w:rPr>
          <w:rFonts w:ascii="宋体" w:hAnsi="宋体"/>
        </w:rPr>
      </w:pPr>
      <w:r>
        <w:rPr>
          <w:rFonts w:ascii="宋体" w:hAnsi="宋体"/>
        </w:rPr>
        <w:t>特殊法律要求：例如欧盟对药品专利的补充保护证书（SPC）、美国对外观设计专利的“实质相似”判定标准等。</w:t>
      </w:r>
    </w:p>
    <w:p>
      <w:pPr>
        <w:ind w:firstLine="480"/>
        <w:rPr>
          <w:rFonts w:ascii="宋体" w:hAnsi="宋体"/>
        </w:rPr>
      </w:pPr>
      <w:r>
        <w:rPr>
          <w:rFonts w:ascii="宋体" w:hAnsi="宋体"/>
        </w:rPr>
        <w:t>工具与渠道：</w:t>
      </w:r>
    </w:p>
    <w:p>
      <w:pPr>
        <w:ind w:firstLine="480"/>
        <w:rPr>
          <w:rFonts w:ascii="宋体" w:hAnsi="宋体"/>
        </w:rPr>
      </w:pPr>
      <w:r>
        <w:rPr>
          <w:rFonts w:ascii="宋体" w:hAnsi="宋体"/>
        </w:rPr>
        <w:t>官方数据库：美国专利商标局（USPTO）、欧洲知识产权局（EPO）、世界知识产权组织（WIPO）等。</w:t>
      </w:r>
    </w:p>
    <w:p>
      <w:pPr>
        <w:ind w:firstLine="480"/>
        <w:rPr>
          <w:rFonts w:ascii="宋体" w:hAnsi="宋体"/>
        </w:rPr>
      </w:pPr>
      <w:r>
        <w:rPr>
          <w:rFonts w:ascii="宋体" w:hAnsi="宋体"/>
        </w:rPr>
        <w:t>专业机构：委托当地律所或知识产权代理机构提供法律合规报告。</w:t>
      </w:r>
    </w:p>
    <w:p>
      <w:pPr>
        <w:ind w:firstLine="482"/>
        <w:rPr>
          <w:rFonts w:ascii="宋体" w:hAnsi="宋体"/>
          <w:b/>
          <w:bCs/>
        </w:rPr>
      </w:pPr>
      <w:r>
        <w:rPr>
          <w:rFonts w:ascii="宋体" w:hAnsi="宋体"/>
          <w:b/>
          <w:bCs/>
        </w:rPr>
        <w:t>2.全面排查自身知识产权状态</w:t>
      </w:r>
    </w:p>
    <w:p>
      <w:pPr>
        <w:ind w:firstLine="480"/>
        <w:rPr>
          <w:rFonts w:ascii="宋体" w:hAnsi="宋体"/>
        </w:rPr>
      </w:pPr>
      <w:r>
        <w:rPr>
          <w:rFonts w:ascii="宋体" w:hAnsi="宋体"/>
        </w:rPr>
        <w:t>内部资产盘点：</w:t>
      </w:r>
    </w:p>
    <w:p>
      <w:pPr>
        <w:ind w:firstLine="480"/>
        <w:rPr>
          <w:rFonts w:ascii="宋体" w:hAnsi="宋体"/>
        </w:rPr>
      </w:pPr>
      <w:r>
        <w:rPr>
          <w:rFonts w:ascii="宋体" w:hAnsi="宋体"/>
        </w:rPr>
        <w:t>梳理核心技术、产品设计、品牌标识等，明确是否已在目标市场申请专利、商标或版权登记。</w:t>
      </w:r>
    </w:p>
    <w:p>
      <w:pPr>
        <w:ind w:firstLine="480"/>
        <w:rPr>
          <w:rFonts w:ascii="宋体" w:hAnsi="宋体"/>
        </w:rPr>
      </w:pPr>
      <w:r>
        <w:rPr>
          <w:rFonts w:ascii="宋体" w:hAnsi="宋体"/>
        </w:rPr>
        <w:t>示例：某消费电子企业需确认其产品的外观设计、芯片技术是否在欧盟申请外观专利或发明专利。</w:t>
      </w:r>
    </w:p>
    <w:p>
      <w:pPr>
        <w:ind w:firstLine="480"/>
        <w:rPr>
          <w:rFonts w:ascii="宋体" w:hAnsi="宋体"/>
        </w:rPr>
      </w:pPr>
      <w:r>
        <w:rPr>
          <w:rFonts w:ascii="宋体" w:hAnsi="宋体"/>
        </w:rPr>
        <w:t>权利稳定性审查：</w:t>
      </w:r>
    </w:p>
    <w:p>
      <w:pPr>
        <w:ind w:firstLine="480"/>
        <w:rPr>
          <w:rFonts w:ascii="宋体" w:hAnsi="宋体"/>
        </w:rPr>
      </w:pPr>
      <w:r>
        <w:rPr>
          <w:rFonts w:ascii="宋体" w:hAnsi="宋体"/>
        </w:rPr>
        <w:t>对已获授权的知识产权，核查是否存在权利瑕疵（如专利新颖性缺陷、商标显著性不足），避免因权利不稳定引发侵权指控。</w:t>
      </w:r>
    </w:p>
    <w:p>
      <w:pPr>
        <w:ind w:firstLine="482"/>
        <w:rPr>
          <w:rFonts w:ascii="宋体" w:hAnsi="宋体"/>
          <w:b/>
          <w:bCs/>
        </w:rPr>
      </w:pPr>
      <w:r>
        <w:rPr>
          <w:rFonts w:ascii="宋体" w:hAnsi="宋体"/>
          <w:b/>
          <w:bCs/>
        </w:rPr>
        <w:t>3.竞品与核心技术的侵权预警</w:t>
      </w:r>
    </w:p>
    <w:p>
      <w:pPr>
        <w:ind w:firstLine="480"/>
        <w:rPr>
          <w:rFonts w:ascii="宋体" w:hAnsi="宋体"/>
        </w:rPr>
      </w:pPr>
      <w:r>
        <w:rPr>
          <w:rFonts w:ascii="宋体" w:hAnsi="宋体"/>
        </w:rPr>
        <w:t>FTO（自由实施）调查：</w:t>
      </w:r>
    </w:p>
    <w:p>
      <w:pPr>
        <w:ind w:firstLine="480"/>
        <w:rPr>
          <w:rFonts w:ascii="宋体" w:hAnsi="宋体"/>
        </w:rPr>
      </w:pPr>
      <w:r>
        <w:rPr>
          <w:rFonts w:ascii="宋体" w:hAnsi="宋体"/>
        </w:rPr>
        <w:t>针对核心产品或技术，检索目标市场的现有专利、商标注册信息，分析是否落入他人权利保护范围。</w:t>
      </w:r>
    </w:p>
    <w:p>
      <w:pPr>
        <w:ind w:firstLine="480"/>
        <w:rPr>
          <w:rFonts w:ascii="宋体" w:hAnsi="宋体"/>
        </w:rPr>
      </w:pPr>
      <w:r>
        <w:rPr>
          <w:rFonts w:ascii="宋体" w:hAnsi="宋体"/>
        </w:rPr>
        <w:t>案例：某新能源企业出口电池组件前，通过FTO检索发现其电池热管理技术与美国某公司专利的权利要求高度重叠，及时调整技术路线避免侵权。</w:t>
      </w:r>
    </w:p>
    <w:p>
      <w:pPr>
        <w:ind w:firstLine="480"/>
        <w:rPr>
          <w:rFonts w:ascii="宋体" w:hAnsi="宋体"/>
        </w:rPr>
      </w:pPr>
      <w:r>
        <w:rPr>
          <w:rFonts w:ascii="宋体" w:hAnsi="宋体"/>
        </w:rPr>
        <w:t>商标clearance搜索：</w:t>
      </w:r>
    </w:p>
    <w:p>
      <w:pPr>
        <w:ind w:firstLine="480"/>
        <w:rPr>
          <w:rFonts w:ascii="宋体" w:hAnsi="宋体"/>
        </w:rPr>
      </w:pPr>
      <w:r>
        <w:rPr>
          <w:rFonts w:ascii="宋体" w:hAnsi="宋体"/>
        </w:rPr>
        <w:t>确认企业品牌、产品名称、Logo等是否与目标市场已注册商标构成近似或相同，尤其注意跨类别近似（如服装类商标与箱包类的关联）。</w:t>
      </w:r>
    </w:p>
    <w:p>
      <w:pPr>
        <w:ind w:firstLine="482"/>
        <w:rPr>
          <w:rFonts w:ascii="宋体" w:hAnsi="宋体"/>
          <w:b/>
          <w:bCs/>
        </w:rPr>
      </w:pPr>
      <w:r>
        <w:rPr>
          <w:rFonts w:ascii="宋体" w:hAnsi="宋体"/>
          <w:b/>
          <w:bCs/>
        </w:rPr>
        <w:t>二、风险评估与分级管理</w:t>
      </w:r>
    </w:p>
    <w:p>
      <w:pPr>
        <w:ind w:firstLine="482"/>
        <w:rPr>
          <w:rFonts w:ascii="宋体" w:hAnsi="宋体"/>
          <w:b/>
          <w:bCs/>
        </w:rPr>
      </w:pPr>
      <w:r>
        <w:rPr>
          <w:rFonts w:ascii="宋体" w:hAnsi="宋体"/>
          <w:b/>
          <w:bCs/>
        </w:rPr>
        <w:t>1.建立侵权风险评估模型</w:t>
      </w:r>
    </w:p>
    <w:p>
      <w:pPr>
        <w:ind w:firstLine="480"/>
        <w:rPr>
          <w:rFonts w:ascii="宋体" w:hAnsi="宋体"/>
        </w:rPr>
      </w:pPr>
      <w:r>
        <w:rPr>
          <w:rFonts w:ascii="宋体" w:hAnsi="宋体"/>
        </w:rPr>
        <w:t>评估维度：</w:t>
      </w:r>
    </w:p>
    <w:tbl>
      <w:tblPr>
        <w:tblStyle w:val="21"/>
        <w:tblW w:w="8080"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208"/>
        <w:gridCol w:w="5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tblHeader/>
        </w:trPr>
        <w:tc>
          <w:tcPr>
            <w:tcW w:w="2208" w:type="dxa"/>
            <w:tcMar>
              <w:top w:w="180" w:type="dxa"/>
              <w:left w:w="270" w:type="dxa"/>
              <w:bottom w:w="180" w:type="dxa"/>
              <w:right w:w="270" w:type="dxa"/>
            </w:tcMar>
            <w:vAlign w:val="center"/>
          </w:tcPr>
          <w:p>
            <w:pPr>
              <w:ind w:firstLine="480"/>
              <w:jc w:val="center"/>
              <w:rPr>
                <w:rFonts w:ascii="宋体" w:hAnsi="宋体"/>
              </w:rPr>
            </w:pPr>
            <w:r>
              <w:rPr>
                <w:rFonts w:ascii="宋体" w:hAnsi="宋体"/>
              </w:rPr>
              <w:t>风险维度</w:t>
            </w:r>
          </w:p>
        </w:tc>
        <w:tc>
          <w:tcPr>
            <w:tcW w:w="5872" w:type="dxa"/>
            <w:tcMar>
              <w:top w:w="180" w:type="dxa"/>
              <w:left w:w="270" w:type="dxa"/>
              <w:bottom w:w="180" w:type="dxa"/>
              <w:right w:w="270" w:type="dxa"/>
            </w:tcMar>
            <w:vAlign w:val="center"/>
          </w:tcPr>
          <w:p>
            <w:pPr>
              <w:ind w:firstLine="480"/>
              <w:jc w:val="center"/>
              <w:rPr>
                <w:rFonts w:ascii="宋体" w:hAnsi="宋体"/>
              </w:rPr>
            </w:pPr>
            <w:r>
              <w:rPr>
                <w:rFonts w:ascii="宋体" w:hAnsi="宋体"/>
              </w:rPr>
              <w:t>评估标准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2208" w:type="dxa"/>
            <w:tcMar>
              <w:top w:w="180" w:type="dxa"/>
              <w:left w:w="270" w:type="dxa"/>
              <w:bottom w:w="180" w:type="dxa"/>
              <w:right w:w="270" w:type="dxa"/>
            </w:tcMar>
            <w:vAlign w:val="center"/>
          </w:tcPr>
          <w:p>
            <w:pPr>
              <w:ind w:firstLine="480"/>
              <w:jc w:val="center"/>
              <w:rPr>
                <w:rFonts w:ascii="宋体" w:hAnsi="宋体"/>
              </w:rPr>
            </w:pPr>
            <w:r>
              <w:rPr>
                <w:rFonts w:ascii="宋体" w:hAnsi="宋体"/>
              </w:rPr>
              <w:t>法律合规性</w:t>
            </w:r>
          </w:p>
        </w:tc>
        <w:tc>
          <w:tcPr>
            <w:tcW w:w="5872" w:type="dxa"/>
            <w:tcMar>
              <w:top w:w="180" w:type="dxa"/>
              <w:left w:w="270" w:type="dxa"/>
              <w:bottom w:w="180" w:type="dxa"/>
              <w:right w:w="270" w:type="dxa"/>
            </w:tcMar>
            <w:vAlign w:val="center"/>
          </w:tcPr>
          <w:p>
            <w:pPr>
              <w:ind w:firstLine="480"/>
              <w:jc w:val="center"/>
              <w:rPr>
                <w:rFonts w:ascii="宋体" w:hAnsi="宋体"/>
              </w:rPr>
            </w:pPr>
            <w:r>
              <w:rPr>
                <w:rFonts w:ascii="宋体" w:hAnsi="宋体"/>
              </w:rPr>
              <w:t>目标国法律对知识产权的保护强度、司法实践倾向（如美国的“禁令救济”门槛）。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2208" w:type="dxa"/>
            <w:tcMar>
              <w:top w:w="180" w:type="dxa"/>
              <w:left w:w="270" w:type="dxa"/>
              <w:bottom w:w="180" w:type="dxa"/>
              <w:right w:w="270" w:type="dxa"/>
            </w:tcMar>
            <w:vAlign w:val="center"/>
          </w:tcPr>
          <w:p>
            <w:pPr>
              <w:ind w:firstLine="480"/>
              <w:jc w:val="center"/>
              <w:rPr>
                <w:rFonts w:ascii="宋体" w:hAnsi="宋体"/>
              </w:rPr>
            </w:pPr>
            <w:r>
              <w:rPr>
                <w:rFonts w:ascii="宋体" w:hAnsi="宋体"/>
              </w:rPr>
              <w:t>侵权可能性</w:t>
            </w:r>
          </w:p>
        </w:tc>
        <w:tc>
          <w:tcPr>
            <w:tcW w:w="5872" w:type="dxa"/>
            <w:tcMar>
              <w:top w:w="180" w:type="dxa"/>
              <w:left w:w="270" w:type="dxa"/>
              <w:bottom w:w="180" w:type="dxa"/>
              <w:right w:w="270" w:type="dxa"/>
            </w:tcMar>
            <w:vAlign w:val="center"/>
          </w:tcPr>
          <w:p>
            <w:pPr>
              <w:ind w:firstLine="480"/>
              <w:jc w:val="center"/>
              <w:rPr>
                <w:rFonts w:ascii="宋体" w:hAnsi="宋体"/>
              </w:rPr>
            </w:pPr>
            <w:r>
              <w:rPr>
                <w:rFonts w:ascii="宋体" w:hAnsi="宋体"/>
              </w:rPr>
              <w:t>技术特征比对（专利）、商标近似度（商标）、实质性相似（版权）。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2208" w:type="dxa"/>
            <w:tcMar>
              <w:top w:w="180" w:type="dxa"/>
              <w:left w:w="270" w:type="dxa"/>
              <w:bottom w:w="180" w:type="dxa"/>
              <w:right w:w="270" w:type="dxa"/>
            </w:tcMar>
            <w:vAlign w:val="center"/>
          </w:tcPr>
          <w:p>
            <w:pPr>
              <w:ind w:firstLine="480"/>
              <w:jc w:val="center"/>
              <w:rPr>
                <w:rFonts w:ascii="宋体" w:hAnsi="宋体"/>
              </w:rPr>
            </w:pPr>
            <w:r>
              <w:rPr>
                <w:rFonts w:ascii="宋体" w:hAnsi="宋体"/>
              </w:rPr>
              <w:t>商业影响</w:t>
            </w:r>
          </w:p>
        </w:tc>
        <w:tc>
          <w:tcPr>
            <w:tcW w:w="5872" w:type="dxa"/>
            <w:tcMar>
              <w:top w:w="180" w:type="dxa"/>
              <w:left w:w="270" w:type="dxa"/>
              <w:bottom w:w="180" w:type="dxa"/>
              <w:right w:w="270" w:type="dxa"/>
            </w:tcMar>
            <w:vAlign w:val="center"/>
          </w:tcPr>
          <w:p>
            <w:pPr>
              <w:ind w:firstLine="480"/>
              <w:jc w:val="center"/>
              <w:rPr>
                <w:rFonts w:ascii="宋体" w:hAnsi="宋体"/>
              </w:rPr>
            </w:pPr>
            <w:r>
              <w:rPr>
                <w:rFonts w:ascii="宋体" w:hAnsi="宋体"/>
              </w:rPr>
              <w:t>潜在赔偿金额、市场禁售风险、品牌声誉损失。</w:t>
            </w:r>
          </w:p>
        </w:tc>
      </w:tr>
    </w:tbl>
    <w:p>
      <w:pPr>
        <w:ind w:firstLine="480"/>
        <w:rPr>
          <w:rFonts w:ascii="宋体" w:hAnsi="宋体"/>
        </w:rPr>
      </w:pPr>
      <w:r>
        <w:rPr>
          <w:rFonts w:ascii="宋体" w:hAnsi="宋体"/>
        </w:rPr>
        <w:t>风险分级：</w:t>
      </w:r>
    </w:p>
    <w:p>
      <w:pPr>
        <w:ind w:firstLine="480"/>
        <w:rPr>
          <w:rFonts w:ascii="宋体" w:hAnsi="宋体"/>
        </w:rPr>
      </w:pPr>
      <w:r>
        <w:rPr>
          <w:rFonts w:ascii="宋体" w:hAnsi="宋体"/>
        </w:rPr>
        <w:t>高风险：直接侵权且无有效抗辩理由，可能面临高额赔偿或禁令（如仿制药企业未获强制许可生产专利药）。</w:t>
      </w:r>
    </w:p>
    <w:p>
      <w:pPr>
        <w:ind w:firstLine="480"/>
        <w:rPr>
          <w:rFonts w:ascii="宋体" w:hAnsi="宋体"/>
        </w:rPr>
      </w:pPr>
      <w:r>
        <w:rPr>
          <w:rFonts w:ascii="宋体" w:hAnsi="宋体"/>
        </w:rPr>
        <w:t>中风险：存在权利冲突或边缘性侵权，需通过法律程序（如专利无效、商标异议）解决。</w:t>
      </w:r>
    </w:p>
    <w:p>
      <w:pPr>
        <w:ind w:firstLine="480"/>
        <w:rPr>
          <w:rFonts w:ascii="宋体" w:hAnsi="宋体"/>
        </w:rPr>
      </w:pPr>
      <w:r>
        <w:rPr>
          <w:rFonts w:ascii="宋体" w:hAnsi="宋体"/>
        </w:rPr>
        <w:t>低风险：非实质性侵权或权利状态不明确，可通过优化设计规避。</w:t>
      </w:r>
    </w:p>
    <w:p>
      <w:pPr>
        <w:ind w:firstLine="482"/>
        <w:rPr>
          <w:rFonts w:ascii="宋体" w:hAnsi="宋体"/>
          <w:b/>
          <w:bCs/>
        </w:rPr>
      </w:pPr>
      <w:r>
        <w:rPr>
          <w:rFonts w:ascii="宋体" w:hAnsi="宋体"/>
          <w:b/>
          <w:bCs/>
        </w:rPr>
        <w:t>2.制定风险应对优先级</w:t>
      </w:r>
    </w:p>
    <w:p>
      <w:pPr>
        <w:ind w:firstLine="480"/>
        <w:rPr>
          <w:rFonts w:ascii="宋体" w:hAnsi="宋体"/>
        </w:rPr>
      </w:pPr>
      <w:r>
        <w:rPr>
          <w:rFonts w:ascii="宋体" w:hAnsi="宋体"/>
        </w:rPr>
        <w:t>高风险事项：立即启动技术规避或获取许可，必要时调整市场进入策略。</w:t>
      </w:r>
    </w:p>
    <w:p>
      <w:pPr>
        <w:ind w:firstLine="480"/>
        <w:rPr>
          <w:rFonts w:ascii="宋体" w:hAnsi="宋体"/>
        </w:rPr>
      </w:pPr>
      <w:r>
        <w:rPr>
          <w:rFonts w:ascii="宋体" w:hAnsi="宋体"/>
        </w:rPr>
        <w:t>中风险事项：在产品上市前完成权利冲突解决（如申请专利无效、提交商标异议）。</w:t>
      </w:r>
    </w:p>
    <w:p>
      <w:pPr>
        <w:ind w:firstLine="480"/>
        <w:rPr>
          <w:rFonts w:ascii="宋体" w:hAnsi="宋体"/>
        </w:rPr>
      </w:pPr>
      <w:r>
        <w:rPr>
          <w:rFonts w:ascii="宋体" w:hAnsi="宋体"/>
        </w:rPr>
        <w:t>低风险事项：持续监控市场动态，保留研发记录以备抗辩。</w:t>
      </w:r>
    </w:p>
    <w:p>
      <w:pPr>
        <w:ind w:firstLine="482"/>
        <w:rPr>
          <w:rFonts w:ascii="宋体" w:hAnsi="宋体"/>
          <w:b/>
          <w:bCs/>
        </w:rPr>
      </w:pPr>
      <w:r>
        <w:rPr>
          <w:rFonts w:ascii="宋体" w:hAnsi="宋体"/>
          <w:b/>
          <w:bCs/>
        </w:rPr>
        <w:t>三、风险控制与合规布局</w:t>
      </w:r>
    </w:p>
    <w:p>
      <w:pPr>
        <w:ind w:firstLine="482"/>
        <w:rPr>
          <w:rFonts w:ascii="宋体" w:hAnsi="宋体"/>
          <w:b/>
          <w:bCs/>
        </w:rPr>
      </w:pPr>
      <w:r>
        <w:rPr>
          <w:rFonts w:ascii="宋体" w:hAnsi="宋体"/>
          <w:b/>
          <w:bCs/>
        </w:rPr>
        <w:t>1.知识产权海外布局策略</w:t>
      </w:r>
    </w:p>
    <w:p>
      <w:pPr>
        <w:ind w:firstLine="480"/>
        <w:rPr>
          <w:rFonts w:ascii="宋体" w:hAnsi="宋体"/>
        </w:rPr>
      </w:pPr>
      <w:r>
        <w:rPr>
          <w:rFonts w:ascii="宋体" w:hAnsi="宋体"/>
        </w:rPr>
        <w:t>专利布局：</w:t>
      </w:r>
    </w:p>
    <w:p>
      <w:pPr>
        <w:ind w:firstLine="480"/>
        <w:rPr>
          <w:rFonts w:ascii="宋体" w:hAnsi="宋体"/>
        </w:rPr>
      </w:pPr>
      <w:r>
        <w:rPr>
          <w:rFonts w:ascii="宋体" w:hAnsi="宋体"/>
        </w:rPr>
        <w:t>通过《专利合作条约》（PCT）或巴黎公约途径申请国际专利，重点布局核心技术和改进技术。</w:t>
      </w:r>
    </w:p>
    <w:p>
      <w:pPr>
        <w:ind w:firstLine="480"/>
        <w:rPr>
          <w:rFonts w:ascii="宋体" w:hAnsi="宋体"/>
        </w:rPr>
      </w:pPr>
      <w:r>
        <w:rPr>
          <w:rFonts w:ascii="宋体" w:hAnsi="宋体"/>
        </w:rPr>
        <w:t>示例：中国车企在欧洲申请电动车电池专利时，同步布局快充技术的系列专利，形成专利壁垒。</w:t>
      </w:r>
    </w:p>
    <w:p>
      <w:pPr>
        <w:ind w:firstLine="480"/>
        <w:rPr>
          <w:rFonts w:ascii="宋体" w:hAnsi="宋体"/>
        </w:rPr>
      </w:pPr>
      <w:r>
        <w:rPr>
          <w:rFonts w:ascii="宋体" w:hAnsi="宋体"/>
        </w:rPr>
        <w:t>商标先行注册：</w:t>
      </w:r>
    </w:p>
    <w:p>
      <w:pPr>
        <w:ind w:firstLine="480"/>
        <w:rPr>
          <w:rFonts w:ascii="宋体" w:hAnsi="宋体"/>
        </w:rPr>
      </w:pPr>
      <w:r>
        <w:rPr>
          <w:rFonts w:ascii="宋体" w:hAnsi="宋体"/>
        </w:rPr>
        <w:t>遵循“注册在先”原则，在产品上市前6-12个月申请商标，覆盖核心类别及关联类别（如第9类电子产品、第35类广告销售）。</w:t>
      </w:r>
    </w:p>
    <w:p>
      <w:pPr>
        <w:ind w:firstLine="480"/>
        <w:rPr>
          <w:rFonts w:ascii="宋体" w:hAnsi="宋体"/>
        </w:rPr>
      </w:pPr>
      <w:r>
        <w:rPr>
          <w:rFonts w:ascii="宋体" w:hAnsi="宋体"/>
        </w:rPr>
        <w:t>防御性注册：在目标市场注册近似商标，防止他人恶意抢注（如“华为”在全球多个国家注册“HUAWEI”及图形商标）。</w:t>
      </w:r>
    </w:p>
    <w:p>
      <w:pPr>
        <w:ind w:firstLine="480"/>
        <w:rPr>
          <w:rFonts w:ascii="宋体" w:hAnsi="宋体"/>
        </w:rPr>
      </w:pPr>
      <w:r>
        <w:rPr>
          <w:rFonts w:ascii="宋体" w:hAnsi="宋体"/>
        </w:rPr>
        <w:t>版权登记：</w:t>
      </w:r>
    </w:p>
    <w:p>
      <w:pPr>
        <w:ind w:firstLine="480"/>
        <w:rPr>
          <w:rFonts w:ascii="宋体" w:hAnsi="宋体"/>
        </w:rPr>
      </w:pPr>
      <w:r>
        <w:rPr>
          <w:rFonts w:ascii="宋体" w:hAnsi="宋体"/>
        </w:rPr>
        <w:t>对软件代码、产品设计图、包装装潢等及时在当地进行版权登记，作为侵权诉讼的初步证据。</w:t>
      </w:r>
    </w:p>
    <w:p>
      <w:pPr>
        <w:ind w:firstLine="482"/>
        <w:rPr>
          <w:rFonts w:ascii="宋体" w:hAnsi="宋体"/>
          <w:b/>
          <w:bCs/>
        </w:rPr>
      </w:pPr>
      <w:r>
        <w:rPr>
          <w:rFonts w:ascii="宋体" w:hAnsi="宋体"/>
          <w:b/>
          <w:bCs/>
        </w:rPr>
        <w:t>2.供应链与合作伙伴合规管理</w:t>
      </w:r>
    </w:p>
    <w:p>
      <w:pPr>
        <w:ind w:firstLine="480"/>
        <w:rPr>
          <w:rFonts w:ascii="宋体" w:hAnsi="宋体"/>
        </w:rPr>
      </w:pPr>
      <w:r>
        <w:rPr>
          <w:rFonts w:ascii="宋体" w:hAnsi="宋体"/>
        </w:rPr>
        <w:t>供应商审查：</w:t>
      </w:r>
    </w:p>
    <w:p>
      <w:pPr>
        <w:ind w:firstLine="480"/>
        <w:rPr>
          <w:rFonts w:ascii="宋体" w:hAnsi="宋体"/>
        </w:rPr>
      </w:pPr>
      <w:r>
        <w:rPr>
          <w:rFonts w:ascii="宋体" w:hAnsi="宋体"/>
        </w:rPr>
        <w:t>要求供应商提供知识产权声明，确保原材料、零部件不侵犯第三方权利（如使用开源软件需遵守GPL协议）。</w:t>
      </w:r>
    </w:p>
    <w:p>
      <w:pPr>
        <w:ind w:firstLine="480"/>
        <w:rPr>
          <w:rFonts w:ascii="宋体" w:hAnsi="宋体"/>
        </w:rPr>
      </w:pPr>
      <w:r>
        <w:rPr>
          <w:rFonts w:ascii="宋体" w:hAnsi="宋体"/>
        </w:rPr>
        <w:t>合同条款设计：</w:t>
      </w:r>
    </w:p>
    <w:p>
      <w:pPr>
        <w:ind w:firstLine="480"/>
        <w:rPr>
          <w:rFonts w:ascii="宋体" w:hAnsi="宋体"/>
        </w:rPr>
      </w:pPr>
      <w:r>
        <w:rPr>
          <w:rFonts w:ascii="宋体" w:hAnsi="宋体"/>
        </w:rPr>
        <w:t>在采购、经销合同中明确知识产权担保条款，约定侵权赔偿责任归属（如“供应商需承担因专利侵权导致的全部损失”）。</w:t>
      </w:r>
    </w:p>
    <w:p>
      <w:pPr>
        <w:ind w:firstLine="480"/>
        <w:rPr>
          <w:rFonts w:ascii="宋体" w:hAnsi="宋体"/>
        </w:rPr>
      </w:pPr>
      <w:r>
        <w:rPr>
          <w:rFonts w:ascii="宋体" w:hAnsi="宋体"/>
        </w:rPr>
        <w:t>跨境电商平台合规：</w:t>
      </w:r>
    </w:p>
    <w:p>
      <w:pPr>
        <w:ind w:firstLine="480"/>
        <w:rPr>
          <w:rFonts w:ascii="宋体" w:hAnsi="宋体"/>
        </w:rPr>
      </w:pPr>
      <w:r>
        <w:rPr>
          <w:rFonts w:ascii="宋体" w:hAnsi="宋体"/>
        </w:rPr>
        <w:t>熟悉亚马逊、eBay等平台的知识产权投诉机制（如TRO临时禁令），建立产品上架前的知识产权筛查流程。</w:t>
      </w:r>
    </w:p>
    <w:p>
      <w:pPr>
        <w:ind w:firstLine="482"/>
        <w:rPr>
          <w:rFonts w:ascii="宋体" w:hAnsi="宋体"/>
          <w:b/>
          <w:bCs/>
        </w:rPr>
      </w:pPr>
      <w:r>
        <w:rPr>
          <w:rFonts w:ascii="宋体" w:hAnsi="宋体"/>
          <w:b/>
          <w:bCs/>
        </w:rPr>
        <w:t>3.技术规避与自由实施（FTO）方案</w:t>
      </w:r>
    </w:p>
    <w:p>
      <w:pPr>
        <w:ind w:firstLine="480"/>
        <w:rPr>
          <w:rFonts w:ascii="宋体" w:hAnsi="宋体"/>
        </w:rPr>
      </w:pPr>
      <w:r>
        <w:rPr>
          <w:rFonts w:ascii="宋体" w:hAnsi="宋体"/>
        </w:rPr>
        <w:t>专利规避设计（DesignAround）：</w:t>
      </w:r>
    </w:p>
    <w:p>
      <w:pPr>
        <w:ind w:firstLine="480"/>
        <w:rPr>
          <w:rFonts w:ascii="宋体" w:hAnsi="宋体"/>
        </w:rPr>
      </w:pPr>
      <w:r>
        <w:rPr>
          <w:rFonts w:ascii="宋体" w:hAnsi="宋体"/>
        </w:rPr>
        <w:t>修改侵权技术特征，如替换专利权利要求中的必要技术特征（如将“螺栓连接”改为“卡扣连接”），确保不落入保护范围。</w:t>
      </w:r>
    </w:p>
    <w:p>
      <w:pPr>
        <w:ind w:firstLine="480"/>
        <w:rPr>
          <w:rFonts w:ascii="宋体" w:hAnsi="宋体"/>
        </w:rPr>
      </w:pPr>
      <w:r>
        <w:rPr>
          <w:rFonts w:ascii="宋体" w:hAnsi="宋体"/>
        </w:rPr>
        <w:t>获取知识产权许可：</w:t>
      </w:r>
    </w:p>
    <w:p>
      <w:pPr>
        <w:ind w:firstLine="480"/>
        <w:rPr>
          <w:rFonts w:ascii="宋体" w:hAnsi="宋体"/>
        </w:rPr>
      </w:pPr>
      <w:r>
        <w:rPr>
          <w:rFonts w:ascii="宋体" w:hAnsi="宋体"/>
        </w:rPr>
        <w:t>通过交叉许可、分许可等方式与权利方合作（如高通与手机厂商的专利许可模式），支付合理许可费降低风险。</w:t>
      </w:r>
    </w:p>
    <w:p>
      <w:pPr>
        <w:ind w:firstLine="480"/>
        <w:rPr>
          <w:rFonts w:ascii="宋体" w:hAnsi="宋体"/>
        </w:rPr>
      </w:pPr>
      <w:r>
        <w:rPr>
          <w:rFonts w:ascii="宋体" w:hAnsi="宋体"/>
        </w:rPr>
        <w:t>利用法律例外条款：</w:t>
      </w:r>
    </w:p>
    <w:p>
      <w:pPr>
        <w:ind w:firstLine="480"/>
        <w:rPr>
          <w:rFonts w:ascii="宋体" w:hAnsi="宋体"/>
        </w:rPr>
      </w:pPr>
      <w:r>
        <w:rPr>
          <w:rFonts w:ascii="宋体" w:hAnsi="宋体"/>
        </w:rPr>
        <w:t>合理使用（版权）、先用权（专利）、权利用尽（商标）等原则，作为侵权抗辩的法律依据。</w:t>
      </w:r>
    </w:p>
    <w:p>
      <w:pPr>
        <w:ind w:firstLine="482"/>
        <w:rPr>
          <w:rFonts w:ascii="宋体" w:hAnsi="宋体"/>
          <w:b/>
          <w:bCs/>
        </w:rPr>
      </w:pPr>
      <w:r>
        <w:rPr>
          <w:rFonts w:ascii="宋体" w:hAnsi="宋体"/>
          <w:b/>
          <w:bCs/>
        </w:rPr>
        <w:t>四、侵权争议应对与救济</w:t>
      </w:r>
    </w:p>
    <w:p>
      <w:pPr>
        <w:ind w:firstLine="482"/>
        <w:rPr>
          <w:rFonts w:ascii="宋体" w:hAnsi="宋体"/>
          <w:b/>
          <w:bCs/>
        </w:rPr>
      </w:pPr>
      <w:r>
        <w:rPr>
          <w:rFonts w:ascii="宋体" w:hAnsi="宋体"/>
          <w:b/>
          <w:bCs/>
        </w:rPr>
        <w:t>1.建立侵权预警响应机制</w:t>
      </w:r>
    </w:p>
    <w:p>
      <w:pPr>
        <w:ind w:firstLine="480"/>
        <w:rPr>
          <w:rFonts w:ascii="宋体" w:hAnsi="宋体"/>
        </w:rPr>
      </w:pPr>
      <w:r>
        <w:rPr>
          <w:rFonts w:ascii="宋体" w:hAnsi="宋体"/>
        </w:rPr>
        <w:t>监测渠道：</w:t>
      </w:r>
    </w:p>
    <w:p>
      <w:pPr>
        <w:ind w:firstLine="480"/>
        <w:rPr>
          <w:rFonts w:ascii="宋体" w:hAnsi="宋体"/>
        </w:rPr>
      </w:pPr>
      <w:r>
        <w:rPr>
          <w:rFonts w:ascii="宋体" w:hAnsi="宋体"/>
        </w:rPr>
        <w:t>定期检索目标市场知识产权数据库，监控竞争对手的新申请动态。</w:t>
      </w:r>
    </w:p>
    <w:p>
      <w:pPr>
        <w:ind w:firstLine="480"/>
        <w:rPr>
          <w:rFonts w:ascii="宋体" w:hAnsi="宋体"/>
        </w:rPr>
      </w:pPr>
      <w:r>
        <w:rPr>
          <w:rFonts w:ascii="宋体" w:hAnsi="宋体"/>
        </w:rPr>
        <w:t>委托第三方机构提供侵权预警报告（如LexisNexis、Questel）。</w:t>
      </w:r>
    </w:p>
    <w:p>
      <w:pPr>
        <w:ind w:firstLine="480"/>
        <w:rPr>
          <w:rFonts w:ascii="宋体" w:hAnsi="宋体"/>
        </w:rPr>
      </w:pPr>
      <w:r>
        <w:rPr>
          <w:rFonts w:ascii="宋体" w:hAnsi="宋体"/>
        </w:rPr>
        <w:t>应急小组：</w:t>
      </w:r>
    </w:p>
    <w:p>
      <w:pPr>
        <w:ind w:firstLine="480"/>
        <w:rPr>
          <w:rFonts w:ascii="宋体" w:hAnsi="宋体"/>
        </w:rPr>
      </w:pPr>
      <w:r>
        <w:rPr>
          <w:rFonts w:ascii="宋体" w:hAnsi="宋体"/>
        </w:rPr>
        <w:t>组建由技术、法务、市场组成的应急团队，制定《侵权争议应对手册》，明确内部沟通流程和外部律师聘用标准。</w:t>
      </w:r>
    </w:p>
    <w:p>
      <w:pPr>
        <w:ind w:firstLine="482"/>
        <w:rPr>
          <w:rFonts w:ascii="宋体" w:hAnsi="宋体"/>
          <w:b/>
          <w:bCs/>
        </w:rPr>
      </w:pPr>
      <w:r>
        <w:rPr>
          <w:rFonts w:ascii="宋体" w:hAnsi="宋体"/>
          <w:b/>
          <w:bCs/>
        </w:rPr>
        <w:t>2.争议解决策略选择</w:t>
      </w:r>
    </w:p>
    <w:p>
      <w:pPr>
        <w:ind w:firstLine="480"/>
        <w:rPr>
          <w:rFonts w:ascii="宋体" w:hAnsi="宋体"/>
        </w:rPr>
      </w:pPr>
      <w:r>
        <w:rPr>
          <w:rFonts w:ascii="宋体" w:hAnsi="宋体"/>
        </w:rPr>
        <w:t>协商与和解：</w:t>
      </w:r>
    </w:p>
    <w:p>
      <w:pPr>
        <w:ind w:firstLine="480"/>
        <w:rPr>
          <w:rFonts w:ascii="宋体" w:hAnsi="宋体"/>
        </w:rPr>
      </w:pPr>
      <w:r>
        <w:rPr>
          <w:rFonts w:ascii="宋体" w:hAnsi="宋体"/>
        </w:rPr>
        <w:t>适用于侵权事实明确但损失较小的案件，通过谈判达成许可协议或赔偿方案，降低诉讼成本。</w:t>
      </w:r>
    </w:p>
    <w:p>
      <w:pPr>
        <w:ind w:firstLine="480"/>
        <w:rPr>
          <w:rFonts w:ascii="宋体" w:hAnsi="宋体"/>
        </w:rPr>
      </w:pPr>
      <w:r>
        <w:rPr>
          <w:rFonts w:ascii="宋体" w:hAnsi="宋体"/>
        </w:rPr>
        <w:t>行政程序：</w:t>
      </w:r>
    </w:p>
    <w:p>
      <w:pPr>
        <w:ind w:firstLine="480"/>
        <w:rPr>
          <w:rFonts w:ascii="宋体" w:hAnsi="宋体"/>
        </w:rPr>
      </w:pPr>
      <w:r>
        <w:rPr>
          <w:rFonts w:ascii="宋体" w:hAnsi="宋体"/>
        </w:rPr>
        <w:t>利用目标国的知识产权行政救济途径，如美国的USPTO专利审判和上诉委员会（PTAB）可申请专利无效，欧盟知识产权局（EUIPO）可申请商标撤销。</w:t>
      </w:r>
    </w:p>
    <w:p>
      <w:pPr>
        <w:ind w:firstLine="480"/>
        <w:rPr>
          <w:rFonts w:ascii="宋体" w:hAnsi="宋体"/>
        </w:rPr>
      </w:pPr>
      <w:r>
        <w:rPr>
          <w:rFonts w:ascii="宋体" w:hAnsi="宋体"/>
        </w:rPr>
        <w:t>司法诉讼：</w:t>
      </w:r>
    </w:p>
    <w:p>
      <w:pPr>
        <w:ind w:firstLine="480"/>
        <w:rPr>
          <w:rFonts w:ascii="宋体" w:hAnsi="宋体"/>
        </w:rPr>
      </w:pPr>
      <w:r>
        <w:rPr>
          <w:rFonts w:ascii="宋体" w:hAnsi="宋体"/>
        </w:rPr>
        <w:t>主动发起确认不侵权之诉（如中国企业在美遭遇337调查时，可在深圳中院提起反请求），或积极应诉并提出抗辩理由（如专利无效、现有技术抗辩）。</w:t>
      </w:r>
    </w:p>
    <w:p>
      <w:pPr>
        <w:ind w:firstLine="480"/>
        <w:rPr>
          <w:rFonts w:ascii="宋体" w:hAnsi="宋体"/>
        </w:rPr>
      </w:pPr>
      <w:r>
        <w:rPr>
          <w:rFonts w:ascii="宋体" w:hAnsi="宋体"/>
        </w:rPr>
        <w:t>仲裁与调解：</w:t>
      </w:r>
    </w:p>
    <w:p>
      <w:pPr>
        <w:ind w:firstLine="480"/>
        <w:rPr>
          <w:rFonts w:ascii="宋体" w:hAnsi="宋体"/>
        </w:rPr>
      </w:pPr>
      <w:r>
        <w:rPr>
          <w:rFonts w:ascii="宋体" w:hAnsi="宋体"/>
        </w:rPr>
        <w:t>在合同中约定仲裁条款（如选择新加坡国际仲裁中心），通过非诉讼方式解决跨境知识产权纠纷。</w:t>
      </w:r>
    </w:p>
    <w:p>
      <w:pPr>
        <w:ind w:firstLine="482"/>
        <w:rPr>
          <w:rFonts w:ascii="宋体" w:hAnsi="宋体"/>
          <w:b/>
          <w:bCs/>
        </w:rPr>
      </w:pPr>
      <w:r>
        <w:rPr>
          <w:rFonts w:ascii="宋体" w:hAnsi="宋体"/>
          <w:b/>
          <w:bCs/>
        </w:rPr>
        <w:t>3.证据保全与抗辩准备</w:t>
      </w:r>
    </w:p>
    <w:p>
      <w:pPr>
        <w:ind w:firstLine="480"/>
        <w:rPr>
          <w:rFonts w:ascii="宋体" w:hAnsi="宋体"/>
        </w:rPr>
      </w:pPr>
      <w:r>
        <w:rPr>
          <w:rFonts w:ascii="宋体" w:hAnsi="宋体"/>
        </w:rPr>
        <w:t>证据收集：</w:t>
      </w:r>
    </w:p>
    <w:p>
      <w:pPr>
        <w:ind w:firstLine="480"/>
        <w:rPr>
          <w:rFonts w:ascii="宋体" w:hAnsi="宋体"/>
        </w:rPr>
      </w:pPr>
      <w:r>
        <w:rPr>
          <w:rFonts w:ascii="宋体" w:hAnsi="宋体"/>
        </w:rPr>
        <w:t>侵权对比证据：技术特征比对表、商标近似度分析报告。</w:t>
      </w:r>
    </w:p>
    <w:p>
      <w:pPr>
        <w:ind w:firstLine="480"/>
        <w:rPr>
          <w:rFonts w:ascii="宋体" w:hAnsi="宋体"/>
        </w:rPr>
      </w:pPr>
      <w:r>
        <w:rPr>
          <w:rFonts w:ascii="宋体" w:hAnsi="宋体"/>
        </w:rPr>
        <w:t>权利稳定性证据：专利检索报告、商标使用证据（如销售合同、广告宣传）。</w:t>
      </w:r>
    </w:p>
    <w:p>
      <w:pPr>
        <w:ind w:firstLine="480"/>
        <w:rPr>
          <w:rFonts w:ascii="宋体" w:hAnsi="宋体"/>
        </w:rPr>
      </w:pPr>
      <w:r>
        <w:rPr>
          <w:rFonts w:ascii="宋体" w:hAnsi="宋体"/>
        </w:rPr>
        <w:t>在先使用证据：研发记录、产品原型、早期销售发票等。</w:t>
      </w:r>
    </w:p>
    <w:p>
      <w:pPr>
        <w:ind w:firstLine="480"/>
        <w:rPr>
          <w:rFonts w:ascii="宋体" w:hAnsi="宋体"/>
        </w:rPr>
      </w:pPr>
      <w:r>
        <w:rPr>
          <w:rFonts w:ascii="宋体" w:hAnsi="宋体"/>
        </w:rPr>
        <w:t>核心抗辩理由：</w:t>
      </w:r>
    </w:p>
    <w:p>
      <w:pPr>
        <w:ind w:firstLine="480"/>
        <w:rPr>
          <w:rFonts w:ascii="宋体" w:hAnsi="宋体"/>
        </w:rPr>
      </w:pPr>
      <w:r>
        <w:rPr>
          <w:rFonts w:ascii="宋体" w:hAnsi="宋体"/>
        </w:rPr>
        <w:t>专利：现有技术/设计抗辩、专利权无效、禁止反悔原则。</w:t>
      </w:r>
    </w:p>
    <w:p>
      <w:pPr>
        <w:ind w:firstLine="480"/>
        <w:rPr>
          <w:rFonts w:ascii="宋体" w:hAnsi="宋体"/>
        </w:rPr>
      </w:pPr>
      <w:r>
        <w:rPr>
          <w:rFonts w:ascii="宋体" w:hAnsi="宋体"/>
        </w:rPr>
        <w:t>商标：非商标性使用、合理使用（如描述性使用）、在先权利抗辩。</w:t>
      </w:r>
    </w:p>
    <w:p>
      <w:pPr>
        <w:ind w:firstLine="480"/>
        <w:rPr>
          <w:rFonts w:ascii="宋体" w:hAnsi="宋体"/>
        </w:rPr>
      </w:pPr>
      <w:r>
        <w:rPr>
          <w:rFonts w:ascii="宋体" w:hAnsi="宋体"/>
        </w:rPr>
        <w:t>版权：独立创作、合理使用（如新闻报道、学术研究）。</w:t>
      </w:r>
    </w:p>
    <w:p>
      <w:pPr>
        <w:ind w:firstLine="482"/>
        <w:rPr>
          <w:rFonts w:ascii="宋体" w:hAnsi="宋体"/>
          <w:b/>
          <w:bCs/>
        </w:rPr>
      </w:pPr>
      <w:r>
        <w:rPr>
          <w:rFonts w:ascii="宋体" w:hAnsi="宋体"/>
          <w:b/>
          <w:bCs/>
        </w:rPr>
        <w:t>五、持续监控与体系优化</w:t>
      </w:r>
    </w:p>
    <w:p>
      <w:pPr>
        <w:ind w:firstLine="482"/>
        <w:rPr>
          <w:rFonts w:ascii="宋体" w:hAnsi="宋体"/>
          <w:b/>
          <w:bCs/>
        </w:rPr>
      </w:pPr>
      <w:r>
        <w:rPr>
          <w:rFonts w:ascii="宋体" w:hAnsi="宋体"/>
          <w:b/>
          <w:bCs/>
        </w:rPr>
        <w:t>1.知识产权动态管理</w:t>
      </w:r>
    </w:p>
    <w:p>
      <w:pPr>
        <w:ind w:firstLine="480"/>
        <w:rPr>
          <w:rFonts w:ascii="宋体" w:hAnsi="宋体"/>
        </w:rPr>
      </w:pPr>
      <w:r>
        <w:rPr>
          <w:rFonts w:ascii="宋体" w:hAnsi="宋体"/>
        </w:rPr>
        <w:t>定期复核：</w:t>
      </w:r>
    </w:p>
    <w:p>
      <w:pPr>
        <w:ind w:firstLine="480"/>
        <w:rPr>
          <w:rFonts w:ascii="宋体" w:hAnsi="宋体"/>
        </w:rPr>
      </w:pPr>
      <w:r>
        <w:rPr>
          <w:rFonts w:ascii="宋体" w:hAnsi="宋体"/>
        </w:rPr>
        <w:t>每年更新知识产权资产清单，评估海外专利/商标的维持成本与商业价值，适时放弃非核心权利。</w:t>
      </w:r>
    </w:p>
    <w:p>
      <w:pPr>
        <w:ind w:firstLine="480"/>
        <w:rPr>
          <w:rFonts w:ascii="宋体" w:hAnsi="宋体"/>
        </w:rPr>
      </w:pPr>
      <w:r>
        <w:rPr>
          <w:rFonts w:ascii="宋体" w:hAnsi="宋体"/>
        </w:rPr>
        <w:t>市场反馈机制：</w:t>
      </w:r>
    </w:p>
    <w:p>
      <w:pPr>
        <w:ind w:firstLine="480"/>
        <w:rPr>
          <w:rFonts w:ascii="宋体" w:hAnsi="宋体"/>
        </w:rPr>
      </w:pPr>
      <w:r>
        <w:rPr>
          <w:rFonts w:ascii="宋体" w:hAnsi="宋体"/>
        </w:rPr>
        <w:t>建立客户投诉渠道，及时收集市场中关于产品侵权的反馈信息（如经销商报告竞争对手的侵权指控）。</w:t>
      </w:r>
    </w:p>
    <w:p>
      <w:pPr>
        <w:ind w:firstLine="482"/>
        <w:rPr>
          <w:rFonts w:ascii="宋体" w:hAnsi="宋体"/>
          <w:b/>
          <w:bCs/>
        </w:rPr>
      </w:pPr>
      <w:r>
        <w:rPr>
          <w:rFonts w:ascii="宋体" w:hAnsi="宋体"/>
          <w:b/>
          <w:bCs/>
        </w:rPr>
        <w:t>2.合规培训与文化建设</w:t>
      </w:r>
    </w:p>
    <w:p>
      <w:pPr>
        <w:ind w:firstLine="480"/>
        <w:rPr>
          <w:rFonts w:ascii="宋体" w:hAnsi="宋体"/>
        </w:rPr>
      </w:pPr>
      <w:r>
        <w:rPr>
          <w:rFonts w:ascii="宋体" w:hAnsi="宋体"/>
        </w:rPr>
        <w:t>内部培训：</w:t>
      </w:r>
    </w:p>
    <w:p>
      <w:pPr>
        <w:ind w:firstLine="480"/>
        <w:rPr>
          <w:rFonts w:ascii="宋体" w:hAnsi="宋体"/>
        </w:rPr>
      </w:pPr>
      <w:r>
        <w:rPr>
          <w:rFonts w:ascii="宋体" w:hAnsi="宋体"/>
        </w:rPr>
        <w:t>定期组织海外知识产权法律培训，重点针对研发、采购、市场部门（如“如何避免在产品宣传中使用他人商标”）。</w:t>
      </w:r>
    </w:p>
    <w:p>
      <w:pPr>
        <w:ind w:firstLine="480"/>
        <w:rPr>
          <w:rFonts w:ascii="宋体" w:hAnsi="宋体"/>
        </w:rPr>
      </w:pPr>
      <w:r>
        <w:rPr>
          <w:rFonts w:ascii="宋体" w:hAnsi="宋体"/>
        </w:rPr>
        <w:t>案例复盘：</w:t>
      </w:r>
    </w:p>
    <w:p>
      <w:pPr>
        <w:ind w:firstLine="480"/>
        <w:rPr>
          <w:rFonts w:ascii="宋体" w:hAnsi="宋体"/>
        </w:rPr>
      </w:pPr>
      <w:r>
        <w:rPr>
          <w:rFonts w:ascii="宋体" w:hAnsi="宋体"/>
        </w:rPr>
        <w:t>分析行业典型侵权案例（如苹果vs三星专利诉讼），总结风险点并纳入企业合规指引。</w:t>
      </w:r>
    </w:p>
    <w:p>
      <w:pPr>
        <w:ind w:firstLine="482"/>
        <w:rPr>
          <w:rFonts w:ascii="宋体" w:hAnsi="宋体"/>
          <w:b/>
          <w:bCs/>
        </w:rPr>
      </w:pPr>
      <w:r>
        <w:rPr>
          <w:rFonts w:ascii="宋体" w:hAnsi="宋体"/>
          <w:b/>
          <w:bCs/>
        </w:rPr>
        <w:t>3.体系迭代与技术赋能</w:t>
      </w:r>
    </w:p>
    <w:p>
      <w:pPr>
        <w:ind w:firstLine="480"/>
        <w:rPr>
          <w:rFonts w:ascii="宋体" w:hAnsi="宋体"/>
        </w:rPr>
      </w:pPr>
      <w:r>
        <w:rPr>
          <w:rFonts w:ascii="宋体" w:hAnsi="宋体"/>
        </w:rPr>
        <w:t>引入AI工具：</w:t>
      </w:r>
    </w:p>
    <w:p>
      <w:pPr>
        <w:ind w:firstLine="480"/>
        <w:rPr>
          <w:rFonts w:ascii="宋体" w:hAnsi="宋体"/>
        </w:rPr>
      </w:pPr>
      <w:r>
        <w:rPr>
          <w:rFonts w:ascii="宋体" w:hAnsi="宋体"/>
        </w:rPr>
        <w:t>使用知识产权大数据分析工具（如PatSnap、OrbitIntelligence）进行侵权预警和FTO分析，提升检索效率。</w:t>
      </w:r>
    </w:p>
    <w:p>
      <w:pPr>
        <w:ind w:firstLine="480"/>
        <w:rPr>
          <w:rFonts w:ascii="宋体" w:hAnsi="宋体"/>
        </w:rPr>
      </w:pPr>
      <w:r>
        <w:rPr>
          <w:rFonts w:ascii="宋体" w:hAnsi="宋体"/>
        </w:rPr>
        <w:t>参与行业联盟：</w:t>
      </w:r>
    </w:p>
    <w:p>
      <w:pPr>
        <w:ind w:firstLine="480"/>
        <w:rPr>
          <w:rFonts w:ascii="宋体" w:hAnsi="宋体"/>
        </w:rPr>
      </w:pPr>
      <w:r>
        <w:rPr>
          <w:rFonts w:ascii="宋体" w:hAnsi="宋体"/>
        </w:rPr>
        <w:t>加入国际知识产权保护联盟（如美国知识产权所有者协会IPO），获取政策动态和行业支持。</w:t>
      </w:r>
    </w:p>
    <w:sectPr>
      <w:footerReference r:id="rId12"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850E570-992D-4284-93DD-6C4BB081014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310CE94B-1C22-47F6-8EE5-E482E89B5553}"/>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9" w:usb3="00000000" w:csb0="000001FF" w:csb1="00000000"/>
    <w:embedRegular r:id="rId3" w:fontKey="{CD2A23BF-3C4E-4385-A11D-29B38A587165}"/>
  </w:font>
  <w:font w:name="MS Gothic">
    <w:panose1 w:val="020B0609070205080204"/>
    <w:charset w:val="80"/>
    <w:family w:val="modern"/>
    <w:pitch w:val="default"/>
    <w:sig w:usb0="E00002FF" w:usb1="6AC7FDFB" w:usb2="00000012" w:usb3="00000000" w:csb0="4002009F" w:csb1="DFD70000"/>
    <w:embedRegular r:id="rId4" w:fontKey="{0F82BFB4-EFD6-4AB5-94BE-22CC9DE7643B}"/>
  </w:font>
  <w:font w:name="Arial">
    <w:panose1 w:val="020B0604020202020204"/>
    <w:charset w:val="00"/>
    <w:family w:val="swiss"/>
    <w:pitch w:val="default"/>
    <w:sig w:usb0="E0002AFF" w:usb1="C0007843" w:usb2="00000009" w:usb3="00000000" w:csb0="400001FF" w:csb1="FFFF0000"/>
    <w:embedRegular r:id="rId5" w:fontKey="{6F1F864B-7B3A-4C85-B609-7FE50E8A8AF1}"/>
  </w:font>
  <w:font w:name="Segoe UI">
    <w:panose1 w:val="020B0502040204020203"/>
    <w:charset w:val="00"/>
    <w:family w:val="swiss"/>
    <w:pitch w:val="default"/>
    <w:sig w:usb0="E10022FF" w:usb1="C000E47F" w:usb2="00000029" w:usb3="00000000" w:csb0="200001DF" w:csb1="20000000"/>
    <w:embedRegular r:id="rId6" w:fontKey="{778AA91E-7239-4BB1-A65D-3C4C2CC28301}"/>
  </w:font>
  <w:font w:name="微软雅黑">
    <w:panose1 w:val="020B0503020204020204"/>
    <w:charset w:val="86"/>
    <w:family w:val="swiss"/>
    <w:pitch w:val="default"/>
    <w:sig w:usb0="80000287" w:usb1="280F3C52" w:usb2="00000016" w:usb3="00000000" w:csb0="0004001F" w:csb1="00000000"/>
    <w:embedRegular r:id="rId7" w:fontKey="{52A5FFB1-9B46-4BAF-AFF1-F71A44D180E8}"/>
  </w:font>
  <w:font w:name="楷体">
    <w:panose1 w:val="02010609060101010101"/>
    <w:charset w:val="86"/>
    <w:family w:val="modern"/>
    <w:pitch w:val="default"/>
    <w:sig w:usb0="800002BF" w:usb1="38CF7CFA" w:usb2="00000016" w:usb3="00000000" w:csb0="00040001" w:csb1="00000000"/>
    <w:embedRegular r:id="rId8" w:fontKey="{6C3999B2-F5F5-4A73-BBC6-C6353840C4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48210381"/>
    </w:sdtPr>
    <w:sdtContent>
      <w:p>
        <w:pPr>
          <w:pStyle w:val="13"/>
          <w:ind w:firstLine="480"/>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90D0D0"/>
    <w:multiLevelType w:val="singleLevel"/>
    <w:tmpl w:val="3290D0D0"/>
    <w:lvl w:ilvl="0" w:tentative="0">
      <w:start w:val="1"/>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GRjNjg4ZDc1YjEyNzE3NDU0N2JiYTkyMzI3OWJlZjIifQ=="/>
  </w:docVars>
  <w:rsids>
    <w:rsidRoot w:val="004A41A3"/>
    <w:rsid w:val="00000CB6"/>
    <w:rsid w:val="000021D2"/>
    <w:rsid w:val="00002A6D"/>
    <w:rsid w:val="00003E1D"/>
    <w:rsid w:val="000041A6"/>
    <w:rsid w:val="0000502F"/>
    <w:rsid w:val="0000684C"/>
    <w:rsid w:val="00007053"/>
    <w:rsid w:val="0000765C"/>
    <w:rsid w:val="000078E0"/>
    <w:rsid w:val="00007B5E"/>
    <w:rsid w:val="000113DF"/>
    <w:rsid w:val="00011EE7"/>
    <w:rsid w:val="00012241"/>
    <w:rsid w:val="0001290A"/>
    <w:rsid w:val="00013763"/>
    <w:rsid w:val="00013BBD"/>
    <w:rsid w:val="00013D47"/>
    <w:rsid w:val="000141D6"/>
    <w:rsid w:val="0001434E"/>
    <w:rsid w:val="00015B4C"/>
    <w:rsid w:val="0001612B"/>
    <w:rsid w:val="00016C87"/>
    <w:rsid w:val="00017E98"/>
    <w:rsid w:val="000203DE"/>
    <w:rsid w:val="0002065F"/>
    <w:rsid w:val="00020D80"/>
    <w:rsid w:val="0002193A"/>
    <w:rsid w:val="000244D2"/>
    <w:rsid w:val="00024FEE"/>
    <w:rsid w:val="00025047"/>
    <w:rsid w:val="00025F19"/>
    <w:rsid w:val="000261E2"/>
    <w:rsid w:val="00026F39"/>
    <w:rsid w:val="000270BA"/>
    <w:rsid w:val="000274DE"/>
    <w:rsid w:val="00030A44"/>
    <w:rsid w:val="00030DF9"/>
    <w:rsid w:val="00030E3B"/>
    <w:rsid w:val="000317CE"/>
    <w:rsid w:val="00035DDA"/>
    <w:rsid w:val="000362C8"/>
    <w:rsid w:val="00036635"/>
    <w:rsid w:val="000401A1"/>
    <w:rsid w:val="000419C6"/>
    <w:rsid w:val="000428DA"/>
    <w:rsid w:val="000433E8"/>
    <w:rsid w:val="00043522"/>
    <w:rsid w:val="000441F5"/>
    <w:rsid w:val="0004466D"/>
    <w:rsid w:val="00044FF2"/>
    <w:rsid w:val="00045705"/>
    <w:rsid w:val="00045774"/>
    <w:rsid w:val="000462D9"/>
    <w:rsid w:val="000466EA"/>
    <w:rsid w:val="00046AC1"/>
    <w:rsid w:val="0004706C"/>
    <w:rsid w:val="0004730A"/>
    <w:rsid w:val="000473FE"/>
    <w:rsid w:val="0004775C"/>
    <w:rsid w:val="00047F83"/>
    <w:rsid w:val="000506E4"/>
    <w:rsid w:val="0005105E"/>
    <w:rsid w:val="000517F8"/>
    <w:rsid w:val="00051E0B"/>
    <w:rsid w:val="0005263D"/>
    <w:rsid w:val="000528B0"/>
    <w:rsid w:val="0005334C"/>
    <w:rsid w:val="0005451A"/>
    <w:rsid w:val="000555D5"/>
    <w:rsid w:val="00055DD4"/>
    <w:rsid w:val="00055F57"/>
    <w:rsid w:val="00056D2D"/>
    <w:rsid w:val="000576AC"/>
    <w:rsid w:val="00060B44"/>
    <w:rsid w:val="00062619"/>
    <w:rsid w:val="0006291E"/>
    <w:rsid w:val="00063AFC"/>
    <w:rsid w:val="00063DBA"/>
    <w:rsid w:val="000641A0"/>
    <w:rsid w:val="00065077"/>
    <w:rsid w:val="00065F60"/>
    <w:rsid w:val="00066DCD"/>
    <w:rsid w:val="00066E19"/>
    <w:rsid w:val="000674B3"/>
    <w:rsid w:val="00070EA0"/>
    <w:rsid w:val="00072A2E"/>
    <w:rsid w:val="0007379A"/>
    <w:rsid w:val="00073ECD"/>
    <w:rsid w:val="000747F0"/>
    <w:rsid w:val="00077863"/>
    <w:rsid w:val="00077A9B"/>
    <w:rsid w:val="000830DC"/>
    <w:rsid w:val="000833F8"/>
    <w:rsid w:val="0008360E"/>
    <w:rsid w:val="00083F0B"/>
    <w:rsid w:val="0008508E"/>
    <w:rsid w:val="00086357"/>
    <w:rsid w:val="0008658B"/>
    <w:rsid w:val="00086838"/>
    <w:rsid w:val="00087609"/>
    <w:rsid w:val="000876E2"/>
    <w:rsid w:val="00087E2E"/>
    <w:rsid w:val="00090B5F"/>
    <w:rsid w:val="00090F72"/>
    <w:rsid w:val="000913F8"/>
    <w:rsid w:val="00092BC2"/>
    <w:rsid w:val="00093E77"/>
    <w:rsid w:val="000946C1"/>
    <w:rsid w:val="00094A1B"/>
    <w:rsid w:val="0009581D"/>
    <w:rsid w:val="00095D27"/>
    <w:rsid w:val="000963C9"/>
    <w:rsid w:val="00096F87"/>
    <w:rsid w:val="000973F9"/>
    <w:rsid w:val="00097CA1"/>
    <w:rsid w:val="000A21B9"/>
    <w:rsid w:val="000A3FE0"/>
    <w:rsid w:val="000A4090"/>
    <w:rsid w:val="000A61E1"/>
    <w:rsid w:val="000A6CC4"/>
    <w:rsid w:val="000A73D1"/>
    <w:rsid w:val="000A7D47"/>
    <w:rsid w:val="000B0B75"/>
    <w:rsid w:val="000B1322"/>
    <w:rsid w:val="000B1B4A"/>
    <w:rsid w:val="000B2984"/>
    <w:rsid w:val="000B36B3"/>
    <w:rsid w:val="000B4239"/>
    <w:rsid w:val="000B43D6"/>
    <w:rsid w:val="000B48D7"/>
    <w:rsid w:val="000B4EC8"/>
    <w:rsid w:val="000B56D8"/>
    <w:rsid w:val="000B6573"/>
    <w:rsid w:val="000B6C40"/>
    <w:rsid w:val="000B6E44"/>
    <w:rsid w:val="000C024B"/>
    <w:rsid w:val="000C094B"/>
    <w:rsid w:val="000C1260"/>
    <w:rsid w:val="000C1BAB"/>
    <w:rsid w:val="000C31DB"/>
    <w:rsid w:val="000C37BD"/>
    <w:rsid w:val="000C47E0"/>
    <w:rsid w:val="000C5CE2"/>
    <w:rsid w:val="000C61FE"/>
    <w:rsid w:val="000C64F2"/>
    <w:rsid w:val="000D05A6"/>
    <w:rsid w:val="000D2620"/>
    <w:rsid w:val="000D283E"/>
    <w:rsid w:val="000D34CA"/>
    <w:rsid w:val="000D354B"/>
    <w:rsid w:val="000D3717"/>
    <w:rsid w:val="000D3795"/>
    <w:rsid w:val="000D37DF"/>
    <w:rsid w:val="000D45AB"/>
    <w:rsid w:val="000D4634"/>
    <w:rsid w:val="000D4B28"/>
    <w:rsid w:val="000D67DC"/>
    <w:rsid w:val="000D7757"/>
    <w:rsid w:val="000E007B"/>
    <w:rsid w:val="000E191A"/>
    <w:rsid w:val="000E24E9"/>
    <w:rsid w:val="000E6904"/>
    <w:rsid w:val="000E6F60"/>
    <w:rsid w:val="000E71CA"/>
    <w:rsid w:val="000E7A51"/>
    <w:rsid w:val="000F0113"/>
    <w:rsid w:val="000F023B"/>
    <w:rsid w:val="000F02ED"/>
    <w:rsid w:val="000F0610"/>
    <w:rsid w:val="000F1D7B"/>
    <w:rsid w:val="000F3775"/>
    <w:rsid w:val="000F53B2"/>
    <w:rsid w:val="000F7642"/>
    <w:rsid w:val="000F7990"/>
    <w:rsid w:val="000F7DBD"/>
    <w:rsid w:val="001005D7"/>
    <w:rsid w:val="00100F41"/>
    <w:rsid w:val="00101755"/>
    <w:rsid w:val="00101835"/>
    <w:rsid w:val="00101AF3"/>
    <w:rsid w:val="00101B42"/>
    <w:rsid w:val="00102057"/>
    <w:rsid w:val="0010268D"/>
    <w:rsid w:val="001032B0"/>
    <w:rsid w:val="00103ADD"/>
    <w:rsid w:val="00104A4F"/>
    <w:rsid w:val="00105961"/>
    <w:rsid w:val="00105994"/>
    <w:rsid w:val="00105C8F"/>
    <w:rsid w:val="001060C5"/>
    <w:rsid w:val="0010615A"/>
    <w:rsid w:val="001067EB"/>
    <w:rsid w:val="00107E70"/>
    <w:rsid w:val="001108F1"/>
    <w:rsid w:val="00111495"/>
    <w:rsid w:val="001119AC"/>
    <w:rsid w:val="00111B03"/>
    <w:rsid w:val="0011312C"/>
    <w:rsid w:val="00114120"/>
    <w:rsid w:val="0011494A"/>
    <w:rsid w:val="00114A7B"/>
    <w:rsid w:val="00114D47"/>
    <w:rsid w:val="00114D82"/>
    <w:rsid w:val="00115EAC"/>
    <w:rsid w:val="001168B4"/>
    <w:rsid w:val="00117719"/>
    <w:rsid w:val="00117D33"/>
    <w:rsid w:val="00117FC6"/>
    <w:rsid w:val="00121A5B"/>
    <w:rsid w:val="00122158"/>
    <w:rsid w:val="00123D47"/>
    <w:rsid w:val="0012423A"/>
    <w:rsid w:val="00124F01"/>
    <w:rsid w:val="001275A4"/>
    <w:rsid w:val="00130627"/>
    <w:rsid w:val="001308A4"/>
    <w:rsid w:val="00131384"/>
    <w:rsid w:val="0013158C"/>
    <w:rsid w:val="0013200B"/>
    <w:rsid w:val="00132B26"/>
    <w:rsid w:val="00132C69"/>
    <w:rsid w:val="001335F0"/>
    <w:rsid w:val="00134C81"/>
    <w:rsid w:val="00134D56"/>
    <w:rsid w:val="00136051"/>
    <w:rsid w:val="0013639A"/>
    <w:rsid w:val="001366CF"/>
    <w:rsid w:val="00136FDF"/>
    <w:rsid w:val="001378BA"/>
    <w:rsid w:val="001379E8"/>
    <w:rsid w:val="00140474"/>
    <w:rsid w:val="001406F6"/>
    <w:rsid w:val="00142789"/>
    <w:rsid w:val="00142A0F"/>
    <w:rsid w:val="001438BA"/>
    <w:rsid w:val="001442E6"/>
    <w:rsid w:val="0014632C"/>
    <w:rsid w:val="00146547"/>
    <w:rsid w:val="00146FBE"/>
    <w:rsid w:val="001479EF"/>
    <w:rsid w:val="00152077"/>
    <w:rsid w:val="001529ED"/>
    <w:rsid w:val="00153B77"/>
    <w:rsid w:val="00154486"/>
    <w:rsid w:val="001551CD"/>
    <w:rsid w:val="001558C9"/>
    <w:rsid w:val="001576C5"/>
    <w:rsid w:val="001576E2"/>
    <w:rsid w:val="00157F74"/>
    <w:rsid w:val="00160285"/>
    <w:rsid w:val="001605FC"/>
    <w:rsid w:val="00160ACD"/>
    <w:rsid w:val="00162550"/>
    <w:rsid w:val="00162810"/>
    <w:rsid w:val="00163D1C"/>
    <w:rsid w:val="00163EE6"/>
    <w:rsid w:val="00164476"/>
    <w:rsid w:val="00164B8E"/>
    <w:rsid w:val="001652B8"/>
    <w:rsid w:val="00165BE5"/>
    <w:rsid w:val="00165FA3"/>
    <w:rsid w:val="001664A7"/>
    <w:rsid w:val="00166AC5"/>
    <w:rsid w:val="00166B89"/>
    <w:rsid w:val="0016719D"/>
    <w:rsid w:val="00170692"/>
    <w:rsid w:val="001707D0"/>
    <w:rsid w:val="00170AC3"/>
    <w:rsid w:val="001710F9"/>
    <w:rsid w:val="001716E9"/>
    <w:rsid w:val="001717D3"/>
    <w:rsid w:val="00173AE8"/>
    <w:rsid w:val="00174841"/>
    <w:rsid w:val="00174E2C"/>
    <w:rsid w:val="00175849"/>
    <w:rsid w:val="00176349"/>
    <w:rsid w:val="001765F6"/>
    <w:rsid w:val="00180577"/>
    <w:rsid w:val="00180EC3"/>
    <w:rsid w:val="00182AB9"/>
    <w:rsid w:val="00182F86"/>
    <w:rsid w:val="001836F3"/>
    <w:rsid w:val="001837C0"/>
    <w:rsid w:val="001858C4"/>
    <w:rsid w:val="0018785C"/>
    <w:rsid w:val="00191A43"/>
    <w:rsid w:val="00191D55"/>
    <w:rsid w:val="00192DB2"/>
    <w:rsid w:val="00192EF0"/>
    <w:rsid w:val="00193137"/>
    <w:rsid w:val="00193BDB"/>
    <w:rsid w:val="001940FD"/>
    <w:rsid w:val="00194493"/>
    <w:rsid w:val="0019460E"/>
    <w:rsid w:val="00195847"/>
    <w:rsid w:val="00196D64"/>
    <w:rsid w:val="00197AAA"/>
    <w:rsid w:val="001A10FF"/>
    <w:rsid w:val="001A1F3B"/>
    <w:rsid w:val="001A21DC"/>
    <w:rsid w:val="001A2731"/>
    <w:rsid w:val="001A2FAE"/>
    <w:rsid w:val="001A3099"/>
    <w:rsid w:val="001A3141"/>
    <w:rsid w:val="001A3B00"/>
    <w:rsid w:val="001A433E"/>
    <w:rsid w:val="001A4A3B"/>
    <w:rsid w:val="001A4D1E"/>
    <w:rsid w:val="001A598D"/>
    <w:rsid w:val="001A6121"/>
    <w:rsid w:val="001A68EA"/>
    <w:rsid w:val="001A6A79"/>
    <w:rsid w:val="001A7385"/>
    <w:rsid w:val="001A7686"/>
    <w:rsid w:val="001B04C0"/>
    <w:rsid w:val="001B056B"/>
    <w:rsid w:val="001B0688"/>
    <w:rsid w:val="001B10D9"/>
    <w:rsid w:val="001B1888"/>
    <w:rsid w:val="001B18EE"/>
    <w:rsid w:val="001B1F4D"/>
    <w:rsid w:val="001B1F79"/>
    <w:rsid w:val="001B5DB6"/>
    <w:rsid w:val="001B6633"/>
    <w:rsid w:val="001B75AB"/>
    <w:rsid w:val="001B763C"/>
    <w:rsid w:val="001B780F"/>
    <w:rsid w:val="001B7832"/>
    <w:rsid w:val="001C06F2"/>
    <w:rsid w:val="001C0A44"/>
    <w:rsid w:val="001C0C04"/>
    <w:rsid w:val="001C1541"/>
    <w:rsid w:val="001C290F"/>
    <w:rsid w:val="001C3141"/>
    <w:rsid w:val="001C3172"/>
    <w:rsid w:val="001C3C39"/>
    <w:rsid w:val="001C47E9"/>
    <w:rsid w:val="001C5113"/>
    <w:rsid w:val="001C54A1"/>
    <w:rsid w:val="001C6345"/>
    <w:rsid w:val="001C6DF4"/>
    <w:rsid w:val="001C7D66"/>
    <w:rsid w:val="001D0700"/>
    <w:rsid w:val="001D0E92"/>
    <w:rsid w:val="001D17BC"/>
    <w:rsid w:val="001D19E7"/>
    <w:rsid w:val="001D2013"/>
    <w:rsid w:val="001D2053"/>
    <w:rsid w:val="001D309F"/>
    <w:rsid w:val="001D4998"/>
    <w:rsid w:val="001D5925"/>
    <w:rsid w:val="001D64EB"/>
    <w:rsid w:val="001D65F2"/>
    <w:rsid w:val="001D7CE5"/>
    <w:rsid w:val="001D7EF0"/>
    <w:rsid w:val="001E01BF"/>
    <w:rsid w:val="001E0752"/>
    <w:rsid w:val="001E0D2B"/>
    <w:rsid w:val="001E1450"/>
    <w:rsid w:val="001E1BB6"/>
    <w:rsid w:val="001E1C33"/>
    <w:rsid w:val="001E22DF"/>
    <w:rsid w:val="001E3395"/>
    <w:rsid w:val="001E361E"/>
    <w:rsid w:val="001E4543"/>
    <w:rsid w:val="001E527D"/>
    <w:rsid w:val="001E540D"/>
    <w:rsid w:val="001E56AE"/>
    <w:rsid w:val="001E5881"/>
    <w:rsid w:val="001E59CD"/>
    <w:rsid w:val="001E5F6A"/>
    <w:rsid w:val="001E6589"/>
    <w:rsid w:val="001E74D6"/>
    <w:rsid w:val="001F05C6"/>
    <w:rsid w:val="001F0A2D"/>
    <w:rsid w:val="001F0D0F"/>
    <w:rsid w:val="001F0F66"/>
    <w:rsid w:val="001F1A82"/>
    <w:rsid w:val="001F1CA9"/>
    <w:rsid w:val="001F222D"/>
    <w:rsid w:val="001F2DEA"/>
    <w:rsid w:val="001F2F32"/>
    <w:rsid w:val="001F40BC"/>
    <w:rsid w:val="001F460E"/>
    <w:rsid w:val="001F5667"/>
    <w:rsid w:val="001F592A"/>
    <w:rsid w:val="001F5FC7"/>
    <w:rsid w:val="001F6195"/>
    <w:rsid w:val="001F620E"/>
    <w:rsid w:val="001F762F"/>
    <w:rsid w:val="00200145"/>
    <w:rsid w:val="0020038B"/>
    <w:rsid w:val="002011F3"/>
    <w:rsid w:val="00201918"/>
    <w:rsid w:val="00203009"/>
    <w:rsid w:val="00204AB0"/>
    <w:rsid w:val="00204EF2"/>
    <w:rsid w:val="002059BF"/>
    <w:rsid w:val="002069C6"/>
    <w:rsid w:val="00206F85"/>
    <w:rsid w:val="00206FEE"/>
    <w:rsid w:val="0020724E"/>
    <w:rsid w:val="002106CA"/>
    <w:rsid w:val="0021099B"/>
    <w:rsid w:val="00210E7F"/>
    <w:rsid w:val="002122F7"/>
    <w:rsid w:val="002123F9"/>
    <w:rsid w:val="002138AC"/>
    <w:rsid w:val="00214B9C"/>
    <w:rsid w:val="00216228"/>
    <w:rsid w:val="00216963"/>
    <w:rsid w:val="00217A75"/>
    <w:rsid w:val="00217EB5"/>
    <w:rsid w:val="0022020E"/>
    <w:rsid w:val="00220626"/>
    <w:rsid w:val="002214F8"/>
    <w:rsid w:val="00222328"/>
    <w:rsid w:val="0022276D"/>
    <w:rsid w:val="0022293B"/>
    <w:rsid w:val="00222D6A"/>
    <w:rsid w:val="00223425"/>
    <w:rsid w:val="00223431"/>
    <w:rsid w:val="00223917"/>
    <w:rsid w:val="00223DDE"/>
    <w:rsid w:val="0022418A"/>
    <w:rsid w:val="002241FA"/>
    <w:rsid w:val="0022444D"/>
    <w:rsid w:val="00224A62"/>
    <w:rsid w:val="00224E5A"/>
    <w:rsid w:val="0022519A"/>
    <w:rsid w:val="00225378"/>
    <w:rsid w:val="002256E1"/>
    <w:rsid w:val="0022585B"/>
    <w:rsid w:val="00225D66"/>
    <w:rsid w:val="00226E9E"/>
    <w:rsid w:val="00227228"/>
    <w:rsid w:val="00227507"/>
    <w:rsid w:val="00230D7C"/>
    <w:rsid w:val="002310BE"/>
    <w:rsid w:val="00233B05"/>
    <w:rsid w:val="00233D2E"/>
    <w:rsid w:val="002344AD"/>
    <w:rsid w:val="002362AC"/>
    <w:rsid w:val="00237435"/>
    <w:rsid w:val="002377F2"/>
    <w:rsid w:val="00240634"/>
    <w:rsid w:val="00242A82"/>
    <w:rsid w:val="002437FB"/>
    <w:rsid w:val="00243973"/>
    <w:rsid w:val="00243A63"/>
    <w:rsid w:val="00243E21"/>
    <w:rsid w:val="00243F72"/>
    <w:rsid w:val="0024451A"/>
    <w:rsid w:val="00244EFC"/>
    <w:rsid w:val="00246D5A"/>
    <w:rsid w:val="002500C4"/>
    <w:rsid w:val="00250EAF"/>
    <w:rsid w:val="00251753"/>
    <w:rsid w:val="002532E3"/>
    <w:rsid w:val="00253E44"/>
    <w:rsid w:val="002542BB"/>
    <w:rsid w:val="00254984"/>
    <w:rsid w:val="00256DB2"/>
    <w:rsid w:val="00257D4D"/>
    <w:rsid w:val="00260FEB"/>
    <w:rsid w:val="00261EBB"/>
    <w:rsid w:val="00263338"/>
    <w:rsid w:val="0026375B"/>
    <w:rsid w:val="00263CBE"/>
    <w:rsid w:val="00263F35"/>
    <w:rsid w:val="0026456E"/>
    <w:rsid w:val="00264AAD"/>
    <w:rsid w:val="002656ED"/>
    <w:rsid w:val="00265CF3"/>
    <w:rsid w:val="00265D1A"/>
    <w:rsid w:val="00265E53"/>
    <w:rsid w:val="0026667E"/>
    <w:rsid w:val="0026732A"/>
    <w:rsid w:val="0027109B"/>
    <w:rsid w:val="00272048"/>
    <w:rsid w:val="002723F6"/>
    <w:rsid w:val="002724FA"/>
    <w:rsid w:val="002742B9"/>
    <w:rsid w:val="00274B12"/>
    <w:rsid w:val="00274EA1"/>
    <w:rsid w:val="002750AF"/>
    <w:rsid w:val="002752F1"/>
    <w:rsid w:val="00275776"/>
    <w:rsid w:val="00277135"/>
    <w:rsid w:val="002774BC"/>
    <w:rsid w:val="00282AC4"/>
    <w:rsid w:val="00283A64"/>
    <w:rsid w:val="00283EEA"/>
    <w:rsid w:val="002851A9"/>
    <w:rsid w:val="002853E9"/>
    <w:rsid w:val="00285624"/>
    <w:rsid w:val="00286D02"/>
    <w:rsid w:val="00287CD0"/>
    <w:rsid w:val="00290C6C"/>
    <w:rsid w:val="00290D72"/>
    <w:rsid w:val="00294D24"/>
    <w:rsid w:val="0029513F"/>
    <w:rsid w:val="002955CA"/>
    <w:rsid w:val="002968D6"/>
    <w:rsid w:val="002A0A34"/>
    <w:rsid w:val="002A0CFF"/>
    <w:rsid w:val="002A0FCD"/>
    <w:rsid w:val="002A1C07"/>
    <w:rsid w:val="002A28C8"/>
    <w:rsid w:val="002A2CFD"/>
    <w:rsid w:val="002A3C05"/>
    <w:rsid w:val="002A4A54"/>
    <w:rsid w:val="002A57BB"/>
    <w:rsid w:val="002A63E9"/>
    <w:rsid w:val="002A6CA7"/>
    <w:rsid w:val="002A7336"/>
    <w:rsid w:val="002B0538"/>
    <w:rsid w:val="002B220C"/>
    <w:rsid w:val="002B2902"/>
    <w:rsid w:val="002B2C64"/>
    <w:rsid w:val="002B380B"/>
    <w:rsid w:val="002B4A4A"/>
    <w:rsid w:val="002B534D"/>
    <w:rsid w:val="002B5B16"/>
    <w:rsid w:val="002B68E4"/>
    <w:rsid w:val="002B70B1"/>
    <w:rsid w:val="002B7F99"/>
    <w:rsid w:val="002C0E18"/>
    <w:rsid w:val="002C1AAF"/>
    <w:rsid w:val="002C28B6"/>
    <w:rsid w:val="002C333F"/>
    <w:rsid w:val="002C4AB4"/>
    <w:rsid w:val="002C508F"/>
    <w:rsid w:val="002C51A8"/>
    <w:rsid w:val="002C60A1"/>
    <w:rsid w:val="002C60AA"/>
    <w:rsid w:val="002C61E9"/>
    <w:rsid w:val="002C646C"/>
    <w:rsid w:val="002C64F3"/>
    <w:rsid w:val="002C7D35"/>
    <w:rsid w:val="002D0D1E"/>
    <w:rsid w:val="002D192C"/>
    <w:rsid w:val="002D1C6B"/>
    <w:rsid w:val="002D2E9E"/>
    <w:rsid w:val="002D4075"/>
    <w:rsid w:val="002D4893"/>
    <w:rsid w:val="002D5503"/>
    <w:rsid w:val="002D58A6"/>
    <w:rsid w:val="002D6153"/>
    <w:rsid w:val="002D7169"/>
    <w:rsid w:val="002D725C"/>
    <w:rsid w:val="002E0E75"/>
    <w:rsid w:val="002E1105"/>
    <w:rsid w:val="002E1C32"/>
    <w:rsid w:val="002E2051"/>
    <w:rsid w:val="002E20E8"/>
    <w:rsid w:val="002E2CF3"/>
    <w:rsid w:val="002E33B7"/>
    <w:rsid w:val="002E37B5"/>
    <w:rsid w:val="002E3B41"/>
    <w:rsid w:val="002E3BEF"/>
    <w:rsid w:val="002E3C23"/>
    <w:rsid w:val="002E3E37"/>
    <w:rsid w:val="002E4138"/>
    <w:rsid w:val="002E4754"/>
    <w:rsid w:val="002E4A23"/>
    <w:rsid w:val="002E4FDB"/>
    <w:rsid w:val="002E691D"/>
    <w:rsid w:val="002E6F62"/>
    <w:rsid w:val="002E7B24"/>
    <w:rsid w:val="002F422F"/>
    <w:rsid w:val="002F429E"/>
    <w:rsid w:val="002F7283"/>
    <w:rsid w:val="003003C0"/>
    <w:rsid w:val="0030098F"/>
    <w:rsid w:val="00301C66"/>
    <w:rsid w:val="00305CCD"/>
    <w:rsid w:val="00305CE7"/>
    <w:rsid w:val="00306E5A"/>
    <w:rsid w:val="0030797F"/>
    <w:rsid w:val="00310129"/>
    <w:rsid w:val="003105C3"/>
    <w:rsid w:val="003106A3"/>
    <w:rsid w:val="0031163E"/>
    <w:rsid w:val="00312620"/>
    <w:rsid w:val="00313226"/>
    <w:rsid w:val="00317E59"/>
    <w:rsid w:val="00320A9D"/>
    <w:rsid w:val="00321ACE"/>
    <w:rsid w:val="00322FB0"/>
    <w:rsid w:val="003247F4"/>
    <w:rsid w:val="003252E1"/>
    <w:rsid w:val="00326827"/>
    <w:rsid w:val="00326E58"/>
    <w:rsid w:val="00327FEA"/>
    <w:rsid w:val="00330870"/>
    <w:rsid w:val="00330B03"/>
    <w:rsid w:val="0033139A"/>
    <w:rsid w:val="0033230E"/>
    <w:rsid w:val="0033447C"/>
    <w:rsid w:val="00335EB1"/>
    <w:rsid w:val="0033755C"/>
    <w:rsid w:val="00337F7B"/>
    <w:rsid w:val="00340C25"/>
    <w:rsid w:val="003419D7"/>
    <w:rsid w:val="00341C98"/>
    <w:rsid w:val="00341D72"/>
    <w:rsid w:val="003426B2"/>
    <w:rsid w:val="00342D34"/>
    <w:rsid w:val="00344582"/>
    <w:rsid w:val="00344744"/>
    <w:rsid w:val="00344C73"/>
    <w:rsid w:val="003450D7"/>
    <w:rsid w:val="003456C7"/>
    <w:rsid w:val="003458C2"/>
    <w:rsid w:val="00345A16"/>
    <w:rsid w:val="0034700C"/>
    <w:rsid w:val="003475FD"/>
    <w:rsid w:val="00347E71"/>
    <w:rsid w:val="00350B66"/>
    <w:rsid w:val="0035141B"/>
    <w:rsid w:val="00351D28"/>
    <w:rsid w:val="0035243D"/>
    <w:rsid w:val="00353050"/>
    <w:rsid w:val="00353DDB"/>
    <w:rsid w:val="00354BC7"/>
    <w:rsid w:val="00355D52"/>
    <w:rsid w:val="003565EB"/>
    <w:rsid w:val="003569FF"/>
    <w:rsid w:val="00356C44"/>
    <w:rsid w:val="003579CB"/>
    <w:rsid w:val="00357AEA"/>
    <w:rsid w:val="00360E13"/>
    <w:rsid w:val="00361F97"/>
    <w:rsid w:val="00364CA2"/>
    <w:rsid w:val="00364E14"/>
    <w:rsid w:val="0036613B"/>
    <w:rsid w:val="003662A9"/>
    <w:rsid w:val="003673CD"/>
    <w:rsid w:val="00367EDB"/>
    <w:rsid w:val="003710C1"/>
    <w:rsid w:val="00371396"/>
    <w:rsid w:val="0037143F"/>
    <w:rsid w:val="00372FAD"/>
    <w:rsid w:val="00373A43"/>
    <w:rsid w:val="00373F86"/>
    <w:rsid w:val="003745C6"/>
    <w:rsid w:val="003751BE"/>
    <w:rsid w:val="0037647C"/>
    <w:rsid w:val="00376FBC"/>
    <w:rsid w:val="003807B0"/>
    <w:rsid w:val="003815BB"/>
    <w:rsid w:val="003816D7"/>
    <w:rsid w:val="00382B1A"/>
    <w:rsid w:val="00383D41"/>
    <w:rsid w:val="00383D9D"/>
    <w:rsid w:val="0038583F"/>
    <w:rsid w:val="0038639D"/>
    <w:rsid w:val="0038774B"/>
    <w:rsid w:val="00387ACE"/>
    <w:rsid w:val="00387B9B"/>
    <w:rsid w:val="00387F98"/>
    <w:rsid w:val="003904D4"/>
    <w:rsid w:val="00390623"/>
    <w:rsid w:val="00390979"/>
    <w:rsid w:val="0039097F"/>
    <w:rsid w:val="0039146E"/>
    <w:rsid w:val="00392C93"/>
    <w:rsid w:val="003933E4"/>
    <w:rsid w:val="00393EED"/>
    <w:rsid w:val="0039490C"/>
    <w:rsid w:val="00394957"/>
    <w:rsid w:val="00394977"/>
    <w:rsid w:val="003949AA"/>
    <w:rsid w:val="00395268"/>
    <w:rsid w:val="0039660B"/>
    <w:rsid w:val="00396D45"/>
    <w:rsid w:val="003971E5"/>
    <w:rsid w:val="003A1F58"/>
    <w:rsid w:val="003A240D"/>
    <w:rsid w:val="003A29F3"/>
    <w:rsid w:val="003A3821"/>
    <w:rsid w:val="003A3C24"/>
    <w:rsid w:val="003A3C4C"/>
    <w:rsid w:val="003A449C"/>
    <w:rsid w:val="003A4EB5"/>
    <w:rsid w:val="003A7CC4"/>
    <w:rsid w:val="003B019D"/>
    <w:rsid w:val="003B0598"/>
    <w:rsid w:val="003B1FB5"/>
    <w:rsid w:val="003B21A7"/>
    <w:rsid w:val="003B374C"/>
    <w:rsid w:val="003B5504"/>
    <w:rsid w:val="003B6743"/>
    <w:rsid w:val="003B7A40"/>
    <w:rsid w:val="003C00F4"/>
    <w:rsid w:val="003C0234"/>
    <w:rsid w:val="003C10E5"/>
    <w:rsid w:val="003C10EB"/>
    <w:rsid w:val="003C2075"/>
    <w:rsid w:val="003C2E90"/>
    <w:rsid w:val="003C3884"/>
    <w:rsid w:val="003C4009"/>
    <w:rsid w:val="003C52D0"/>
    <w:rsid w:val="003C548A"/>
    <w:rsid w:val="003C5B1A"/>
    <w:rsid w:val="003C60F6"/>
    <w:rsid w:val="003C6586"/>
    <w:rsid w:val="003C6797"/>
    <w:rsid w:val="003C6DF3"/>
    <w:rsid w:val="003C755D"/>
    <w:rsid w:val="003C7933"/>
    <w:rsid w:val="003D21B7"/>
    <w:rsid w:val="003D24BE"/>
    <w:rsid w:val="003D2A63"/>
    <w:rsid w:val="003D407C"/>
    <w:rsid w:val="003D48E1"/>
    <w:rsid w:val="003D5754"/>
    <w:rsid w:val="003D6707"/>
    <w:rsid w:val="003D6F8A"/>
    <w:rsid w:val="003E0183"/>
    <w:rsid w:val="003E0EDA"/>
    <w:rsid w:val="003E2845"/>
    <w:rsid w:val="003E2D27"/>
    <w:rsid w:val="003E50E8"/>
    <w:rsid w:val="003E669D"/>
    <w:rsid w:val="003E6803"/>
    <w:rsid w:val="003E70D9"/>
    <w:rsid w:val="003E77AB"/>
    <w:rsid w:val="003E7BC3"/>
    <w:rsid w:val="003E7D53"/>
    <w:rsid w:val="003E7FE3"/>
    <w:rsid w:val="003F104D"/>
    <w:rsid w:val="003F1FD8"/>
    <w:rsid w:val="003F27BC"/>
    <w:rsid w:val="003F39E7"/>
    <w:rsid w:val="003F6018"/>
    <w:rsid w:val="003F60F9"/>
    <w:rsid w:val="00400050"/>
    <w:rsid w:val="00401572"/>
    <w:rsid w:val="004018A7"/>
    <w:rsid w:val="00402D65"/>
    <w:rsid w:val="0040419F"/>
    <w:rsid w:val="00404A6C"/>
    <w:rsid w:val="00405499"/>
    <w:rsid w:val="0040556F"/>
    <w:rsid w:val="00405AA3"/>
    <w:rsid w:val="00405C04"/>
    <w:rsid w:val="00405D57"/>
    <w:rsid w:val="004076AC"/>
    <w:rsid w:val="00407FA2"/>
    <w:rsid w:val="00412342"/>
    <w:rsid w:val="00413278"/>
    <w:rsid w:val="004139FA"/>
    <w:rsid w:val="004146C2"/>
    <w:rsid w:val="00415B38"/>
    <w:rsid w:val="00416DA5"/>
    <w:rsid w:val="004200FD"/>
    <w:rsid w:val="004201A7"/>
    <w:rsid w:val="004227BF"/>
    <w:rsid w:val="00422B84"/>
    <w:rsid w:val="00423239"/>
    <w:rsid w:val="0042487A"/>
    <w:rsid w:val="004249C6"/>
    <w:rsid w:val="00424DED"/>
    <w:rsid w:val="00424F08"/>
    <w:rsid w:val="00424F52"/>
    <w:rsid w:val="00425103"/>
    <w:rsid w:val="004257F6"/>
    <w:rsid w:val="00426A6E"/>
    <w:rsid w:val="00427000"/>
    <w:rsid w:val="0042711B"/>
    <w:rsid w:val="00427DBD"/>
    <w:rsid w:val="004309DE"/>
    <w:rsid w:val="00431EB3"/>
    <w:rsid w:val="00432573"/>
    <w:rsid w:val="0043287E"/>
    <w:rsid w:val="00432AD7"/>
    <w:rsid w:val="00433219"/>
    <w:rsid w:val="00433382"/>
    <w:rsid w:val="00433413"/>
    <w:rsid w:val="00433DBD"/>
    <w:rsid w:val="004340A7"/>
    <w:rsid w:val="004343F5"/>
    <w:rsid w:val="004344BF"/>
    <w:rsid w:val="00435DF6"/>
    <w:rsid w:val="0043606F"/>
    <w:rsid w:val="00436238"/>
    <w:rsid w:val="004366DC"/>
    <w:rsid w:val="00437716"/>
    <w:rsid w:val="00440361"/>
    <w:rsid w:val="00440AC0"/>
    <w:rsid w:val="004417E3"/>
    <w:rsid w:val="00441FCE"/>
    <w:rsid w:val="0044290E"/>
    <w:rsid w:val="00442D21"/>
    <w:rsid w:val="00443134"/>
    <w:rsid w:val="0044340B"/>
    <w:rsid w:val="004437ED"/>
    <w:rsid w:val="00444C32"/>
    <w:rsid w:val="00445E73"/>
    <w:rsid w:val="00446656"/>
    <w:rsid w:val="00446D27"/>
    <w:rsid w:val="00447011"/>
    <w:rsid w:val="0044759C"/>
    <w:rsid w:val="00447DC3"/>
    <w:rsid w:val="00452D7E"/>
    <w:rsid w:val="0045323A"/>
    <w:rsid w:val="00453D4A"/>
    <w:rsid w:val="0045478C"/>
    <w:rsid w:val="00455AA2"/>
    <w:rsid w:val="00456581"/>
    <w:rsid w:val="00456A2A"/>
    <w:rsid w:val="00456FB8"/>
    <w:rsid w:val="004572FD"/>
    <w:rsid w:val="004573EE"/>
    <w:rsid w:val="0046003F"/>
    <w:rsid w:val="00463571"/>
    <w:rsid w:val="004649DB"/>
    <w:rsid w:val="00465148"/>
    <w:rsid w:val="00465B66"/>
    <w:rsid w:val="00467297"/>
    <w:rsid w:val="00467C4D"/>
    <w:rsid w:val="00467E31"/>
    <w:rsid w:val="00467EE5"/>
    <w:rsid w:val="00470537"/>
    <w:rsid w:val="00470D83"/>
    <w:rsid w:val="00471E69"/>
    <w:rsid w:val="00471EE0"/>
    <w:rsid w:val="00473203"/>
    <w:rsid w:val="0047495B"/>
    <w:rsid w:val="00474F36"/>
    <w:rsid w:val="00476F5B"/>
    <w:rsid w:val="00476F62"/>
    <w:rsid w:val="0048075F"/>
    <w:rsid w:val="004810AB"/>
    <w:rsid w:val="0048126B"/>
    <w:rsid w:val="0048281D"/>
    <w:rsid w:val="004849EE"/>
    <w:rsid w:val="00484C24"/>
    <w:rsid w:val="00484D4A"/>
    <w:rsid w:val="00485099"/>
    <w:rsid w:val="00485CFD"/>
    <w:rsid w:val="0048611A"/>
    <w:rsid w:val="00486433"/>
    <w:rsid w:val="0048697B"/>
    <w:rsid w:val="00486B6F"/>
    <w:rsid w:val="00487368"/>
    <w:rsid w:val="0049047F"/>
    <w:rsid w:val="0049187E"/>
    <w:rsid w:val="004918BB"/>
    <w:rsid w:val="004937DB"/>
    <w:rsid w:val="00493891"/>
    <w:rsid w:val="00494FA6"/>
    <w:rsid w:val="004952CD"/>
    <w:rsid w:val="00495DC0"/>
    <w:rsid w:val="00496971"/>
    <w:rsid w:val="004977F5"/>
    <w:rsid w:val="00497C33"/>
    <w:rsid w:val="00497ED2"/>
    <w:rsid w:val="004A01B6"/>
    <w:rsid w:val="004A0BDF"/>
    <w:rsid w:val="004A1A1E"/>
    <w:rsid w:val="004A28C1"/>
    <w:rsid w:val="004A2957"/>
    <w:rsid w:val="004A2E7B"/>
    <w:rsid w:val="004A2F9B"/>
    <w:rsid w:val="004A3206"/>
    <w:rsid w:val="004A35D6"/>
    <w:rsid w:val="004A3785"/>
    <w:rsid w:val="004A3FA7"/>
    <w:rsid w:val="004A41A3"/>
    <w:rsid w:val="004A41B2"/>
    <w:rsid w:val="004A421C"/>
    <w:rsid w:val="004A4C08"/>
    <w:rsid w:val="004A57E0"/>
    <w:rsid w:val="004A62C3"/>
    <w:rsid w:val="004A6C8A"/>
    <w:rsid w:val="004A72E0"/>
    <w:rsid w:val="004B01DF"/>
    <w:rsid w:val="004B077A"/>
    <w:rsid w:val="004B0DCF"/>
    <w:rsid w:val="004B0E6A"/>
    <w:rsid w:val="004B3DAC"/>
    <w:rsid w:val="004B6181"/>
    <w:rsid w:val="004B6755"/>
    <w:rsid w:val="004B7E8F"/>
    <w:rsid w:val="004C1344"/>
    <w:rsid w:val="004C2132"/>
    <w:rsid w:val="004C3185"/>
    <w:rsid w:val="004C32EA"/>
    <w:rsid w:val="004C56E0"/>
    <w:rsid w:val="004C62CD"/>
    <w:rsid w:val="004D124C"/>
    <w:rsid w:val="004D130B"/>
    <w:rsid w:val="004D1FA7"/>
    <w:rsid w:val="004D2E5B"/>
    <w:rsid w:val="004D35C7"/>
    <w:rsid w:val="004D393C"/>
    <w:rsid w:val="004D3F6A"/>
    <w:rsid w:val="004D4170"/>
    <w:rsid w:val="004D4580"/>
    <w:rsid w:val="004D5197"/>
    <w:rsid w:val="004D61DE"/>
    <w:rsid w:val="004D7C34"/>
    <w:rsid w:val="004E063E"/>
    <w:rsid w:val="004E25B9"/>
    <w:rsid w:val="004E2640"/>
    <w:rsid w:val="004E31FB"/>
    <w:rsid w:val="004E33C8"/>
    <w:rsid w:val="004E419E"/>
    <w:rsid w:val="004E46CB"/>
    <w:rsid w:val="004E6273"/>
    <w:rsid w:val="004E6D88"/>
    <w:rsid w:val="004E78C4"/>
    <w:rsid w:val="004E7B14"/>
    <w:rsid w:val="004E7CF8"/>
    <w:rsid w:val="004F0FF5"/>
    <w:rsid w:val="004F1306"/>
    <w:rsid w:val="004F1D17"/>
    <w:rsid w:val="004F1F9C"/>
    <w:rsid w:val="004F24A3"/>
    <w:rsid w:val="004F24D8"/>
    <w:rsid w:val="004F24E7"/>
    <w:rsid w:val="004F2C1D"/>
    <w:rsid w:val="004F3199"/>
    <w:rsid w:val="004F3E39"/>
    <w:rsid w:val="004F400B"/>
    <w:rsid w:val="004F4069"/>
    <w:rsid w:val="004F478B"/>
    <w:rsid w:val="004F50AA"/>
    <w:rsid w:val="004F52E2"/>
    <w:rsid w:val="004F5308"/>
    <w:rsid w:val="004F5E35"/>
    <w:rsid w:val="004F631D"/>
    <w:rsid w:val="004F684C"/>
    <w:rsid w:val="004F6E6A"/>
    <w:rsid w:val="004F7B65"/>
    <w:rsid w:val="00500B12"/>
    <w:rsid w:val="00501A7F"/>
    <w:rsid w:val="00502FBD"/>
    <w:rsid w:val="00503094"/>
    <w:rsid w:val="00503160"/>
    <w:rsid w:val="0050380E"/>
    <w:rsid w:val="005075CF"/>
    <w:rsid w:val="0050782A"/>
    <w:rsid w:val="00507BAD"/>
    <w:rsid w:val="005116A3"/>
    <w:rsid w:val="00511BE9"/>
    <w:rsid w:val="00512B18"/>
    <w:rsid w:val="00513CC1"/>
    <w:rsid w:val="005143E4"/>
    <w:rsid w:val="00514894"/>
    <w:rsid w:val="005153C9"/>
    <w:rsid w:val="00516308"/>
    <w:rsid w:val="00516593"/>
    <w:rsid w:val="00516899"/>
    <w:rsid w:val="005170F4"/>
    <w:rsid w:val="005171C2"/>
    <w:rsid w:val="00517985"/>
    <w:rsid w:val="00517EF5"/>
    <w:rsid w:val="00517F5F"/>
    <w:rsid w:val="0052057E"/>
    <w:rsid w:val="00520C57"/>
    <w:rsid w:val="00521040"/>
    <w:rsid w:val="0052324D"/>
    <w:rsid w:val="00524192"/>
    <w:rsid w:val="00524482"/>
    <w:rsid w:val="005262E3"/>
    <w:rsid w:val="005265AF"/>
    <w:rsid w:val="00527509"/>
    <w:rsid w:val="005279DF"/>
    <w:rsid w:val="0053071B"/>
    <w:rsid w:val="0053112F"/>
    <w:rsid w:val="00531621"/>
    <w:rsid w:val="005320EC"/>
    <w:rsid w:val="0053263D"/>
    <w:rsid w:val="00533071"/>
    <w:rsid w:val="005347EC"/>
    <w:rsid w:val="005353A0"/>
    <w:rsid w:val="0053637C"/>
    <w:rsid w:val="00537A9E"/>
    <w:rsid w:val="00541065"/>
    <w:rsid w:val="0054181A"/>
    <w:rsid w:val="00541900"/>
    <w:rsid w:val="00541EBD"/>
    <w:rsid w:val="0054321D"/>
    <w:rsid w:val="00544027"/>
    <w:rsid w:val="00544EFE"/>
    <w:rsid w:val="005450B0"/>
    <w:rsid w:val="00545DA3"/>
    <w:rsid w:val="0054643B"/>
    <w:rsid w:val="00547219"/>
    <w:rsid w:val="00547F30"/>
    <w:rsid w:val="00547F79"/>
    <w:rsid w:val="00552B27"/>
    <w:rsid w:val="0055312D"/>
    <w:rsid w:val="00554177"/>
    <w:rsid w:val="00554571"/>
    <w:rsid w:val="0055458D"/>
    <w:rsid w:val="00554B1C"/>
    <w:rsid w:val="005553C8"/>
    <w:rsid w:val="00555415"/>
    <w:rsid w:val="00556339"/>
    <w:rsid w:val="005573DA"/>
    <w:rsid w:val="005618B7"/>
    <w:rsid w:val="00561A80"/>
    <w:rsid w:val="00561C72"/>
    <w:rsid w:val="00561F5E"/>
    <w:rsid w:val="00562991"/>
    <w:rsid w:val="00563C05"/>
    <w:rsid w:val="00563C46"/>
    <w:rsid w:val="00563D9C"/>
    <w:rsid w:val="00564E62"/>
    <w:rsid w:val="00565756"/>
    <w:rsid w:val="005663AC"/>
    <w:rsid w:val="005663ED"/>
    <w:rsid w:val="00567849"/>
    <w:rsid w:val="005678DC"/>
    <w:rsid w:val="00570AF1"/>
    <w:rsid w:val="00570AFE"/>
    <w:rsid w:val="005711AC"/>
    <w:rsid w:val="00571B34"/>
    <w:rsid w:val="005727F9"/>
    <w:rsid w:val="00572C2E"/>
    <w:rsid w:val="005737E1"/>
    <w:rsid w:val="00573E74"/>
    <w:rsid w:val="00574657"/>
    <w:rsid w:val="00574A02"/>
    <w:rsid w:val="00574F2C"/>
    <w:rsid w:val="005750F4"/>
    <w:rsid w:val="00576223"/>
    <w:rsid w:val="00580E38"/>
    <w:rsid w:val="00580FE0"/>
    <w:rsid w:val="005813AD"/>
    <w:rsid w:val="0058231D"/>
    <w:rsid w:val="0058321F"/>
    <w:rsid w:val="005835CD"/>
    <w:rsid w:val="005840D1"/>
    <w:rsid w:val="0058420F"/>
    <w:rsid w:val="00584234"/>
    <w:rsid w:val="00585A0E"/>
    <w:rsid w:val="005870CB"/>
    <w:rsid w:val="0058719B"/>
    <w:rsid w:val="005876CF"/>
    <w:rsid w:val="00587893"/>
    <w:rsid w:val="005879BB"/>
    <w:rsid w:val="00587D90"/>
    <w:rsid w:val="00590F50"/>
    <w:rsid w:val="00592D06"/>
    <w:rsid w:val="005934A3"/>
    <w:rsid w:val="00594936"/>
    <w:rsid w:val="00594F45"/>
    <w:rsid w:val="005953F7"/>
    <w:rsid w:val="00595AEF"/>
    <w:rsid w:val="00597118"/>
    <w:rsid w:val="00597EA7"/>
    <w:rsid w:val="005A0076"/>
    <w:rsid w:val="005A050A"/>
    <w:rsid w:val="005A05F3"/>
    <w:rsid w:val="005A0E1E"/>
    <w:rsid w:val="005A1C0A"/>
    <w:rsid w:val="005A2A36"/>
    <w:rsid w:val="005A463E"/>
    <w:rsid w:val="005A4683"/>
    <w:rsid w:val="005A5222"/>
    <w:rsid w:val="005A5BBD"/>
    <w:rsid w:val="005A6BD9"/>
    <w:rsid w:val="005A6F8E"/>
    <w:rsid w:val="005B26C0"/>
    <w:rsid w:val="005B2EEA"/>
    <w:rsid w:val="005B3168"/>
    <w:rsid w:val="005B31F1"/>
    <w:rsid w:val="005B3A68"/>
    <w:rsid w:val="005B4239"/>
    <w:rsid w:val="005B448B"/>
    <w:rsid w:val="005B4521"/>
    <w:rsid w:val="005B6088"/>
    <w:rsid w:val="005B7901"/>
    <w:rsid w:val="005C000C"/>
    <w:rsid w:val="005C0112"/>
    <w:rsid w:val="005C0993"/>
    <w:rsid w:val="005C0D7B"/>
    <w:rsid w:val="005C0E19"/>
    <w:rsid w:val="005C112D"/>
    <w:rsid w:val="005C35D7"/>
    <w:rsid w:val="005C594C"/>
    <w:rsid w:val="005C6468"/>
    <w:rsid w:val="005C679D"/>
    <w:rsid w:val="005C7AF1"/>
    <w:rsid w:val="005D0198"/>
    <w:rsid w:val="005D106D"/>
    <w:rsid w:val="005D1262"/>
    <w:rsid w:val="005D186F"/>
    <w:rsid w:val="005D23A9"/>
    <w:rsid w:val="005D2906"/>
    <w:rsid w:val="005D3296"/>
    <w:rsid w:val="005D3D96"/>
    <w:rsid w:val="005D4164"/>
    <w:rsid w:val="005D4A8A"/>
    <w:rsid w:val="005D519C"/>
    <w:rsid w:val="005D5212"/>
    <w:rsid w:val="005D5310"/>
    <w:rsid w:val="005D569C"/>
    <w:rsid w:val="005D63F6"/>
    <w:rsid w:val="005D6690"/>
    <w:rsid w:val="005D6A81"/>
    <w:rsid w:val="005D6B54"/>
    <w:rsid w:val="005D6C25"/>
    <w:rsid w:val="005D6E23"/>
    <w:rsid w:val="005D7D9D"/>
    <w:rsid w:val="005E03B3"/>
    <w:rsid w:val="005E1EA8"/>
    <w:rsid w:val="005E235F"/>
    <w:rsid w:val="005E2B6F"/>
    <w:rsid w:val="005E3DBD"/>
    <w:rsid w:val="005E4581"/>
    <w:rsid w:val="005E4846"/>
    <w:rsid w:val="005E6196"/>
    <w:rsid w:val="005E6F8F"/>
    <w:rsid w:val="005E73C4"/>
    <w:rsid w:val="005E7C0D"/>
    <w:rsid w:val="005F03C8"/>
    <w:rsid w:val="005F07BE"/>
    <w:rsid w:val="005F1E5A"/>
    <w:rsid w:val="005F1F09"/>
    <w:rsid w:val="005F59C3"/>
    <w:rsid w:val="005F6CA5"/>
    <w:rsid w:val="005F6ECE"/>
    <w:rsid w:val="005F7D4B"/>
    <w:rsid w:val="005F7DEC"/>
    <w:rsid w:val="006006FA"/>
    <w:rsid w:val="006013D9"/>
    <w:rsid w:val="006014B7"/>
    <w:rsid w:val="00601E12"/>
    <w:rsid w:val="006025E0"/>
    <w:rsid w:val="00602963"/>
    <w:rsid w:val="00606517"/>
    <w:rsid w:val="006070F9"/>
    <w:rsid w:val="00607371"/>
    <w:rsid w:val="00607435"/>
    <w:rsid w:val="0061023C"/>
    <w:rsid w:val="00610742"/>
    <w:rsid w:val="00611D56"/>
    <w:rsid w:val="0061235E"/>
    <w:rsid w:val="006127ED"/>
    <w:rsid w:val="00614AD3"/>
    <w:rsid w:val="00615325"/>
    <w:rsid w:val="0061577C"/>
    <w:rsid w:val="00615B5A"/>
    <w:rsid w:val="006168E4"/>
    <w:rsid w:val="00616FF3"/>
    <w:rsid w:val="006214D4"/>
    <w:rsid w:val="00621E96"/>
    <w:rsid w:val="00621ECC"/>
    <w:rsid w:val="00622205"/>
    <w:rsid w:val="006228BD"/>
    <w:rsid w:val="00622B66"/>
    <w:rsid w:val="00622F0A"/>
    <w:rsid w:val="00623B60"/>
    <w:rsid w:val="006246BE"/>
    <w:rsid w:val="00624B52"/>
    <w:rsid w:val="00625633"/>
    <w:rsid w:val="0063072C"/>
    <w:rsid w:val="00632BA1"/>
    <w:rsid w:val="00633728"/>
    <w:rsid w:val="006340CD"/>
    <w:rsid w:val="00634E94"/>
    <w:rsid w:val="00635652"/>
    <w:rsid w:val="00637297"/>
    <w:rsid w:val="00637513"/>
    <w:rsid w:val="00640B1B"/>
    <w:rsid w:val="00642370"/>
    <w:rsid w:val="00642629"/>
    <w:rsid w:val="00642EEA"/>
    <w:rsid w:val="00643E2E"/>
    <w:rsid w:val="006448FC"/>
    <w:rsid w:val="0064499A"/>
    <w:rsid w:val="00647440"/>
    <w:rsid w:val="00651613"/>
    <w:rsid w:val="00652537"/>
    <w:rsid w:val="0065283E"/>
    <w:rsid w:val="00653305"/>
    <w:rsid w:val="0065437E"/>
    <w:rsid w:val="00654AF4"/>
    <w:rsid w:val="00655949"/>
    <w:rsid w:val="00657CC8"/>
    <w:rsid w:val="00657FB9"/>
    <w:rsid w:val="00660054"/>
    <w:rsid w:val="00660494"/>
    <w:rsid w:val="006612A2"/>
    <w:rsid w:val="006616C5"/>
    <w:rsid w:val="00661E4B"/>
    <w:rsid w:val="00661F74"/>
    <w:rsid w:val="00662472"/>
    <w:rsid w:val="00662FC9"/>
    <w:rsid w:val="006637DA"/>
    <w:rsid w:val="00665A19"/>
    <w:rsid w:val="00665FA4"/>
    <w:rsid w:val="00667465"/>
    <w:rsid w:val="00667D22"/>
    <w:rsid w:val="00667E24"/>
    <w:rsid w:val="006701C3"/>
    <w:rsid w:val="00671B2E"/>
    <w:rsid w:val="00672366"/>
    <w:rsid w:val="00672D21"/>
    <w:rsid w:val="00675698"/>
    <w:rsid w:val="0067609B"/>
    <w:rsid w:val="00677038"/>
    <w:rsid w:val="00677E2F"/>
    <w:rsid w:val="00680017"/>
    <w:rsid w:val="0068063B"/>
    <w:rsid w:val="00680CF2"/>
    <w:rsid w:val="00681167"/>
    <w:rsid w:val="00681410"/>
    <w:rsid w:val="0068188B"/>
    <w:rsid w:val="00682354"/>
    <w:rsid w:val="00682F0D"/>
    <w:rsid w:val="00682F37"/>
    <w:rsid w:val="00684579"/>
    <w:rsid w:val="0068524D"/>
    <w:rsid w:val="006855C7"/>
    <w:rsid w:val="0068661B"/>
    <w:rsid w:val="00686BAC"/>
    <w:rsid w:val="006873B8"/>
    <w:rsid w:val="00690383"/>
    <w:rsid w:val="006920A8"/>
    <w:rsid w:val="006935A7"/>
    <w:rsid w:val="006944A2"/>
    <w:rsid w:val="006944F4"/>
    <w:rsid w:val="00694EED"/>
    <w:rsid w:val="006964B2"/>
    <w:rsid w:val="00696D78"/>
    <w:rsid w:val="006973B4"/>
    <w:rsid w:val="006A03CF"/>
    <w:rsid w:val="006A06B0"/>
    <w:rsid w:val="006A108C"/>
    <w:rsid w:val="006A28F9"/>
    <w:rsid w:val="006A2B8E"/>
    <w:rsid w:val="006A2F0E"/>
    <w:rsid w:val="006A34C2"/>
    <w:rsid w:val="006A3DDB"/>
    <w:rsid w:val="006A4D8A"/>
    <w:rsid w:val="006A50E5"/>
    <w:rsid w:val="006A59ED"/>
    <w:rsid w:val="006A6D2D"/>
    <w:rsid w:val="006A7286"/>
    <w:rsid w:val="006B0AB4"/>
    <w:rsid w:val="006B17EE"/>
    <w:rsid w:val="006B1F18"/>
    <w:rsid w:val="006B35F1"/>
    <w:rsid w:val="006B4213"/>
    <w:rsid w:val="006B4474"/>
    <w:rsid w:val="006B4A28"/>
    <w:rsid w:val="006B4C18"/>
    <w:rsid w:val="006B53B8"/>
    <w:rsid w:val="006B65A3"/>
    <w:rsid w:val="006B66CD"/>
    <w:rsid w:val="006B76F5"/>
    <w:rsid w:val="006B7F9A"/>
    <w:rsid w:val="006B7FA9"/>
    <w:rsid w:val="006C1134"/>
    <w:rsid w:val="006C181A"/>
    <w:rsid w:val="006C2949"/>
    <w:rsid w:val="006C2A14"/>
    <w:rsid w:val="006C552B"/>
    <w:rsid w:val="006C55CF"/>
    <w:rsid w:val="006C5A40"/>
    <w:rsid w:val="006C6A10"/>
    <w:rsid w:val="006D0001"/>
    <w:rsid w:val="006D04EA"/>
    <w:rsid w:val="006D0B8D"/>
    <w:rsid w:val="006D1535"/>
    <w:rsid w:val="006D16F4"/>
    <w:rsid w:val="006D18DB"/>
    <w:rsid w:val="006D34F8"/>
    <w:rsid w:val="006D4FB8"/>
    <w:rsid w:val="006D52D4"/>
    <w:rsid w:val="006D54B5"/>
    <w:rsid w:val="006D5ACF"/>
    <w:rsid w:val="006D5F7C"/>
    <w:rsid w:val="006D6A81"/>
    <w:rsid w:val="006E00BF"/>
    <w:rsid w:val="006E25DE"/>
    <w:rsid w:val="006E2896"/>
    <w:rsid w:val="006E2CCD"/>
    <w:rsid w:val="006E3299"/>
    <w:rsid w:val="006E3B4B"/>
    <w:rsid w:val="006E3E44"/>
    <w:rsid w:val="006E4218"/>
    <w:rsid w:val="006E4422"/>
    <w:rsid w:val="006E54DD"/>
    <w:rsid w:val="006E5677"/>
    <w:rsid w:val="006E5EB4"/>
    <w:rsid w:val="006E6038"/>
    <w:rsid w:val="006E66D3"/>
    <w:rsid w:val="006E6A0F"/>
    <w:rsid w:val="006E7E8E"/>
    <w:rsid w:val="006E7F43"/>
    <w:rsid w:val="006F094E"/>
    <w:rsid w:val="006F1190"/>
    <w:rsid w:val="006F26FB"/>
    <w:rsid w:val="006F2E48"/>
    <w:rsid w:val="006F32E1"/>
    <w:rsid w:val="006F35E3"/>
    <w:rsid w:val="006F3FB3"/>
    <w:rsid w:val="006F4FB8"/>
    <w:rsid w:val="006F591E"/>
    <w:rsid w:val="006F5F4A"/>
    <w:rsid w:val="006F6EC0"/>
    <w:rsid w:val="006F73ED"/>
    <w:rsid w:val="0070108E"/>
    <w:rsid w:val="007013E7"/>
    <w:rsid w:val="0070156E"/>
    <w:rsid w:val="0070327B"/>
    <w:rsid w:val="00704A1C"/>
    <w:rsid w:val="00704AB8"/>
    <w:rsid w:val="00704F0D"/>
    <w:rsid w:val="0070513B"/>
    <w:rsid w:val="00705593"/>
    <w:rsid w:val="00705688"/>
    <w:rsid w:val="00710940"/>
    <w:rsid w:val="00710E77"/>
    <w:rsid w:val="007112E8"/>
    <w:rsid w:val="00711E36"/>
    <w:rsid w:val="007126A0"/>
    <w:rsid w:val="007126E2"/>
    <w:rsid w:val="0071541D"/>
    <w:rsid w:val="007162F8"/>
    <w:rsid w:val="0071635E"/>
    <w:rsid w:val="00716B85"/>
    <w:rsid w:val="00716BD9"/>
    <w:rsid w:val="00716F79"/>
    <w:rsid w:val="00717963"/>
    <w:rsid w:val="00717F76"/>
    <w:rsid w:val="00717FB8"/>
    <w:rsid w:val="007201D2"/>
    <w:rsid w:val="00720D80"/>
    <w:rsid w:val="00721D7B"/>
    <w:rsid w:val="0072208B"/>
    <w:rsid w:val="00723401"/>
    <w:rsid w:val="007243DC"/>
    <w:rsid w:val="0072620E"/>
    <w:rsid w:val="0072684B"/>
    <w:rsid w:val="00726C19"/>
    <w:rsid w:val="00726C34"/>
    <w:rsid w:val="007276C8"/>
    <w:rsid w:val="00727C6F"/>
    <w:rsid w:val="0073197C"/>
    <w:rsid w:val="00734F37"/>
    <w:rsid w:val="00735DE5"/>
    <w:rsid w:val="007362CA"/>
    <w:rsid w:val="00736A9D"/>
    <w:rsid w:val="00736F71"/>
    <w:rsid w:val="00737E13"/>
    <w:rsid w:val="00740F0B"/>
    <w:rsid w:val="00741F96"/>
    <w:rsid w:val="00742D92"/>
    <w:rsid w:val="00742F91"/>
    <w:rsid w:val="00743121"/>
    <w:rsid w:val="007433E4"/>
    <w:rsid w:val="00744E1B"/>
    <w:rsid w:val="0074541B"/>
    <w:rsid w:val="00745AEC"/>
    <w:rsid w:val="00746C9E"/>
    <w:rsid w:val="00746D25"/>
    <w:rsid w:val="00747A41"/>
    <w:rsid w:val="00750892"/>
    <w:rsid w:val="00750C42"/>
    <w:rsid w:val="007514C4"/>
    <w:rsid w:val="007514D3"/>
    <w:rsid w:val="00751E81"/>
    <w:rsid w:val="007523CD"/>
    <w:rsid w:val="00754483"/>
    <w:rsid w:val="00754C83"/>
    <w:rsid w:val="0075534F"/>
    <w:rsid w:val="00755AF3"/>
    <w:rsid w:val="00755EA6"/>
    <w:rsid w:val="00756ED5"/>
    <w:rsid w:val="00757039"/>
    <w:rsid w:val="007577F5"/>
    <w:rsid w:val="00757C23"/>
    <w:rsid w:val="00757E2A"/>
    <w:rsid w:val="00757E59"/>
    <w:rsid w:val="007635AF"/>
    <w:rsid w:val="00763672"/>
    <w:rsid w:val="007639A0"/>
    <w:rsid w:val="00764F35"/>
    <w:rsid w:val="0076550B"/>
    <w:rsid w:val="00766777"/>
    <w:rsid w:val="007673CA"/>
    <w:rsid w:val="007703FC"/>
    <w:rsid w:val="007709D1"/>
    <w:rsid w:val="00770A3D"/>
    <w:rsid w:val="00772A7E"/>
    <w:rsid w:val="00772C09"/>
    <w:rsid w:val="00773428"/>
    <w:rsid w:val="007741FD"/>
    <w:rsid w:val="007748FF"/>
    <w:rsid w:val="00774F25"/>
    <w:rsid w:val="007752C7"/>
    <w:rsid w:val="007756EB"/>
    <w:rsid w:val="00775B10"/>
    <w:rsid w:val="007766E3"/>
    <w:rsid w:val="00777E08"/>
    <w:rsid w:val="00781182"/>
    <w:rsid w:val="00781403"/>
    <w:rsid w:val="00781AB0"/>
    <w:rsid w:val="00781AB2"/>
    <w:rsid w:val="0078302A"/>
    <w:rsid w:val="007862E6"/>
    <w:rsid w:val="00786545"/>
    <w:rsid w:val="00787190"/>
    <w:rsid w:val="007872FE"/>
    <w:rsid w:val="00787334"/>
    <w:rsid w:val="00792790"/>
    <w:rsid w:val="00793B4D"/>
    <w:rsid w:val="00793BF8"/>
    <w:rsid w:val="00794269"/>
    <w:rsid w:val="007951E7"/>
    <w:rsid w:val="00795716"/>
    <w:rsid w:val="00796C06"/>
    <w:rsid w:val="0079766C"/>
    <w:rsid w:val="0079799D"/>
    <w:rsid w:val="00797B57"/>
    <w:rsid w:val="00797E3C"/>
    <w:rsid w:val="007A0D60"/>
    <w:rsid w:val="007A15FF"/>
    <w:rsid w:val="007A1F6F"/>
    <w:rsid w:val="007A22D8"/>
    <w:rsid w:val="007A339F"/>
    <w:rsid w:val="007A48B5"/>
    <w:rsid w:val="007A64B5"/>
    <w:rsid w:val="007B04CD"/>
    <w:rsid w:val="007B083D"/>
    <w:rsid w:val="007B09AA"/>
    <w:rsid w:val="007B4ADC"/>
    <w:rsid w:val="007B678B"/>
    <w:rsid w:val="007B7037"/>
    <w:rsid w:val="007B7759"/>
    <w:rsid w:val="007C18AA"/>
    <w:rsid w:val="007C1BEA"/>
    <w:rsid w:val="007C209A"/>
    <w:rsid w:val="007C3A6E"/>
    <w:rsid w:val="007C3B60"/>
    <w:rsid w:val="007C4844"/>
    <w:rsid w:val="007C4C3C"/>
    <w:rsid w:val="007C4C7E"/>
    <w:rsid w:val="007C4E0F"/>
    <w:rsid w:val="007C5E5B"/>
    <w:rsid w:val="007C68CE"/>
    <w:rsid w:val="007C6F33"/>
    <w:rsid w:val="007D086F"/>
    <w:rsid w:val="007D0B1B"/>
    <w:rsid w:val="007D0B77"/>
    <w:rsid w:val="007D1713"/>
    <w:rsid w:val="007D2C0A"/>
    <w:rsid w:val="007D38A1"/>
    <w:rsid w:val="007D49D5"/>
    <w:rsid w:val="007D7393"/>
    <w:rsid w:val="007D74DB"/>
    <w:rsid w:val="007E11E9"/>
    <w:rsid w:val="007E3D70"/>
    <w:rsid w:val="007E46F8"/>
    <w:rsid w:val="007E51D0"/>
    <w:rsid w:val="007E610D"/>
    <w:rsid w:val="007E7089"/>
    <w:rsid w:val="007F0853"/>
    <w:rsid w:val="007F0E30"/>
    <w:rsid w:val="007F2170"/>
    <w:rsid w:val="007F2C10"/>
    <w:rsid w:val="007F4F83"/>
    <w:rsid w:val="007F5737"/>
    <w:rsid w:val="007F603B"/>
    <w:rsid w:val="007F7C9A"/>
    <w:rsid w:val="00800126"/>
    <w:rsid w:val="00800A22"/>
    <w:rsid w:val="00800F4B"/>
    <w:rsid w:val="00801203"/>
    <w:rsid w:val="00801CC4"/>
    <w:rsid w:val="00802680"/>
    <w:rsid w:val="00803612"/>
    <w:rsid w:val="00803734"/>
    <w:rsid w:val="008045E6"/>
    <w:rsid w:val="00804935"/>
    <w:rsid w:val="00804E19"/>
    <w:rsid w:val="00804F66"/>
    <w:rsid w:val="0080580E"/>
    <w:rsid w:val="00806FAF"/>
    <w:rsid w:val="00806FCC"/>
    <w:rsid w:val="008079BB"/>
    <w:rsid w:val="00810027"/>
    <w:rsid w:val="00810587"/>
    <w:rsid w:val="00810D0D"/>
    <w:rsid w:val="00810E17"/>
    <w:rsid w:val="00811836"/>
    <w:rsid w:val="00811948"/>
    <w:rsid w:val="0081228A"/>
    <w:rsid w:val="008133BC"/>
    <w:rsid w:val="0081432A"/>
    <w:rsid w:val="0081705C"/>
    <w:rsid w:val="00817BEE"/>
    <w:rsid w:val="00820557"/>
    <w:rsid w:val="008217A6"/>
    <w:rsid w:val="00821E12"/>
    <w:rsid w:val="00822C27"/>
    <w:rsid w:val="008243DD"/>
    <w:rsid w:val="00825773"/>
    <w:rsid w:val="00825D87"/>
    <w:rsid w:val="00826765"/>
    <w:rsid w:val="00826ADC"/>
    <w:rsid w:val="008273DC"/>
    <w:rsid w:val="00830126"/>
    <w:rsid w:val="00831B02"/>
    <w:rsid w:val="00832C0B"/>
    <w:rsid w:val="00832C23"/>
    <w:rsid w:val="0083347C"/>
    <w:rsid w:val="00834233"/>
    <w:rsid w:val="0083650E"/>
    <w:rsid w:val="00836B45"/>
    <w:rsid w:val="00837019"/>
    <w:rsid w:val="00837616"/>
    <w:rsid w:val="008377CF"/>
    <w:rsid w:val="00840E15"/>
    <w:rsid w:val="008410EF"/>
    <w:rsid w:val="00841AA3"/>
    <w:rsid w:val="00841BDA"/>
    <w:rsid w:val="00842720"/>
    <w:rsid w:val="00843033"/>
    <w:rsid w:val="00843100"/>
    <w:rsid w:val="0084366E"/>
    <w:rsid w:val="00844285"/>
    <w:rsid w:val="008442C5"/>
    <w:rsid w:val="00845016"/>
    <w:rsid w:val="00845D61"/>
    <w:rsid w:val="00846260"/>
    <w:rsid w:val="0084627A"/>
    <w:rsid w:val="008467C0"/>
    <w:rsid w:val="00846F3F"/>
    <w:rsid w:val="008473EF"/>
    <w:rsid w:val="00850533"/>
    <w:rsid w:val="00850558"/>
    <w:rsid w:val="0085130C"/>
    <w:rsid w:val="00851C13"/>
    <w:rsid w:val="0085228D"/>
    <w:rsid w:val="008527AE"/>
    <w:rsid w:val="0085327D"/>
    <w:rsid w:val="008533F7"/>
    <w:rsid w:val="00853420"/>
    <w:rsid w:val="00853BCE"/>
    <w:rsid w:val="00855040"/>
    <w:rsid w:val="00855536"/>
    <w:rsid w:val="00856E33"/>
    <w:rsid w:val="00857CA3"/>
    <w:rsid w:val="00860900"/>
    <w:rsid w:val="00861184"/>
    <w:rsid w:val="00861522"/>
    <w:rsid w:val="00861529"/>
    <w:rsid w:val="008615BE"/>
    <w:rsid w:val="00861E55"/>
    <w:rsid w:val="00862801"/>
    <w:rsid w:val="00862A13"/>
    <w:rsid w:val="008635A5"/>
    <w:rsid w:val="00863F76"/>
    <w:rsid w:val="00864222"/>
    <w:rsid w:val="008646E2"/>
    <w:rsid w:val="00864F9A"/>
    <w:rsid w:val="00865381"/>
    <w:rsid w:val="008658E0"/>
    <w:rsid w:val="008660F6"/>
    <w:rsid w:val="00866ABA"/>
    <w:rsid w:val="008675DF"/>
    <w:rsid w:val="00867AF4"/>
    <w:rsid w:val="00870F7C"/>
    <w:rsid w:val="0087103B"/>
    <w:rsid w:val="00871433"/>
    <w:rsid w:val="00872229"/>
    <w:rsid w:val="008734B5"/>
    <w:rsid w:val="00873D99"/>
    <w:rsid w:val="00873E18"/>
    <w:rsid w:val="00874D59"/>
    <w:rsid w:val="00875EEE"/>
    <w:rsid w:val="00876D19"/>
    <w:rsid w:val="00876FE9"/>
    <w:rsid w:val="008779BE"/>
    <w:rsid w:val="00877E3D"/>
    <w:rsid w:val="008805D5"/>
    <w:rsid w:val="00880C2C"/>
    <w:rsid w:val="008824B2"/>
    <w:rsid w:val="00882A27"/>
    <w:rsid w:val="008853D5"/>
    <w:rsid w:val="0088575B"/>
    <w:rsid w:val="0088776A"/>
    <w:rsid w:val="008912EF"/>
    <w:rsid w:val="0089172C"/>
    <w:rsid w:val="00891B38"/>
    <w:rsid w:val="00891E8E"/>
    <w:rsid w:val="0089227E"/>
    <w:rsid w:val="00892E9D"/>
    <w:rsid w:val="0089319F"/>
    <w:rsid w:val="00893971"/>
    <w:rsid w:val="00893F25"/>
    <w:rsid w:val="00894A15"/>
    <w:rsid w:val="008953F6"/>
    <w:rsid w:val="00896D4B"/>
    <w:rsid w:val="008974D3"/>
    <w:rsid w:val="0089778B"/>
    <w:rsid w:val="00897AA8"/>
    <w:rsid w:val="008A2453"/>
    <w:rsid w:val="008A298B"/>
    <w:rsid w:val="008A2B95"/>
    <w:rsid w:val="008A4209"/>
    <w:rsid w:val="008A7984"/>
    <w:rsid w:val="008A7AFD"/>
    <w:rsid w:val="008B1C66"/>
    <w:rsid w:val="008B27B5"/>
    <w:rsid w:val="008B2C3A"/>
    <w:rsid w:val="008B3215"/>
    <w:rsid w:val="008B32CB"/>
    <w:rsid w:val="008B3498"/>
    <w:rsid w:val="008B35DA"/>
    <w:rsid w:val="008B4E02"/>
    <w:rsid w:val="008B4F2D"/>
    <w:rsid w:val="008B5282"/>
    <w:rsid w:val="008B5C34"/>
    <w:rsid w:val="008B5FBE"/>
    <w:rsid w:val="008B639D"/>
    <w:rsid w:val="008B677B"/>
    <w:rsid w:val="008B7D92"/>
    <w:rsid w:val="008B7ECD"/>
    <w:rsid w:val="008C19D9"/>
    <w:rsid w:val="008C1A9B"/>
    <w:rsid w:val="008C2C00"/>
    <w:rsid w:val="008C34E6"/>
    <w:rsid w:val="008C3F3A"/>
    <w:rsid w:val="008C4353"/>
    <w:rsid w:val="008C4ABE"/>
    <w:rsid w:val="008C4B90"/>
    <w:rsid w:val="008C6026"/>
    <w:rsid w:val="008C6A6B"/>
    <w:rsid w:val="008C6B70"/>
    <w:rsid w:val="008C6D4A"/>
    <w:rsid w:val="008C6E2D"/>
    <w:rsid w:val="008C7CC0"/>
    <w:rsid w:val="008D042F"/>
    <w:rsid w:val="008D05B9"/>
    <w:rsid w:val="008D1464"/>
    <w:rsid w:val="008D1F6C"/>
    <w:rsid w:val="008D3AC6"/>
    <w:rsid w:val="008D4A14"/>
    <w:rsid w:val="008D5670"/>
    <w:rsid w:val="008D5D6D"/>
    <w:rsid w:val="008D6905"/>
    <w:rsid w:val="008D6E95"/>
    <w:rsid w:val="008E2EB9"/>
    <w:rsid w:val="008E30DC"/>
    <w:rsid w:val="008E59AF"/>
    <w:rsid w:val="008E6CD3"/>
    <w:rsid w:val="008F00E0"/>
    <w:rsid w:val="008F02DC"/>
    <w:rsid w:val="008F0E1D"/>
    <w:rsid w:val="008F2A9A"/>
    <w:rsid w:val="008F2BBA"/>
    <w:rsid w:val="008F39AA"/>
    <w:rsid w:val="008F5362"/>
    <w:rsid w:val="008F5464"/>
    <w:rsid w:val="008F6E4F"/>
    <w:rsid w:val="008F7D32"/>
    <w:rsid w:val="008F7DF9"/>
    <w:rsid w:val="008F7FF5"/>
    <w:rsid w:val="00900121"/>
    <w:rsid w:val="00903166"/>
    <w:rsid w:val="00904CAD"/>
    <w:rsid w:val="00905590"/>
    <w:rsid w:val="00905EAA"/>
    <w:rsid w:val="009073E1"/>
    <w:rsid w:val="00910226"/>
    <w:rsid w:val="0091042C"/>
    <w:rsid w:val="0091069A"/>
    <w:rsid w:val="00911995"/>
    <w:rsid w:val="009119DF"/>
    <w:rsid w:val="00911A5B"/>
    <w:rsid w:val="00913217"/>
    <w:rsid w:val="009136B9"/>
    <w:rsid w:val="00916F06"/>
    <w:rsid w:val="00920897"/>
    <w:rsid w:val="00920908"/>
    <w:rsid w:val="0092109F"/>
    <w:rsid w:val="00922A17"/>
    <w:rsid w:val="00922D0D"/>
    <w:rsid w:val="009243E0"/>
    <w:rsid w:val="00924741"/>
    <w:rsid w:val="00924CFD"/>
    <w:rsid w:val="0092639A"/>
    <w:rsid w:val="00926718"/>
    <w:rsid w:val="00926756"/>
    <w:rsid w:val="00926EDD"/>
    <w:rsid w:val="00927515"/>
    <w:rsid w:val="0092769A"/>
    <w:rsid w:val="009319D6"/>
    <w:rsid w:val="00932979"/>
    <w:rsid w:val="00932DE2"/>
    <w:rsid w:val="00933014"/>
    <w:rsid w:val="00934252"/>
    <w:rsid w:val="00935A2E"/>
    <w:rsid w:val="00935EBD"/>
    <w:rsid w:val="00935FE2"/>
    <w:rsid w:val="00936CE1"/>
    <w:rsid w:val="009401EF"/>
    <w:rsid w:val="009405CC"/>
    <w:rsid w:val="00940AA9"/>
    <w:rsid w:val="00940FEC"/>
    <w:rsid w:val="00941930"/>
    <w:rsid w:val="00942753"/>
    <w:rsid w:val="00942CF9"/>
    <w:rsid w:val="00943364"/>
    <w:rsid w:val="00943A23"/>
    <w:rsid w:val="00943FD3"/>
    <w:rsid w:val="00944F55"/>
    <w:rsid w:val="00945627"/>
    <w:rsid w:val="009457FD"/>
    <w:rsid w:val="0095016E"/>
    <w:rsid w:val="009508F0"/>
    <w:rsid w:val="00950CD5"/>
    <w:rsid w:val="00951F55"/>
    <w:rsid w:val="00952539"/>
    <w:rsid w:val="00953029"/>
    <w:rsid w:val="009557FF"/>
    <w:rsid w:val="00955999"/>
    <w:rsid w:val="009601A6"/>
    <w:rsid w:val="0096130C"/>
    <w:rsid w:val="0096168E"/>
    <w:rsid w:val="00961A29"/>
    <w:rsid w:val="00962056"/>
    <w:rsid w:val="009622A1"/>
    <w:rsid w:val="00962B3A"/>
    <w:rsid w:val="00962CD5"/>
    <w:rsid w:val="00963E0E"/>
    <w:rsid w:val="00965E7E"/>
    <w:rsid w:val="009675E5"/>
    <w:rsid w:val="00971482"/>
    <w:rsid w:val="00972059"/>
    <w:rsid w:val="009721F3"/>
    <w:rsid w:val="00973738"/>
    <w:rsid w:val="00974CF9"/>
    <w:rsid w:val="00974E0C"/>
    <w:rsid w:val="009751CE"/>
    <w:rsid w:val="0097659F"/>
    <w:rsid w:val="009776F6"/>
    <w:rsid w:val="0098050B"/>
    <w:rsid w:val="00980B7E"/>
    <w:rsid w:val="00980C37"/>
    <w:rsid w:val="00980E26"/>
    <w:rsid w:val="00981493"/>
    <w:rsid w:val="00981835"/>
    <w:rsid w:val="00983AD6"/>
    <w:rsid w:val="009862F5"/>
    <w:rsid w:val="00986B6E"/>
    <w:rsid w:val="00986BDA"/>
    <w:rsid w:val="00986E70"/>
    <w:rsid w:val="0098757A"/>
    <w:rsid w:val="0098793E"/>
    <w:rsid w:val="00987B6D"/>
    <w:rsid w:val="00987D26"/>
    <w:rsid w:val="0099026A"/>
    <w:rsid w:val="009906FB"/>
    <w:rsid w:val="0099158F"/>
    <w:rsid w:val="00991CF4"/>
    <w:rsid w:val="00992146"/>
    <w:rsid w:val="00992178"/>
    <w:rsid w:val="0099255F"/>
    <w:rsid w:val="00993343"/>
    <w:rsid w:val="0099370B"/>
    <w:rsid w:val="00993AD0"/>
    <w:rsid w:val="00994474"/>
    <w:rsid w:val="00995192"/>
    <w:rsid w:val="009966EB"/>
    <w:rsid w:val="00997972"/>
    <w:rsid w:val="009A11CA"/>
    <w:rsid w:val="009A1E93"/>
    <w:rsid w:val="009A2EA0"/>
    <w:rsid w:val="009A4B2A"/>
    <w:rsid w:val="009A4E6B"/>
    <w:rsid w:val="009A5008"/>
    <w:rsid w:val="009A5F11"/>
    <w:rsid w:val="009A64CA"/>
    <w:rsid w:val="009A6BDA"/>
    <w:rsid w:val="009A6E0A"/>
    <w:rsid w:val="009A7BF4"/>
    <w:rsid w:val="009A7E0B"/>
    <w:rsid w:val="009B0224"/>
    <w:rsid w:val="009B0CAA"/>
    <w:rsid w:val="009B14E2"/>
    <w:rsid w:val="009B17C3"/>
    <w:rsid w:val="009B1B16"/>
    <w:rsid w:val="009B1B17"/>
    <w:rsid w:val="009B3A9B"/>
    <w:rsid w:val="009B666B"/>
    <w:rsid w:val="009B6BC2"/>
    <w:rsid w:val="009B70FB"/>
    <w:rsid w:val="009B711D"/>
    <w:rsid w:val="009B7BD0"/>
    <w:rsid w:val="009C0075"/>
    <w:rsid w:val="009C13DA"/>
    <w:rsid w:val="009C2755"/>
    <w:rsid w:val="009C36DF"/>
    <w:rsid w:val="009C3B27"/>
    <w:rsid w:val="009C3E4D"/>
    <w:rsid w:val="009C403D"/>
    <w:rsid w:val="009C425F"/>
    <w:rsid w:val="009C426A"/>
    <w:rsid w:val="009C436A"/>
    <w:rsid w:val="009C5F24"/>
    <w:rsid w:val="009C7C3C"/>
    <w:rsid w:val="009D0342"/>
    <w:rsid w:val="009D109C"/>
    <w:rsid w:val="009D132C"/>
    <w:rsid w:val="009D2F3E"/>
    <w:rsid w:val="009D36ED"/>
    <w:rsid w:val="009D4784"/>
    <w:rsid w:val="009D4C00"/>
    <w:rsid w:val="009D532E"/>
    <w:rsid w:val="009D5BE6"/>
    <w:rsid w:val="009E062B"/>
    <w:rsid w:val="009E0AF7"/>
    <w:rsid w:val="009E0CC3"/>
    <w:rsid w:val="009E0CF9"/>
    <w:rsid w:val="009E10EC"/>
    <w:rsid w:val="009E1299"/>
    <w:rsid w:val="009E325B"/>
    <w:rsid w:val="009E4656"/>
    <w:rsid w:val="009E4AFC"/>
    <w:rsid w:val="009E5592"/>
    <w:rsid w:val="009E6C84"/>
    <w:rsid w:val="009E7CF6"/>
    <w:rsid w:val="009F28D7"/>
    <w:rsid w:val="009F3148"/>
    <w:rsid w:val="009F35CA"/>
    <w:rsid w:val="009F36CA"/>
    <w:rsid w:val="009F407F"/>
    <w:rsid w:val="009F52C3"/>
    <w:rsid w:val="009F596B"/>
    <w:rsid w:val="009F5EF4"/>
    <w:rsid w:val="009F6C65"/>
    <w:rsid w:val="009F6EF7"/>
    <w:rsid w:val="009F7036"/>
    <w:rsid w:val="00A00F01"/>
    <w:rsid w:val="00A01294"/>
    <w:rsid w:val="00A02815"/>
    <w:rsid w:val="00A03F4D"/>
    <w:rsid w:val="00A04B33"/>
    <w:rsid w:val="00A04DD4"/>
    <w:rsid w:val="00A054A6"/>
    <w:rsid w:val="00A05B89"/>
    <w:rsid w:val="00A06FD8"/>
    <w:rsid w:val="00A078FA"/>
    <w:rsid w:val="00A07D52"/>
    <w:rsid w:val="00A07E1F"/>
    <w:rsid w:val="00A10335"/>
    <w:rsid w:val="00A1198D"/>
    <w:rsid w:val="00A13422"/>
    <w:rsid w:val="00A15E8F"/>
    <w:rsid w:val="00A16BAB"/>
    <w:rsid w:val="00A16D0E"/>
    <w:rsid w:val="00A1705A"/>
    <w:rsid w:val="00A177B0"/>
    <w:rsid w:val="00A213E3"/>
    <w:rsid w:val="00A213F2"/>
    <w:rsid w:val="00A22405"/>
    <w:rsid w:val="00A232E3"/>
    <w:rsid w:val="00A233F3"/>
    <w:rsid w:val="00A23475"/>
    <w:rsid w:val="00A23948"/>
    <w:rsid w:val="00A23FED"/>
    <w:rsid w:val="00A251D5"/>
    <w:rsid w:val="00A25921"/>
    <w:rsid w:val="00A26230"/>
    <w:rsid w:val="00A27519"/>
    <w:rsid w:val="00A305AA"/>
    <w:rsid w:val="00A316C0"/>
    <w:rsid w:val="00A31940"/>
    <w:rsid w:val="00A31B90"/>
    <w:rsid w:val="00A320DE"/>
    <w:rsid w:val="00A32644"/>
    <w:rsid w:val="00A32D09"/>
    <w:rsid w:val="00A3330A"/>
    <w:rsid w:val="00A33A84"/>
    <w:rsid w:val="00A33ABC"/>
    <w:rsid w:val="00A354F7"/>
    <w:rsid w:val="00A35C1D"/>
    <w:rsid w:val="00A35CC7"/>
    <w:rsid w:val="00A3781C"/>
    <w:rsid w:val="00A37DAF"/>
    <w:rsid w:val="00A41613"/>
    <w:rsid w:val="00A42936"/>
    <w:rsid w:val="00A4444B"/>
    <w:rsid w:val="00A446A3"/>
    <w:rsid w:val="00A44B97"/>
    <w:rsid w:val="00A44D87"/>
    <w:rsid w:val="00A44E44"/>
    <w:rsid w:val="00A455AB"/>
    <w:rsid w:val="00A456EA"/>
    <w:rsid w:val="00A47166"/>
    <w:rsid w:val="00A47203"/>
    <w:rsid w:val="00A47349"/>
    <w:rsid w:val="00A5092B"/>
    <w:rsid w:val="00A517F7"/>
    <w:rsid w:val="00A51955"/>
    <w:rsid w:val="00A51A78"/>
    <w:rsid w:val="00A526B8"/>
    <w:rsid w:val="00A530FF"/>
    <w:rsid w:val="00A5335F"/>
    <w:rsid w:val="00A54762"/>
    <w:rsid w:val="00A54A58"/>
    <w:rsid w:val="00A54D98"/>
    <w:rsid w:val="00A55237"/>
    <w:rsid w:val="00A561AB"/>
    <w:rsid w:val="00A56416"/>
    <w:rsid w:val="00A566A2"/>
    <w:rsid w:val="00A60057"/>
    <w:rsid w:val="00A606F9"/>
    <w:rsid w:val="00A60862"/>
    <w:rsid w:val="00A60867"/>
    <w:rsid w:val="00A613F5"/>
    <w:rsid w:val="00A61939"/>
    <w:rsid w:val="00A61CEF"/>
    <w:rsid w:val="00A62761"/>
    <w:rsid w:val="00A62A86"/>
    <w:rsid w:val="00A62E85"/>
    <w:rsid w:val="00A6348B"/>
    <w:rsid w:val="00A63BFE"/>
    <w:rsid w:val="00A64756"/>
    <w:rsid w:val="00A6513C"/>
    <w:rsid w:val="00A66D48"/>
    <w:rsid w:val="00A70236"/>
    <w:rsid w:val="00A71DEC"/>
    <w:rsid w:val="00A71DF2"/>
    <w:rsid w:val="00A72AD0"/>
    <w:rsid w:val="00A72C66"/>
    <w:rsid w:val="00A736A1"/>
    <w:rsid w:val="00A74452"/>
    <w:rsid w:val="00A74903"/>
    <w:rsid w:val="00A74B1A"/>
    <w:rsid w:val="00A778AA"/>
    <w:rsid w:val="00A80AF8"/>
    <w:rsid w:val="00A813C1"/>
    <w:rsid w:val="00A81A4F"/>
    <w:rsid w:val="00A83BDE"/>
    <w:rsid w:val="00A8423A"/>
    <w:rsid w:val="00A84990"/>
    <w:rsid w:val="00A84DEC"/>
    <w:rsid w:val="00A852B2"/>
    <w:rsid w:val="00A85E27"/>
    <w:rsid w:val="00A869C8"/>
    <w:rsid w:val="00A86F99"/>
    <w:rsid w:val="00A87411"/>
    <w:rsid w:val="00A87924"/>
    <w:rsid w:val="00A87B4E"/>
    <w:rsid w:val="00A923AA"/>
    <w:rsid w:val="00A92EF5"/>
    <w:rsid w:val="00A9370F"/>
    <w:rsid w:val="00A93D2D"/>
    <w:rsid w:val="00A94F2E"/>
    <w:rsid w:val="00A96088"/>
    <w:rsid w:val="00A9682A"/>
    <w:rsid w:val="00A969DA"/>
    <w:rsid w:val="00A979E9"/>
    <w:rsid w:val="00AA0A6F"/>
    <w:rsid w:val="00AA0F9D"/>
    <w:rsid w:val="00AA0FDC"/>
    <w:rsid w:val="00AA1CA8"/>
    <w:rsid w:val="00AA1DAD"/>
    <w:rsid w:val="00AA2170"/>
    <w:rsid w:val="00AA30E6"/>
    <w:rsid w:val="00AA3108"/>
    <w:rsid w:val="00AA3F8A"/>
    <w:rsid w:val="00AA494D"/>
    <w:rsid w:val="00AA4C4D"/>
    <w:rsid w:val="00AA7BFF"/>
    <w:rsid w:val="00AB0042"/>
    <w:rsid w:val="00AB092B"/>
    <w:rsid w:val="00AB104E"/>
    <w:rsid w:val="00AB10D5"/>
    <w:rsid w:val="00AB2434"/>
    <w:rsid w:val="00AB3095"/>
    <w:rsid w:val="00AB3DA3"/>
    <w:rsid w:val="00AB4944"/>
    <w:rsid w:val="00AB50BC"/>
    <w:rsid w:val="00AB5D58"/>
    <w:rsid w:val="00AB5E71"/>
    <w:rsid w:val="00AB60C1"/>
    <w:rsid w:val="00AB61CC"/>
    <w:rsid w:val="00AB695F"/>
    <w:rsid w:val="00AB77B5"/>
    <w:rsid w:val="00AC034B"/>
    <w:rsid w:val="00AC06E2"/>
    <w:rsid w:val="00AC1AF2"/>
    <w:rsid w:val="00AC2164"/>
    <w:rsid w:val="00AC3CDF"/>
    <w:rsid w:val="00AC520B"/>
    <w:rsid w:val="00AC5708"/>
    <w:rsid w:val="00AC64A6"/>
    <w:rsid w:val="00AC6D37"/>
    <w:rsid w:val="00AC6DE0"/>
    <w:rsid w:val="00AC7CBA"/>
    <w:rsid w:val="00AD0400"/>
    <w:rsid w:val="00AD148C"/>
    <w:rsid w:val="00AD24BD"/>
    <w:rsid w:val="00AD30FA"/>
    <w:rsid w:val="00AD6308"/>
    <w:rsid w:val="00AD6942"/>
    <w:rsid w:val="00AD70E4"/>
    <w:rsid w:val="00AD74CD"/>
    <w:rsid w:val="00AD76C1"/>
    <w:rsid w:val="00AD7A6F"/>
    <w:rsid w:val="00AD7B64"/>
    <w:rsid w:val="00AE07BD"/>
    <w:rsid w:val="00AE084F"/>
    <w:rsid w:val="00AE1359"/>
    <w:rsid w:val="00AE176A"/>
    <w:rsid w:val="00AE1B3E"/>
    <w:rsid w:val="00AE21DD"/>
    <w:rsid w:val="00AE2458"/>
    <w:rsid w:val="00AE25B7"/>
    <w:rsid w:val="00AE2D13"/>
    <w:rsid w:val="00AE3A77"/>
    <w:rsid w:val="00AE423D"/>
    <w:rsid w:val="00AE455B"/>
    <w:rsid w:val="00AE7196"/>
    <w:rsid w:val="00AE74C0"/>
    <w:rsid w:val="00AE772F"/>
    <w:rsid w:val="00AE7A05"/>
    <w:rsid w:val="00AE7E69"/>
    <w:rsid w:val="00AF1CEC"/>
    <w:rsid w:val="00AF208B"/>
    <w:rsid w:val="00AF24A0"/>
    <w:rsid w:val="00AF305B"/>
    <w:rsid w:val="00AF42EA"/>
    <w:rsid w:val="00AF43F2"/>
    <w:rsid w:val="00AF4717"/>
    <w:rsid w:val="00AF54E4"/>
    <w:rsid w:val="00AF6365"/>
    <w:rsid w:val="00AF6CF6"/>
    <w:rsid w:val="00AF7729"/>
    <w:rsid w:val="00AF7C43"/>
    <w:rsid w:val="00B01222"/>
    <w:rsid w:val="00B01E2B"/>
    <w:rsid w:val="00B02219"/>
    <w:rsid w:val="00B0276F"/>
    <w:rsid w:val="00B02B53"/>
    <w:rsid w:val="00B0378B"/>
    <w:rsid w:val="00B0385B"/>
    <w:rsid w:val="00B04DD1"/>
    <w:rsid w:val="00B0536D"/>
    <w:rsid w:val="00B05912"/>
    <w:rsid w:val="00B071A6"/>
    <w:rsid w:val="00B101E9"/>
    <w:rsid w:val="00B10A0F"/>
    <w:rsid w:val="00B121AF"/>
    <w:rsid w:val="00B126B4"/>
    <w:rsid w:val="00B12F16"/>
    <w:rsid w:val="00B138BF"/>
    <w:rsid w:val="00B151AC"/>
    <w:rsid w:val="00B15753"/>
    <w:rsid w:val="00B1636E"/>
    <w:rsid w:val="00B1660B"/>
    <w:rsid w:val="00B16733"/>
    <w:rsid w:val="00B16A35"/>
    <w:rsid w:val="00B17818"/>
    <w:rsid w:val="00B17B6D"/>
    <w:rsid w:val="00B2011E"/>
    <w:rsid w:val="00B20D30"/>
    <w:rsid w:val="00B232B5"/>
    <w:rsid w:val="00B2390C"/>
    <w:rsid w:val="00B2573E"/>
    <w:rsid w:val="00B260B2"/>
    <w:rsid w:val="00B266C7"/>
    <w:rsid w:val="00B274BC"/>
    <w:rsid w:val="00B27744"/>
    <w:rsid w:val="00B27AF7"/>
    <w:rsid w:val="00B27B41"/>
    <w:rsid w:val="00B306BE"/>
    <w:rsid w:val="00B30A03"/>
    <w:rsid w:val="00B31E5D"/>
    <w:rsid w:val="00B32084"/>
    <w:rsid w:val="00B32FAE"/>
    <w:rsid w:val="00B334AB"/>
    <w:rsid w:val="00B35291"/>
    <w:rsid w:val="00B35F2B"/>
    <w:rsid w:val="00B361FA"/>
    <w:rsid w:val="00B36347"/>
    <w:rsid w:val="00B36D62"/>
    <w:rsid w:val="00B40152"/>
    <w:rsid w:val="00B414E2"/>
    <w:rsid w:val="00B440DB"/>
    <w:rsid w:val="00B44483"/>
    <w:rsid w:val="00B44F6D"/>
    <w:rsid w:val="00B46573"/>
    <w:rsid w:val="00B46C9C"/>
    <w:rsid w:val="00B47658"/>
    <w:rsid w:val="00B51BFF"/>
    <w:rsid w:val="00B52644"/>
    <w:rsid w:val="00B5336B"/>
    <w:rsid w:val="00B55173"/>
    <w:rsid w:val="00B55392"/>
    <w:rsid w:val="00B5563A"/>
    <w:rsid w:val="00B55F00"/>
    <w:rsid w:val="00B56092"/>
    <w:rsid w:val="00B572BB"/>
    <w:rsid w:val="00B57525"/>
    <w:rsid w:val="00B5752F"/>
    <w:rsid w:val="00B57C2B"/>
    <w:rsid w:val="00B60071"/>
    <w:rsid w:val="00B603F3"/>
    <w:rsid w:val="00B62540"/>
    <w:rsid w:val="00B62F5C"/>
    <w:rsid w:val="00B638D6"/>
    <w:rsid w:val="00B6391A"/>
    <w:rsid w:val="00B63E1A"/>
    <w:rsid w:val="00B6494F"/>
    <w:rsid w:val="00B64CD7"/>
    <w:rsid w:val="00B65F96"/>
    <w:rsid w:val="00B66418"/>
    <w:rsid w:val="00B669F8"/>
    <w:rsid w:val="00B66A7E"/>
    <w:rsid w:val="00B676D1"/>
    <w:rsid w:val="00B713A4"/>
    <w:rsid w:val="00B72A0C"/>
    <w:rsid w:val="00B754E2"/>
    <w:rsid w:val="00B761C1"/>
    <w:rsid w:val="00B7625B"/>
    <w:rsid w:val="00B76B2D"/>
    <w:rsid w:val="00B77211"/>
    <w:rsid w:val="00B77223"/>
    <w:rsid w:val="00B7764A"/>
    <w:rsid w:val="00B80A18"/>
    <w:rsid w:val="00B80DAA"/>
    <w:rsid w:val="00B8234C"/>
    <w:rsid w:val="00B82660"/>
    <w:rsid w:val="00B83A8E"/>
    <w:rsid w:val="00B8490F"/>
    <w:rsid w:val="00B85D69"/>
    <w:rsid w:val="00B8702A"/>
    <w:rsid w:val="00B87676"/>
    <w:rsid w:val="00B87F00"/>
    <w:rsid w:val="00B902D1"/>
    <w:rsid w:val="00B90C38"/>
    <w:rsid w:val="00B911B0"/>
    <w:rsid w:val="00B9193A"/>
    <w:rsid w:val="00B92181"/>
    <w:rsid w:val="00B94BAB"/>
    <w:rsid w:val="00B953F5"/>
    <w:rsid w:val="00B962E4"/>
    <w:rsid w:val="00B96385"/>
    <w:rsid w:val="00B96685"/>
    <w:rsid w:val="00B96D1F"/>
    <w:rsid w:val="00B9781F"/>
    <w:rsid w:val="00BA0593"/>
    <w:rsid w:val="00BA0941"/>
    <w:rsid w:val="00BA1CE2"/>
    <w:rsid w:val="00BA340C"/>
    <w:rsid w:val="00BA353E"/>
    <w:rsid w:val="00BA7E94"/>
    <w:rsid w:val="00BB0971"/>
    <w:rsid w:val="00BB36F8"/>
    <w:rsid w:val="00BB4717"/>
    <w:rsid w:val="00BB4C34"/>
    <w:rsid w:val="00BB5439"/>
    <w:rsid w:val="00BB5E5B"/>
    <w:rsid w:val="00BB6211"/>
    <w:rsid w:val="00BB6245"/>
    <w:rsid w:val="00BB75B4"/>
    <w:rsid w:val="00BB7709"/>
    <w:rsid w:val="00BB7792"/>
    <w:rsid w:val="00BC0965"/>
    <w:rsid w:val="00BC0DAD"/>
    <w:rsid w:val="00BC1F0A"/>
    <w:rsid w:val="00BC265E"/>
    <w:rsid w:val="00BC33EE"/>
    <w:rsid w:val="00BC374B"/>
    <w:rsid w:val="00BC3D7E"/>
    <w:rsid w:val="00BC3E97"/>
    <w:rsid w:val="00BC5946"/>
    <w:rsid w:val="00BC6A2D"/>
    <w:rsid w:val="00BD0F63"/>
    <w:rsid w:val="00BD1156"/>
    <w:rsid w:val="00BD1A41"/>
    <w:rsid w:val="00BD3693"/>
    <w:rsid w:val="00BD3A16"/>
    <w:rsid w:val="00BD61F4"/>
    <w:rsid w:val="00BD69C1"/>
    <w:rsid w:val="00BD7DEA"/>
    <w:rsid w:val="00BE07AB"/>
    <w:rsid w:val="00BE16FC"/>
    <w:rsid w:val="00BE192F"/>
    <w:rsid w:val="00BE2162"/>
    <w:rsid w:val="00BE2BCB"/>
    <w:rsid w:val="00BE3967"/>
    <w:rsid w:val="00BE3E91"/>
    <w:rsid w:val="00BE4ECC"/>
    <w:rsid w:val="00BE51CA"/>
    <w:rsid w:val="00BE5D9E"/>
    <w:rsid w:val="00BE7449"/>
    <w:rsid w:val="00BE78FA"/>
    <w:rsid w:val="00BF1FCE"/>
    <w:rsid w:val="00BF4679"/>
    <w:rsid w:val="00BF490D"/>
    <w:rsid w:val="00BF57EA"/>
    <w:rsid w:val="00BF6356"/>
    <w:rsid w:val="00BF6984"/>
    <w:rsid w:val="00BF70A7"/>
    <w:rsid w:val="00BF7582"/>
    <w:rsid w:val="00BF762A"/>
    <w:rsid w:val="00C003A9"/>
    <w:rsid w:val="00C00527"/>
    <w:rsid w:val="00C00E3B"/>
    <w:rsid w:val="00C00F5D"/>
    <w:rsid w:val="00C0197C"/>
    <w:rsid w:val="00C02328"/>
    <w:rsid w:val="00C030C6"/>
    <w:rsid w:val="00C04289"/>
    <w:rsid w:val="00C04670"/>
    <w:rsid w:val="00C04F0F"/>
    <w:rsid w:val="00C0528A"/>
    <w:rsid w:val="00C054A4"/>
    <w:rsid w:val="00C10A87"/>
    <w:rsid w:val="00C112F5"/>
    <w:rsid w:val="00C129CD"/>
    <w:rsid w:val="00C13E55"/>
    <w:rsid w:val="00C176EB"/>
    <w:rsid w:val="00C17B1E"/>
    <w:rsid w:val="00C17C73"/>
    <w:rsid w:val="00C2002B"/>
    <w:rsid w:val="00C20284"/>
    <w:rsid w:val="00C2054F"/>
    <w:rsid w:val="00C210AE"/>
    <w:rsid w:val="00C23909"/>
    <w:rsid w:val="00C25246"/>
    <w:rsid w:val="00C26E14"/>
    <w:rsid w:val="00C279CA"/>
    <w:rsid w:val="00C27E9B"/>
    <w:rsid w:val="00C27F97"/>
    <w:rsid w:val="00C30A0A"/>
    <w:rsid w:val="00C30E89"/>
    <w:rsid w:val="00C3272F"/>
    <w:rsid w:val="00C337B8"/>
    <w:rsid w:val="00C34D9C"/>
    <w:rsid w:val="00C355A7"/>
    <w:rsid w:val="00C36C82"/>
    <w:rsid w:val="00C36E29"/>
    <w:rsid w:val="00C37139"/>
    <w:rsid w:val="00C3737B"/>
    <w:rsid w:val="00C37645"/>
    <w:rsid w:val="00C40D9E"/>
    <w:rsid w:val="00C422ED"/>
    <w:rsid w:val="00C4377C"/>
    <w:rsid w:val="00C43D94"/>
    <w:rsid w:val="00C441DC"/>
    <w:rsid w:val="00C44307"/>
    <w:rsid w:val="00C44A04"/>
    <w:rsid w:val="00C45158"/>
    <w:rsid w:val="00C46556"/>
    <w:rsid w:val="00C47037"/>
    <w:rsid w:val="00C4761B"/>
    <w:rsid w:val="00C505AF"/>
    <w:rsid w:val="00C51883"/>
    <w:rsid w:val="00C5275E"/>
    <w:rsid w:val="00C52922"/>
    <w:rsid w:val="00C52A28"/>
    <w:rsid w:val="00C533D8"/>
    <w:rsid w:val="00C55A9D"/>
    <w:rsid w:val="00C60EDA"/>
    <w:rsid w:val="00C6178E"/>
    <w:rsid w:val="00C6181A"/>
    <w:rsid w:val="00C63B9C"/>
    <w:rsid w:val="00C63D2D"/>
    <w:rsid w:val="00C645E0"/>
    <w:rsid w:val="00C65213"/>
    <w:rsid w:val="00C6554F"/>
    <w:rsid w:val="00C6698B"/>
    <w:rsid w:val="00C67CFB"/>
    <w:rsid w:val="00C70CB1"/>
    <w:rsid w:val="00C710DB"/>
    <w:rsid w:val="00C7129A"/>
    <w:rsid w:val="00C7237D"/>
    <w:rsid w:val="00C72D7C"/>
    <w:rsid w:val="00C73302"/>
    <w:rsid w:val="00C7359E"/>
    <w:rsid w:val="00C73741"/>
    <w:rsid w:val="00C739C3"/>
    <w:rsid w:val="00C73B3E"/>
    <w:rsid w:val="00C73DC1"/>
    <w:rsid w:val="00C743EA"/>
    <w:rsid w:val="00C74B55"/>
    <w:rsid w:val="00C74C3A"/>
    <w:rsid w:val="00C74D0D"/>
    <w:rsid w:val="00C75728"/>
    <w:rsid w:val="00C76345"/>
    <w:rsid w:val="00C76714"/>
    <w:rsid w:val="00C773FD"/>
    <w:rsid w:val="00C8116F"/>
    <w:rsid w:val="00C81190"/>
    <w:rsid w:val="00C814D1"/>
    <w:rsid w:val="00C81D68"/>
    <w:rsid w:val="00C83323"/>
    <w:rsid w:val="00C83C94"/>
    <w:rsid w:val="00C84547"/>
    <w:rsid w:val="00C848FD"/>
    <w:rsid w:val="00C84914"/>
    <w:rsid w:val="00C85BB7"/>
    <w:rsid w:val="00C85E15"/>
    <w:rsid w:val="00C86797"/>
    <w:rsid w:val="00C86892"/>
    <w:rsid w:val="00C8776E"/>
    <w:rsid w:val="00C91280"/>
    <w:rsid w:val="00C921AB"/>
    <w:rsid w:val="00C93595"/>
    <w:rsid w:val="00C935F3"/>
    <w:rsid w:val="00C9364E"/>
    <w:rsid w:val="00C94891"/>
    <w:rsid w:val="00C94E12"/>
    <w:rsid w:val="00C96009"/>
    <w:rsid w:val="00C974E4"/>
    <w:rsid w:val="00C977C9"/>
    <w:rsid w:val="00CA03DB"/>
    <w:rsid w:val="00CA1B98"/>
    <w:rsid w:val="00CA2EF9"/>
    <w:rsid w:val="00CA327A"/>
    <w:rsid w:val="00CA4D7B"/>
    <w:rsid w:val="00CA64D6"/>
    <w:rsid w:val="00CA676F"/>
    <w:rsid w:val="00CA6B9B"/>
    <w:rsid w:val="00CA7C9B"/>
    <w:rsid w:val="00CB0F2E"/>
    <w:rsid w:val="00CB2BDD"/>
    <w:rsid w:val="00CB32D8"/>
    <w:rsid w:val="00CB3384"/>
    <w:rsid w:val="00CB373F"/>
    <w:rsid w:val="00CB48BC"/>
    <w:rsid w:val="00CB60F9"/>
    <w:rsid w:val="00CB6E98"/>
    <w:rsid w:val="00CB7AEA"/>
    <w:rsid w:val="00CB7BFE"/>
    <w:rsid w:val="00CC0233"/>
    <w:rsid w:val="00CC056B"/>
    <w:rsid w:val="00CC0EC6"/>
    <w:rsid w:val="00CC1D2E"/>
    <w:rsid w:val="00CC1D85"/>
    <w:rsid w:val="00CC464E"/>
    <w:rsid w:val="00CC466A"/>
    <w:rsid w:val="00CC4D39"/>
    <w:rsid w:val="00CC53AE"/>
    <w:rsid w:val="00CC586B"/>
    <w:rsid w:val="00CC6580"/>
    <w:rsid w:val="00CC6836"/>
    <w:rsid w:val="00CC6C8C"/>
    <w:rsid w:val="00CC7233"/>
    <w:rsid w:val="00CC7A56"/>
    <w:rsid w:val="00CC7B6C"/>
    <w:rsid w:val="00CD173F"/>
    <w:rsid w:val="00CD17DC"/>
    <w:rsid w:val="00CD2B63"/>
    <w:rsid w:val="00CD3002"/>
    <w:rsid w:val="00CD32F5"/>
    <w:rsid w:val="00CD3FFA"/>
    <w:rsid w:val="00CD42EC"/>
    <w:rsid w:val="00CD473C"/>
    <w:rsid w:val="00CD571D"/>
    <w:rsid w:val="00CD5D84"/>
    <w:rsid w:val="00CD6915"/>
    <w:rsid w:val="00CD6E50"/>
    <w:rsid w:val="00CE0CEE"/>
    <w:rsid w:val="00CE102E"/>
    <w:rsid w:val="00CE18B9"/>
    <w:rsid w:val="00CE1A7E"/>
    <w:rsid w:val="00CE2711"/>
    <w:rsid w:val="00CE2E91"/>
    <w:rsid w:val="00CE3172"/>
    <w:rsid w:val="00CE3E30"/>
    <w:rsid w:val="00CE427E"/>
    <w:rsid w:val="00CE44D4"/>
    <w:rsid w:val="00CE51F1"/>
    <w:rsid w:val="00CE556B"/>
    <w:rsid w:val="00CE66A1"/>
    <w:rsid w:val="00CE7ADE"/>
    <w:rsid w:val="00CE7FCD"/>
    <w:rsid w:val="00CF062F"/>
    <w:rsid w:val="00CF0762"/>
    <w:rsid w:val="00CF1717"/>
    <w:rsid w:val="00CF1880"/>
    <w:rsid w:val="00CF264A"/>
    <w:rsid w:val="00CF2AAF"/>
    <w:rsid w:val="00CF4417"/>
    <w:rsid w:val="00CF4C52"/>
    <w:rsid w:val="00CF78B0"/>
    <w:rsid w:val="00CF7B20"/>
    <w:rsid w:val="00D002B3"/>
    <w:rsid w:val="00D00A71"/>
    <w:rsid w:val="00D0139C"/>
    <w:rsid w:val="00D02907"/>
    <w:rsid w:val="00D0292E"/>
    <w:rsid w:val="00D03447"/>
    <w:rsid w:val="00D03A06"/>
    <w:rsid w:val="00D047DE"/>
    <w:rsid w:val="00D04C38"/>
    <w:rsid w:val="00D04D07"/>
    <w:rsid w:val="00D062D9"/>
    <w:rsid w:val="00D06423"/>
    <w:rsid w:val="00D072D8"/>
    <w:rsid w:val="00D075AD"/>
    <w:rsid w:val="00D12EA8"/>
    <w:rsid w:val="00D13498"/>
    <w:rsid w:val="00D13727"/>
    <w:rsid w:val="00D14543"/>
    <w:rsid w:val="00D14F19"/>
    <w:rsid w:val="00D169CA"/>
    <w:rsid w:val="00D16F1E"/>
    <w:rsid w:val="00D178F5"/>
    <w:rsid w:val="00D1798C"/>
    <w:rsid w:val="00D17E78"/>
    <w:rsid w:val="00D202C8"/>
    <w:rsid w:val="00D20B5F"/>
    <w:rsid w:val="00D22846"/>
    <w:rsid w:val="00D23627"/>
    <w:rsid w:val="00D247C5"/>
    <w:rsid w:val="00D2550C"/>
    <w:rsid w:val="00D2607E"/>
    <w:rsid w:val="00D26541"/>
    <w:rsid w:val="00D26DDE"/>
    <w:rsid w:val="00D27AAF"/>
    <w:rsid w:val="00D27DF8"/>
    <w:rsid w:val="00D309AB"/>
    <w:rsid w:val="00D30F7E"/>
    <w:rsid w:val="00D31B6C"/>
    <w:rsid w:val="00D32770"/>
    <w:rsid w:val="00D329E6"/>
    <w:rsid w:val="00D334FF"/>
    <w:rsid w:val="00D360DC"/>
    <w:rsid w:val="00D365E0"/>
    <w:rsid w:val="00D36A43"/>
    <w:rsid w:val="00D36BF7"/>
    <w:rsid w:val="00D36EA2"/>
    <w:rsid w:val="00D370EF"/>
    <w:rsid w:val="00D37968"/>
    <w:rsid w:val="00D4068A"/>
    <w:rsid w:val="00D43928"/>
    <w:rsid w:val="00D43D31"/>
    <w:rsid w:val="00D45A55"/>
    <w:rsid w:val="00D45F90"/>
    <w:rsid w:val="00D47101"/>
    <w:rsid w:val="00D477CC"/>
    <w:rsid w:val="00D5073C"/>
    <w:rsid w:val="00D51003"/>
    <w:rsid w:val="00D515C2"/>
    <w:rsid w:val="00D524CF"/>
    <w:rsid w:val="00D5310D"/>
    <w:rsid w:val="00D53239"/>
    <w:rsid w:val="00D53ACD"/>
    <w:rsid w:val="00D53D66"/>
    <w:rsid w:val="00D5409C"/>
    <w:rsid w:val="00D54F8A"/>
    <w:rsid w:val="00D5612D"/>
    <w:rsid w:val="00D56AC5"/>
    <w:rsid w:val="00D57BB8"/>
    <w:rsid w:val="00D61526"/>
    <w:rsid w:val="00D61B32"/>
    <w:rsid w:val="00D61CA6"/>
    <w:rsid w:val="00D61D8C"/>
    <w:rsid w:val="00D622B7"/>
    <w:rsid w:val="00D62ED4"/>
    <w:rsid w:val="00D635DB"/>
    <w:rsid w:val="00D64160"/>
    <w:rsid w:val="00D64B28"/>
    <w:rsid w:val="00D65B94"/>
    <w:rsid w:val="00D66060"/>
    <w:rsid w:val="00D66280"/>
    <w:rsid w:val="00D66491"/>
    <w:rsid w:val="00D67793"/>
    <w:rsid w:val="00D67C89"/>
    <w:rsid w:val="00D70175"/>
    <w:rsid w:val="00D70562"/>
    <w:rsid w:val="00D70607"/>
    <w:rsid w:val="00D7104C"/>
    <w:rsid w:val="00D71C95"/>
    <w:rsid w:val="00D72228"/>
    <w:rsid w:val="00D7278A"/>
    <w:rsid w:val="00D73ADF"/>
    <w:rsid w:val="00D759C0"/>
    <w:rsid w:val="00D763D1"/>
    <w:rsid w:val="00D76827"/>
    <w:rsid w:val="00D7683F"/>
    <w:rsid w:val="00D769FC"/>
    <w:rsid w:val="00D80AEB"/>
    <w:rsid w:val="00D8383E"/>
    <w:rsid w:val="00D84323"/>
    <w:rsid w:val="00D84843"/>
    <w:rsid w:val="00D84E83"/>
    <w:rsid w:val="00D86DA9"/>
    <w:rsid w:val="00D8796B"/>
    <w:rsid w:val="00D90A1A"/>
    <w:rsid w:val="00D90E23"/>
    <w:rsid w:val="00D91A5F"/>
    <w:rsid w:val="00D92D88"/>
    <w:rsid w:val="00D933E2"/>
    <w:rsid w:val="00D93545"/>
    <w:rsid w:val="00D93992"/>
    <w:rsid w:val="00D940BA"/>
    <w:rsid w:val="00D943FE"/>
    <w:rsid w:val="00D947F6"/>
    <w:rsid w:val="00D94AA0"/>
    <w:rsid w:val="00D94ADB"/>
    <w:rsid w:val="00D9694B"/>
    <w:rsid w:val="00D96AFF"/>
    <w:rsid w:val="00DA09F4"/>
    <w:rsid w:val="00DA12FF"/>
    <w:rsid w:val="00DA2418"/>
    <w:rsid w:val="00DA5450"/>
    <w:rsid w:val="00DA582B"/>
    <w:rsid w:val="00DA5CC3"/>
    <w:rsid w:val="00DA6A10"/>
    <w:rsid w:val="00DA6ECE"/>
    <w:rsid w:val="00DB0581"/>
    <w:rsid w:val="00DB1099"/>
    <w:rsid w:val="00DB2245"/>
    <w:rsid w:val="00DB23D9"/>
    <w:rsid w:val="00DB287F"/>
    <w:rsid w:val="00DB2C9F"/>
    <w:rsid w:val="00DB30F6"/>
    <w:rsid w:val="00DB331C"/>
    <w:rsid w:val="00DB3526"/>
    <w:rsid w:val="00DB517F"/>
    <w:rsid w:val="00DB6C55"/>
    <w:rsid w:val="00DB7081"/>
    <w:rsid w:val="00DB70D1"/>
    <w:rsid w:val="00DB70DE"/>
    <w:rsid w:val="00DC0017"/>
    <w:rsid w:val="00DC0DC1"/>
    <w:rsid w:val="00DC21F0"/>
    <w:rsid w:val="00DC24F8"/>
    <w:rsid w:val="00DC279A"/>
    <w:rsid w:val="00DC2A12"/>
    <w:rsid w:val="00DC435B"/>
    <w:rsid w:val="00DC459A"/>
    <w:rsid w:val="00DC4C34"/>
    <w:rsid w:val="00DC4FE9"/>
    <w:rsid w:val="00DC646A"/>
    <w:rsid w:val="00DC719A"/>
    <w:rsid w:val="00DD1885"/>
    <w:rsid w:val="00DD24BB"/>
    <w:rsid w:val="00DD270A"/>
    <w:rsid w:val="00DD4185"/>
    <w:rsid w:val="00DD4194"/>
    <w:rsid w:val="00DD5115"/>
    <w:rsid w:val="00DD5FC0"/>
    <w:rsid w:val="00DD63AD"/>
    <w:rsid w:val="00DD71BB"/>
    <w:rsid w:val="00DD7B29"/>
    <w:rsid w:val="00DE07F9"/>
    <w:rsid w:val="00DE095F"/>
    <w:rsid w:val="00DE196E"/>
    <w:rsid w:val="00DE1FE7"/>
    <w:rsid w:val="00DE22B2"/>
    <w:rsid w:val="00DE4018"/>
    <w:rsid w:val="00DE48FA"/>
    <w:rsid w:val="00DE4F29"/>
    <w:rsid w:val="00DE6260"/>
    <w:rsid w:val="00DE741B"/>
    <w:rsid w:val="00DF017F"/>
    <w:rsid w:val="00DF067D"/>
    <w:rsid w:val="00DF3985"/>
    <w:rsid w:val="00DF3D92"/>
    <w:rsid w:val="00DF440C"/>
    <w:rsid w:val="00DF4664"/>
    <w:rsid w:val="00DF477B"/>
    <w:rsid w:val="00DF4AF7"/>
    <w:rsid w:val="00DF5672"/>
    <w:rsid w:val="00DF5AD6"/>
    <w:rsid w:val="00DF60E4"/>
    <w:rsid w:val="00DF6368"/>
    <w:rsid w:val="00DF6B56"/>
    <w:rsid w:val="00DF6D71"/>
    <w:rsid w:val="00DF7E83"/>
    <w:rsid w:val="00E0066F"/>
    <w:rsid w:val="00E009AB"/>
    <w:rsid w:val="00E00E07"/>
    <w:rsid w:val="00E01327"/>
    <w:rsid w:val="00E0137F"/>
    <w:rsid w:val="00E0199F"/>
    <w:rsid w:val="00E03CAB"/>
    <w:rsid w:val="00E04BA7"/>
    <w:rsid w:val="00E066EA"/>
    <w:rsid w:val="00E06CE5"/>
    <w:rsid w:val="00E07508"/>
    <w:rsid w:val="00E1075D"/>
    <w:rsid w:val="00E133E0"/>
    <w:rsid w:val="00E137CE"/>
    <w:rsid w:val="00E14285"/>
    <w:rsid w:val="00E14C5F"/>
    <w:rsid w:val="00E15AD9"/>
    <w:rsid w:val="00E15FA7"/>
    <w:rsid w:val="00E16426"/>
    <w:rsid w:val="00E16440"/>
    <w:rsid w:val="00E16DD7"/>
    <w:rsid w:val="00E16DEF"/>
    <w:rsid w:val="00E17041"/>
    <w:rsid w:val="00E175F0"/>
    <w:rsid w:val="00E22782"/>
    <w:rsid w:val="00E229F2"/>
    <w:rsid w:val="00E22C17"/>
    <w:rsid w:val="00E23E19"/>
    <w:rsid w:val="00E243FC"/>
    <w:rsid w:val="00E24541"/>
    <w:rsid w:val="00E25AA5"/>
    <w:rsid w:val="00E26562"/>
    <w:rsid w:val="00E267DC"/>
    <w:rsid w:val="00E269A7"/>
    <w:rsid w:val="00E26B1A"/>
    <w:rsid w:val="00E273FA"/>
    <w:rsid w:val="00E27E71"/>
    <w:rsid w:val="00E301A5"/>
    <w:rsid w:val="00E31281"/>
    <w:rsid w:val="00E316EE"/>
    <w:rsid w:val="00E32749"/>
    <w:rsid w:val="00E331E4"/>
    <w:rsid w:val="00E339A3"/>
    <w:rsid w:val="00E33F47"/>
    <w:rsid w:val="00E33F56"/>
    <w:rsid w:val="00E340B2"/>
    <w:rsid w:val="00E34DA5"/>
    <w:rsid w:val="00E36A66"/>
    <w:rsid w:val="00E37A4C"/>
    <w:rsid w:val="00E37B28"/>
    <w:rsid w:val="00E40297"/>
    <w:rsid w:val="00E407F7"/>
    <w:rsid w:val="00E40880"/>
    <w:rsid w:val="00E41BA3"/>
    <w:rsid w:val="00E42365"/>
    <w:rsid w:val="00E42757"/>
    <w:rsid w:val="00E43B8C"/>
    <w:rsid w:val="00E4563E"/>
    <w:rsid w:val="00E45C3C"/>
    <w:rsid w:val="00E4668C"/>
    <w:rsid w:val="00E478C0"/>
    <w:rsid w:val="00E518AC"/>
    <w:rsid w:val="00E52011"/>
    <w:rsid w:val="00E521F2"/>
    <w:rsid w:val="00E5299C"/>
    <w:rsid w:val="00E534B1"/>
    <w:rsid w:val="00E5366A"/>
    <w:rsid w:val="00E539EC"/>
    <w:rsid w:val="00E54192"/>
    <w:rsid w:val="00E542B7"/>
    <w:rsid w:val="00E548DA"/>
    <w:rsid w:val="00E54C62"/>
    <w:rsid w:val="00E550A6"/>
    <w:rsid w:val="00E552F9"/>
    <w:rsid w:val="00E55EFD"/>
    <w:rsid w:val="00E5739C"/>
    <w:rsid w:val="00E57B62"/>
    <w:rsid w:val="00E57E49"/>
    <w:rsid w:val="00E613D2"/>
    <w:rsid w:val="00E61D69"/>
    <w:rsid w:val="00E61E40"/>
    <w:rsid w:val="00E62AD6"/>
    <w:rsid w:val="00E62C3F"/>
    <w:rsid w:val="00E63E79"/>
    <w:rsid w:val="00E640AF"/>
    <w:rsid w:val="00E64D6E"/>
    <w:rsid w:val="00E65076"/>
    <w:rsid w:val="00E6534F"/>
    <w:rsid w:val="00E65986"/>
    <w:rsid w:val="00E66A93"/>
    <w:rsid w:val="00E66C3C"/>
    <w:rsid w:val="00E67089"/>
    <w:rsid w:val="00E67A1E"/>
    <w:rsid w:val="00E70F29"/>
    <w:rsid w:val="00E7249B"/>
    <w:rsid w:val="00E72B5A"/>
    <w:rsid w:val="00E736A2"/>
    <w:rsid w:val="00E737E3"/>
    <w:rsid w:val="00E73890"/>
    <w:rsid w:val="00E73E8A"/>
    <w:rsid w:val="00E7498F"/>
    <w:rsid w:val="00E74A40"/>
    <w:rsid w:val="00E74DC7"/>
    <w:rsid w:val="00E74FA4"/>
    <w:rsid w:val="00E75B32"/>
    <w:rsid w:val="00E75F37"/>
    <w:rsid w:val="00E76CBA"/>
    <w:rsid w:val="00E80804"/>
    <w:rsid w:val="00E808D9"/>
    <w:rsid w:val="00E81219"/>
    <w:rsid w:val="00E8131C"/>
    <w:rsid w:val="00E81A1B"/>
    <w:rsid w:val="00E81B5E"/>
    <w:rsid w:val="00E82190"/>
    <w:rsid w:val="00E83720"/>
    <w:rsid w:val="00E84644"/>
    <w:rsid w:val="00E85AEC"/>
    <w:rsid w:val="00E85F85"/>
    <w:rsid w:val="00E86326"/>
    <w:rsid w:val="00E86F75"/>
    <w:rsid w:val="00E87046"/>
    <w:rsid w:val="00E872D9"/>
    <w:rsid w:val="00E90E1C"/>
    <w:rsid w:val="00E91A69"/>
    <w:rsid w:val="00E92E38"/>
    <w:rsid w:val="00E92E5C"/>
    <w:rsid w:val="00E92F04"/>
    <w:rsid w:val="00E93174"/>
    <w:rsid w:val="00E940D0"/>
    <w:rsid w:val="00E95012"/>
    <w:rsid w:val="00E96AD5"/>
    <w:rsid w:val="00E97403"/>
    <w:rsid w:val="00EA099B"/>
    <w:rsid w:val="00EA1469"/>
    <w:rsid w:val="00EA1D69"/>
    <w:rsid w:val="00EA20D3"/>
    <w:rsid w:val="00EA240F"/>
    <w:rsid w:val="00EA2860"/>
    <w:rsid w:val="00EA30FE"/>
    <w:rsid w:val="00EA3C4F"/>
    <w:rsid w:val="00EA3C66"/>
    <w:rsid w:val="00EA616E"/>
    <w:rsid w:val="00EB06B1"/>
    <w:rsid w:val="00EB2311"/>
    <w:rsid w:val="00EB29D6"/>
    <w:rsid w:val="00EB30AD"/>
    <w:rsid w:val="00EB3C5C"/>
    <w:rsid w:val="00EB43C0"/>
    <w:rsid w:val="00EB5568"/>
    <w:rsid w:val="00EB565D"/>
    <w:rsid w:val="00EB5C23"/>
    <w:rsid w:val="00EB65D1"/>
    <w:rsid w:val="00EB65DD"/>
    <w:rsid w:val="00EC03DD"/>
    <w:rsid w:val="00EC0A10"/>
    <w:rsid w:val="00EC148B"/>
    <w:rsid w:val="00EC2287"/>
    <w:rsid w:val="00EC2C50"/>
    <w:rsid w:val="00EC2CCC"/>
    <w:rsid w:val="00EC3036"/>
    <w:rsid w:val="00EC427B"/>
    <w:rsid w:val="00EC4A71"/>
    <w:rsid w:val="00EC5943"/>
    <w:rsid w:val="00EC6110"/>
    <w:rsid w:val="00EC79D2"/>
    <w:rsid w:val="00ED05AD"/>
    <w:rsid w:val="00ED112C"/>
    <w:rsid w:val="00ED14EF"/>
    <w:rsid w:val="00ED24D8"/>
    <w:rsid w:val="00ED3DB2"/>
    <w:rsid w:val="00ED3FFC"/>
    <w:rsid w:val="00ED4410"/>
    <w:rsid w:val="00ED608F"/>
    <w:rsid w:val="00ED6B02"/>
    <w:rsid w:val="00ED73FE"/>
    <w:rsid w:val="00ED7424"/>
    <w:rsid w:val="00ED774C"/>
    <w:rsid w:val="00ED7F1C"/>
    <w:rsid w:val="00EE029C"/>
    <w:rsid w:val="00EE34CF"/>
    <w:rsid w:val="00EE4CD3"/>
    <w:rsid w:val="00EE564A"/>
    <w:rsid w:val="00EE5DCE"/>
    <w:rsid w:val="00EE6896"/>
    <w:rsid w:val="00EE7620"/>
    <w:rsid w:val="00EE7688"/>
    <w:rsid w:val="00EE79D8"/>
    <w:rsid w:val="00EF0496"/>
    <w:rsid w:val="00EF168E"/>
    <w:rsid w:val="00EF19B7"/>
    <w:rsid w:val="00EF1C25"/>
    <w:rsid w:val="00EF3171"/>
    <w:rsid w:val="00EF3659"/>
    <w:rsid w:val="00EF3BF8"/>
    <w:rsid w:val="00EF46FB"/>
    <w:rsid w:val="00EF471B"/>
    <w:rsid w:val="00EF4AF3"/>
    <w:rsid w:val="00EF4BF0"/>
    <w:rsid w:val="00EF5671"/>
    <w:rsid w:val="00EF587F"/>
    <w:rsid w:val="00EF59F6"/>
    <w:rsid w:val="00EF6540"/>
    <w:rsid w:val="00EF6A1F"/>
    <w:rsid w:val="00EF6D0B"/>
    <w:rsid w:val="00EF76F4"/>
    <w:rsid w:val="00EF77FF"/>
    <w:rsid w:val="00EF7D08"/>
    <w:rsid w:val="00F02E83"/>
    <w:rsid w:val="00F04CEF"/>
    <w:rsid w:val="00F056DB"/>
    <w:rsid w:val="00F058AA"/>
    <w:rsid w:val="00F05FD8"/>
    <w:rsid w:val="00F06A36"/>
    <w:rsid w:val="00F071B0"/>
    <w:rsid w:val="00F07411"/>
    <w:rsid w:val="00F0747F"/>
    <w:rsid w:val="00F100FF"/>
    <w:rsid w:val="00F10DDF"/>
    <w:rsid w:val="00F11A82"/>
    <w:rsid w:val="00F11DD5"/>
    <w:rsid w:val="00F11DE6"/>
    <w:rsid w:val="00F1285F"/>
    <w:rsid w:val="00F1294E"/>
    <w:rsid w:val="00F1322C"/>
    <w:rsid w:val="00F13620"/>
    <w:rsid w:val="00F136D3"/>
    <w:rsid w:val="00F15953"/>
    <w:rsid w:val="00F15B43"/>
    <w:rsid w:val="00F17234"/>
    <w:rsid w:val="00F17870"/>
    <w:rsid w:val="00F178E9"/>
    <w:rsid w:val="00F17BCB"/>
    <w:rsid w:val="00F17CE0"/>
    <w:rsid w:val="00F17D58"/>
    <w:rsid w:val="00F204B8"/>
    <w:rsid w:val="00F2059F"/>
    <w:rsid w:val="00F21C17"/>
    <w:rsid w:val="00F226F7"/>
    <w:rsid w:val="00F22853"/>
    <w:rsid w:val="00F2299D"/>
    <w:rsid w:val="00F22DC9"/>
    <w:rsid w:val="00F23973"/>
    <w:rsid w:val="00F23A84"/>
    <w:rsid w:val="00F23E99"/>
    <w:rsid w:val="00F24476"/>
    <w:rsid w:val="00F251F5"/>
    <w:rsid w:val="00F25612"/>
    <w:rsid w:val="00F26234"/>
    <w:rsid w:val="00F263D7"/>
    <w:rsid w:val="00F2668B"/>
    <w:rsid w:val="00F267A3"/>
    <w:rsid w:val="00F26DB2"/>
    <w:rsid w:val="00F273B1"/>
    <w:rsid w:val="00F3004D"/>
    <w:rsid w:val="00F311F3"/>
    <w:rsid w:val="00F31988"/>
    <w:rsid w:val="00F31CE9"/>
    <w:rsid w:val="00F31F7E"/>
    <w:rsid w:val="00F3293B"/>
    <w:rsid w:val="00F3346D"/>
    <w:rsid w:val="00F33D5A"/>
    <w:rsid w:val="00F33DD1"/>
    <w:rsid w:val="00F33E69"/>
    <w:rsid w:val="00F33E96"/>
    <w:rsid w:val="00F34452"/>
    <w:rsid w:val="00F345A2"/>
    <w:rsid w:val="00F352C4"/>
    <w:rsid w:val="00F35FDD"/>
    <w:rsid w:val="00F3652C"/>
    <w:rsid w:val="00F37377"/>
    <w:rsid w:val="00F378D2"/>
    <w:rsid w:val="00F4184D"/>
    <w:rsid w:val="00F42223"/>
    <w:rsid w:val="00F42280"/>
    <w:rsid w:val="00F42EA6"/>
    <w:rsid w:val="00F4529C"/>
    <w:rsid w:val="00F45330"/>
    <w:rsid w:val="00F45771"/>
    <w:rsid w:val="00F46859"/>
    <w:rsid w:val="00F47583"/>
    <w:rsid w:val="00F47656"/>
    <w:rsid w:val="00F47B23"/>
    <w:rsid w:val="00F50B21"/>
    <w:rsid w:val="00F51055"/>
    <w:rsid w:val="00F5107D"/>
    <w:rsid w:val="00F512F5"/>
    <w:rsid w:val="00F516E4"/>
    <w:rsid w:val="00F521E8"/>
    <w:rsid w:val="00F534D7"/>
    <w:rsid w:val="00F53735"/>
    <w:rsid w:val="00F53876"/>
    <w:rsid w:val="00F538F5"/>
    <w:rsid w:val="00F540C6"/>
    <w:rsid w:val="00F54705"/>
    <w:rsid w:val="00F54AE5"/>
    <w:rsid w:val="00F554E9"/>
    <w:rsid w:val="00F561CE"/>
    <w:rsid w:val="00F614ED"/>
    <w:rsid w:val="00F61BA5"/>
    <w:rsid w:val="00F61DAD"/>
    <w:rsid w:val="00F62441"/>
    <w:rsid w:val="00F626D5"/>
    <w:rsid w:val="00F633FA"/>
    <w:rsid w:val="00F63794"/>
    <w:rsid w:val="00F63EA2"/>
    <w:rsid w:val="00F63FFA"/>
    <w:rsid w:val="00F64BB3"/>
    <w:rsid w:val="00F66092"/>
    <w:rsid w:val="00F66528"/>
    <w:rsid w:val="00F66AAF"/>
    <w:rsid w:val="00F67343"/>
    <w:rsid w:val="00F67FF0"/>
    <w:rsid w:val="00F701C6"/>
    <w:rsid w:val="00F70578"/>
    <w:rsid w:val="00F71602"/>
    <w:rsid w:val="00F717C5"/>
    <w:rsid w:val="00F722CA"/>
    <w:rsid w:val="00F72BFC"/>
    <w:rsid w:val="00F73623"/>
    <w:rsid w:val="00F73D67"/>
    <w:rsid w:val="00F76CA2"/>
    <w:rsid w:val="00F76E52"/>
    <w:rsid w:val="00F77993"/>
    <w:rsid w:val="00F77D15"/>
    <w:rsid w:val="00F80B8C"/>
    <w:rsid w:val="00F80CCB"/>
    <w:rsid w:val="00F81170"/>
    <w:rsid w:val="00F81BC9"/>
    <w:rsid w:val="00F81C6E"/>
    <w:rsid w:val="00F82A18"/>
    <w:rsid w:val="00F83D9B"/>
    <w:rsid w:val="00F842FA"/>
    <w:rsid w:val="00F84D5E"/>
    <w:rsid w:val="00F8511D"/>
    <w:rsid w:val="00F85BF3"/>
    <w:rsid w:val="00F86D4E"/>
    <w:rsid w:val="00F87094"/>
    <w:rsid w:val="00F90224"/>
    <w:rsid w:val="00F90968"/>
    <w:rsid w:val="00F90ABA"/>
    <w:rsid w:val="00F90C19"/>
    <w:rsid w:val="00F91229"/>
    <w:rsid w:val="00F91553"/>
    <w:rsid w:val="00F91997"/>
    <w:rsid w:val="00F92570"/>
    <w:rsid w:val="00F92606"/>
    <w:rsid w:val="00F934A0"/>
    <w:rsid w:val="00F958D9"/>
    <w:rsid w:val="00F95915"/>
    <w:rsid w:val="00F95FB1"/>
    <w:rsid w:val="00F96DB1"/>
    <w:rsid w:val="00F96FE6"/>
    <w:rsid w:val="00F972F6"/>
    <w:rsid w:val="00FA0126"/>
    <w:rsid w:val="00FA03A2"/>
    <w:rsid w:val="00FA0FD7"/>
    <w:rsid w:val="00FA20E1"/>
    <w:rsid w:val="00FA356A"/>
    <w:rsid w:val="00FA4181"/>
    <w:rsid w:val="00FA6B85"/>
    <w:rsid w:val="00FA6F9A"/>
    <w:rsid w:val="00FA777A"/>
    <w:rsid w:val="00FA7850"/>
    <w:rsid w:val="00FA7F7A"/>
    <w:rsid w:val="00FB0B02"/>
    <w:rsid w:val="00FB1714"/>
    <w:rsid w:val="00FB1F58"/>
    <w:rsid w:val="00FB231F"/>
    <w:rsid w:val="00FB2987"/>
    <w:rsid w:val="00FB33E2"/>
    <w:rsid w:val="00FB49C0"/>
    <w:rsid w:val="00FB4A84"/>
    <w:rsid w:val="00FB5554"/>
    <w:rsid w:val="00FB5AAA"/>
    <w:rsid w:val="00FB5FC5"/>
    <w:rsid w:val="00FB6B2A"/>
    <w:rsid w:val="00FB6F2E"/>
    <w:rsid w:val="00FB7E64"/>
    <w:rsid w:val="00FC06B6"/>
    <w:rsid w:val="00FC131B"/>
    <w:rsid w:val="00FC2AA9"/>
    <w:rsid w:val="00FC2B4B"/>
    <w:rsid w:val="00FC2D6D"/>
    <w:rsid w:val="00FC3144"/>
    <w:rsid w:val="00FC3B92"/>
    <w:rsid w:val="00FC3F67"/>
    <w:rsid w:val="00FC5600"/>
    <w:rsid w:val="00FC7C65"/>
    <w:rsid w:val="00FC7CD1"/>
    <w:rsid w:val="00FC7D42"/>
    <w:rsid w:val="00FD03C2"/>
    <w:rsid w:val="00FD1175"/>
    <w:rsid w:val="00FD2084"/>
    <w:rsid w:val="00FD354D"/>
    <w:rsid w:val="00FD3951"/>
    <w:rsid w:val="00FD4653"/>
    <w:rsid w:val="00FD4F72"/>
    <w:rsid w:val="00FD5E8D"/>
    <w:rsid w:val="00FD62DF"/>
    <w:rsid w:val="00FD7060"/>
    <w:rsid w:val="00FD75A2"/>
    <w:rsid w:val="00FD78C7"/>
    <w:rsid w:val="00FE0C7F"/>
    <w:rsid w:val="00FE0F72"/>
    <w:rsid w:val="00FE129A"/>
    <w:rsid w:val="00FE21D2"/>
    <w:rsid w:val="00FE2E38"/>
    <w:rsid w:val="00FE3A14"/>
    <w:rsid w:val="00FE3B23"/>
    <w:rsid w:val="00FE3E51"/>
    <w:rsid w:val="00FE4768"/>
    <w:rsid w:val="00FE4FBD"/>
    <w:rsid w:val="00FE52A8"/>
    <w:rsid w:val="00FE5842"/>
    <w:rsid w:val="00FE5AD6"/>
    <w:rsid w:val="00FE74D3"/>
    <w:rsid w:val="00FE7E97"/>
    <w:rsid w:val="00FF02A1"/>
    <w:rsid w:val="00FF0C83"/>
    <w:rsid w:val="00FF32D5"/>
    <w:rsid w:val="00FF507C"/>
    <w:rsid w:val="00FF6DD4"/>
    <w:rsid w:val="00FF6EFD"/>
    <w:rsid w:val="00FF7F68"/>
    <w:rsid w:val="0120458E"/>
    <w:rsid w:val="0123584C"/>
    <w:rsid w:val="01344155"/>
    <w:rsid w:val="016B5DC7"/>
    <w:rsid w:val="016D5B82"/>
    <w:rsid w:val="01730929"/>
    <w:rsid w:val="01871C62"/>
    <w:rsid w:val="018D1A7A"/>
    <w:rsid w:val="01973B44"/>
    <w:rsid w:val="019E656A"/>
    <w:rsid w:val="01D24A1F"/>
    <w:rsid w:val="01D67404"/>
    <w:rsid w:val="01E22B2A"/>
    <w:rsid w:val="02144966"/>
    <w:rsid w:val="022D245A"/>
    <w:rsid w:val="023615AF"/>
    <w:rsid w:val="02443CCC"/>
    <w:rsid w:val="02512FE5"/>
    <w:rsid w:val="025D11B8"/>
    <w:rsid w:val="027C00D5"/>
    <w:rsid w:val="02864952"/>
    <w:rsid w:val="028D43DC"/>
    <w:rsid w:val="02A525AF"/>
    <w:rsid w:val="02FE44DC"/>
    <w:rsid w:val="03231B33"/>
    <w:rsid w:val="03525A9E"/>
    <w:rsid w:val="035953D9"/>
    <w:rsid w:val="0365642C"/>
    <w:rsid w:val="03810EC7"/>
    <w:rsid w:val="038500F8"/>
    <w:rsid w:val="03BB23AE"/>
    <w:rsid w:val="03D10AC9"/>
    <w:rsid w:val="03E215EA"/>
    <w:rsid w:val="03E870E6"/>
    <w:rsid w:val="04115E30"/>
    <w:rsid w:val="04234BC1"/>
    <w:rsid w:val="04446205"/>
    <w:rsid w:val="04471852"/>
    <w:rsid w:val="04495324"/>
    <w:rsid w:val="04600486"/>
    <w:rsid w:val="04722D72"/>
    <w:rsid w:val="04794607"/>
    <w:rsid w:val="04A24CDA"/>
    <w:rsid w:val="04A74974"/>
    <w:rsid w:val="04DB2E9B"/>
    <w:rsid w:val="04DF5F2E"/>
    <w:rsid w:val="04E3295A"/>
    <w:rsid w:val="04ED605E"/>
    <w:rsid w:val="05256CC5"/>
    <w:rsid w:val="053E377B"/>
    <w:rsid w:val="054516BB"/>
    <w:rsid w:val="05485881"/>
    <w:rsid w:val="055C16CF"/>
    <w:rsid w:val="05C943F5"/>
    <w:rsid w:val="06020E53"/>
    <w:rsid w:val="06262701"/>
    <w:rsid w:val="06316315"/>
    <w:rsid w:val="06320D53"/>
    <w:rsid w:val="063F4ED6"/>
    <w:rsid w:val="06545260"/>
    <w:rsid w:val="065C7F61"/>
    <w:rsid w:val="06616D34"/>
    <w:rsid w:val="06FC6923"/>
    <w:rsid w:val="070936BE"/>
    <w:rsid w:val="072E2CF9"/>
    <w:rsid w:val="072F42FD"/>
    <w:rsid w:val="07380A73"/>
    <w:rsid w:val="073D0CEA"/>
    <w:rsid w:val="073E6B0C"/>
    <w:rsid w:val="07467658"/>
    <w:rsid w:val="074B1659"/>
    <w:rsid w:val="07520F45"/>
    <w:rsid w:val="0758727E"/>
    <w:rsid w:val="076170CE"/>
    <w:rsid w:val="076448E5"/>
    <w:rsid w:val="07723B19"/>
    <w:rsid w:val="0781151E"/>
    <w:rsid w:val="07821687"/>
    <w:rsid w:val="079B1D8D"/>
    <w:rsid w:val="07AE658A"/>
    <w:rsid w:val="07C763C8"/>
    <w:rsid w:val="07E44D05"/>
    <w:rsid w:val="07E60A2C"/>
    <w:rsid w:val="07EC72B0"/>
    <w:rsid w:val="07FB307F"/>
    <w:rsid w:val="07FE2B6F"/>
    <w:rsid w:val="08114650"/>
    <w:rsid w:val="082E197B"/>
    <w:rsid w:val="082F7E1D"/>
    <w:rsid w:val="085025D0"/>
    <w:rsid w:val="08546A41"/>
    <w:rsid w:val="08695763"/>
    <w:rsid w:val="088E7FC1"/>
    <w:rsid w:val="08AB4A00"/>
    <w:rsid w:val="08C3758B"/>
    <w:rsid w:val="08D36477"/>
    <w:rsid w:val="090F50F0"/>
    <w:rsid w:val="091A3A51"/>
    <w:rsid w:val="091C32AD"/>
    <w:rsid w:val="093C07E0"/>
    <w:rsid w:val="09640C9C"/>
    <w:rsid w:val="09672D14"/>
    <w:rsid w:val="09CA3103"/>
    <w:rsid w:val="09E5410E"/>
    <w:rsid w:val="0A0D119F"/>
    <w:rsid w:val="0A275576"/>
    <w:rsid w:val="0A7740C9"/>
    <w:rsid w:val="0A800E2A"/>
    <w:rsid w:val="0A8E121A"/>
    <w:rsid w:val="0B064CAC"/>
    <w:rsid w:val="0B0D3FDC"/>
    <w:rsid w:val="0B0D58E7"/>
    <w:rsid w:val="0B381EF4"/>
    <w:rsid w:val="0B56100C"/>
    <w:rsid w:val="0B5D570A"/>
    <w:rsid w:val="0B7953C0"/>
    <w:rsid w:val="0B8E3C27"/>
    <w:rsid w:val="0BB52F3C"/>
    <w:rsid w:val="0BBE4333"/>
    <w:rsid w:val="0BC62CE6"/>
    <w:rsid w:val="0BF311AC"/>
    <w:rsid w:val="0C0E7CC4"/>
    <w:rsid w:val="0C1269F3"/>
    <w:rsid w:val="0C6D0460"/>
    <w:rsid w:val="0C7854BF"/>
    <w:rsid w:val="0C850098"/>
    <w:rsid w:val="0C931B6B"/>
    <w:rsid w:val="0CAE14FB"/>
    <w:rsid w:val="0CC55A09"/>
    <w:rsid w:val="0CD66DEE"/>
    <w:rsid w:val="0CE560AB"/>
    <w:rsid w:val="0D067A7F"/>
    <w:rsid w:val="0D166265"/>
    <w:rsid w:val="0D1C3F75"/>
    <w:rsid w:val="0D4B0C5A"/>
    <w:rsid w:val="0D5E20F0"/>
    <w:rsid w:val="0D7929BD"/>
    <w:rsid w:val="0D8E6ED3"/>
    <w:rsid w:val="0D98311E"/>
    <w:rsid w:val="0DB401FC"/>
    <w:rsid w:val="0DD405FA"/>
    <w:rsid w:val="0DDC2E90"/>
    <w:rsid w:val="0DDF3E69"/>
    <w:rsid w:val="0DE14AC5"/>
    <w:rsid w:val="0DE56F32"/>
    <w:rsid w:val="0DE97CF3"/>
    <w:rsid w:val="0DED3C4D"/>
    <w:rsid w:val="0E1D52CC"/>
    <w:rsid w:val="0E3452A8"/>
    <w:rsid w:val="0E361BD5"/>
    <w:rsid w:val="0E815637"/>
    <w:rsid w:val="0E927B6D"/>
    <w:rsid w:val="0E945877"/>
    <w:rsid w:val="0E997665"/>
    <w:rsid w:val="0E9E2ED6"/>
    <w:rsid w:val="0EA025EA"/>
    <w:rsid w:val="0EA10664"/>
    <w:rsid w:val="0EB524A1"/>
    <w:rsid w:val="0EE20AF5"/>
    <w:rsid w:val="0EF05B84"/>
    <w:rsid w:val="0EFD6575"/>
    <w:rsid w:val="0F1D3577"/>
    <w:rsid w:val="0F1E7D65"/>
    <w:rsid w:val="0F393540"/>
    <w:rsid w:val="0F607BF1"/>
    <w:rsid w:val="0F713C26"/>
    <w:rsid w:val="0FB769FE"/>
    <w:rsid w:val="0FC131DB"/>
    <w:rsid w:val="0FCB4B18"/>
    <w:rsid w:val="0FCD6C98"/>
    <w:rsid w:val="0FE350D9"/>
    <w:rsid w:val="0FED089C"/>
    <w:rsid w:val="101449A8"/>
    <w:rsid w:val="10260EB5"/>
    <w:rsid w:val="102A7E93"/>
    <w:rsid w:val="102E7B2D"/>
    <w:rsid w:val="10305890"/>
    <w:rsid w:val="10534DBE"/>
    <w:rsid w:val="1068327B"/>
    <w:rsid w:val="107875A7"/>
    <w:rsid w:val="107C343E"/>
    <w:rsid w:val="107E130A"/>
    <w:rsid w:val="10846AB0"/>
    <w:rsid w:val="108F6A5A"/>
    <w:rsid w:val="1090632E"/>
    <w:rsid w:val="10CD1330"/>
    <w:rsid w:val="10EE711E"/>
    <w:rsid w:val="1104733D"/>
    <w:rsid w:val="11246C48"/>
    <w:rsid w:val="112D6151"/>
    <w:rsid w:val="113B1DB1"/>
    <w:rsid w:val="114B532C"/>
    <w:rsid w:val="11513438"/>
    <w:rsid w:val="116F3D82"/>
    <w:rsid w:val="117F4DC6"/>
    <w:rsid w:val="11A23ED5"/>
    <w:rsid w:val="11A951BA"/>
    <w:rsid w:val="11B44BC1"/>
    <w:rsid w:val="11B5429E"/>
    <w:rsid w:val="11CF52F1"/>
    <w:rsid w:val="11D23466"/>
    <w:rsid w:val="11DD7458"/>
    <w:rsid w:val="11E00626"/>
    <w:rsid w:val="11F0774E"/>
    <w:rsid w:val="11F356FC"/>
    <w:rsid w:val="121865DB"/>
    <w:rsid w:val="121A3792"/>
    <w:rsid w:val="122406E6"/>
    <w:rsid w:val="125D115D"/>
    <w:rsid w:val="12676A72"/>
    <w:rsid w:val="127001C5"/>
    <w:rsid w:val="12743D24"/>
    <w:rsid w:val="1299596E"/>
    <w:rsid w:val="12AD766B"/>
    <w:rsid w:val="12B02CB8"/>
    <w:rsid w:val="12E13849"/>
    <w:rsid w:val="130C2011"/>
    <w:rsid w:val="13135EB3"/>
    <w:rsid w:val="13186B1A"/>
    <w:rsid w:val="13256969"/>
    <w:rsid w:val="133A6411"/>
    <w:rsid w:val="13526B64"/>
    <w:rsid w:val="1356385F"/>
    <w:rsid w:val="135E2728"/>
    <w:rsid w:val="136B189B"/>
    <w:rsid w:val="136E6014"/>
    <w:rsid w:val="137327C2"/>
    <w:rsid w:val="13816B66"/>
    <w:rsid w:val="13914897"/>
    <w:rsid w:val="13B44698"/>
    <w:rsid w:val="13BD743A"/>
    <w:rsid w:val="13C62793"/>
    <w:rsid w:val="13C7650B"/>
    <w:rsid w:val="141334FE"/>
    <w:rsid w:val="142B4CEC"/>
    <w:rsid w:val="142E0338"/>
    <w:rsid w:val="142E4FE1"/>
    <w:rsid w:val="14551D69"/>
    <w:rsid w:val="14944DC5"/>
    <w:rsid w:val="14A27358"/>
    <w:rsid w:val="14B4083D"/>
    <w:rsid w:val="14EC3D9C"/>
    <w:rsid w:val="14FF6828"/>
    <w:rsid w:val="1508619E"/>
    <w:rsid w:val="15162BEE"/>
    <w:rsid w:val="153D4E60"/>
    <w:rsid w:val="15AD3329"/>
    <w:rsid w:val="15B14FB4"/>
    <w:rsid w:val="15BB7172"/>
    <w:rsid w:val="15E02697"/>
    <w:rsid w:val="15FD1B1A"/>
    <w:rsid w:val="160718C9"/>
    <w:rsid w:val="161D2A08"/>
    <w:rsid w:val="161D5A46"/>
    <w:rsid w:val="16285FB7"/>
    <w:rsid w:val="163A32E0"/>
    <w:rsid w:val="165D3284"/>
    <w:rsid w:val="165E3157"/>
    <w:rsid w:val="166A7255"/>
    <w:rsid w:val="166B3108"/>
    <w:rsid w:val="16730284"/>
    <w:rsid w:val="16832189"/>
    <w:rsid w:val="16A1695E"/>
    <w:rsid w:val="16B56AEF"/>
    <w:rsid w:val="16B5744C"/>
    <w:rsid w:val="16DC1E6E"/>
    <w:rsid w:val="16DF4937"/>
    <w:rsid w:val="16F9480D"/>
    <w:rsid w:val="1700546C"/>
    <w:rsid w:val="170835D7"/>
    <w:rsid w:val="171750B3"/>
    <w:rsid w:val="17436FA2"/>
    <w:rsid w:val="17654F9E"/>
    <w:rsid w:val="176E0FB5"/>
    <w:rsid w:val="17866628"/>
    <w:rsid w:val="17877D4B"/>
    <w:rsid w:val="17A662EF"/>
    <w:rsid w:val="17A74C5B"/>
    <w:rsid w:val="17B21108"/>
    <w:rsid w:val="17C446F6"/>
    <w:rsid w:val="17CB527B"/>
    <w:rsid w:val="17E31439"/>
    <w:rsid w:val="17FB319C"/>
    <w:rsid w:val="180371D8"/>
    <w:rsid w:val="18371378"/>
    <w:rsid w:val="18583BD5"/>
    <w:rsid w:val="18891FE1"/>
    <w:rsid w:val="189424AD"/>
    <w:rsid w:val="189528B8"/>
    <w:rsid w:val="18975EDC"/>
    <w:rsid w:val="18B3705E"/>
    <w:rsid w:val="18C20978"/>
    <w:rsid w:val="18DE1C10"/>
    <w:rsid w:val="19012763"/>
    <w:rsid w:val="191028D5"/>
    <w:rsid w:val="195645B9"/>
    <w:rsid w:val="19874772"/>
    <w:rsid w:val="199A62E5"/>
    <w:rsid w:val="19A127A0"/>
    <w:rsid w:val="19A5109C"/>
    <w:rsid w:val="19CF7EC7"/>
    <w:rsid w:val="19D76817"/>
    <w:rsid w:val="19DA1D21"/>
    <w:rsid w:val="1A16770C"/>
    <w:rsid w:val="1A18265E"/>
    <w:rsid w:val="1A634E7B"/>
    <w:rsid w:val="1A75317D"/>
    <w:rsid w:val="1A763EBB"/>
    <w:rsid w:val="1A846F04"/>
    <w:rsid w:val="1B007FF8"/>
    <w:rsid w:val="1B0C272C"/>
    <w:rsid w:val="1B207ACA"/>
    <w:rsid w:val="1B282AD5"/>
    <w:rsid w:val="1B3B17AF"/>
    <w:rsid w:val="1B4B7E14"/>
    <w:rsid w:val="1B570201"/>
    <w:rsid w:val="1B5A3198"/>
    <w:rsid w:val="1B624471"/>
    <w:rsid w:val="1B656D35"/>
    <w:rsid w:val="1B691D43"/>
    <w:rsid w:val="1B7A0ECD"/>
    <w:rsid w:val="1B8D762B"/>
    <w:rsid w:val="1B982D24"/>
    <w:rsid w:val="1BA829C9"/>
    <w:rsid w:val="1BF360C5"/>
    <w:rsid w:val="1C1E0055"/>
    <w:rsid w:val="1C832B8E"/>
    <w:rsid w:val="1C83719E"/>
    <w:rsid w:val="1C850D11"/>
    <w:rsid w:val="1CCF7F31"/>
    <w:rsid w:val="1CDF2BC5"/>
    <w:rsid w:val="1CE85BD6"/>
    <w:rsid w:val="1CF6749F"/>
    <w:rsid w:val="1D5672EA"/>
    <w:rsid w:val="1D5822F8"/>
    <w:rsid w:val="1D7A076C"/>
    <w:rsid w:val="1D7C2114"/>
    <w:rsid w:val="1DBA6D7A"/>
    <w:rsid w:val="1DD77A96"/>
    <w:rsid w:val="1DDD668B"/>
    <w:rsid w:val="1DE31C89"/>
    <w:rsid w:val="1DEA1774"/>
    <w:rsid w:val="1DF43770"/>
    <w:rsid w:val="1DF925E3"/>
    <w:rsid w:val="1E26179C"/>
    <w:rsid w:val="1E2D044C"/>
    <w:rsid w:val="1E7E4CFC"/>
    <w:rsid w:val="1E8B628E"/>
    <w:rsid w:val="1EBD4C0C"/>
    <w:rsid w:val="1ECD28C9"/>
    <w:rsid w:val="1EF5217E"/>
    <w:rsid w:val="1EFB2182"/>
    <w:rsid w:val="1EFE45E9"/>
    <w:rsid w:val="1F023DD8"/>
    <w:rsid w:val="1F1F369F"/>
    <w:rsid w:val="1F8A0129"/>
    <w:rsid w:val="1FAA11BB"/>
    <w:rsid w:val="1FB63CEA"/>
    <w:rsid w:val="1FB84B14"/>
    <w:rsid w:val="1FCB730A"/>
    <w:rsid w:val="1FCD6C57"/>
    <w:rsid w:val="1FE20E19"/>
    <w:rsid w:val="1FFA4EF4"/>
    <w:rsid w:val="2003041B"/>
    <w:rsid w:val="20472ECD"/>
    <w:rsid w:val="208D5077"/>
    <w:rsid w:val="20AA34B3"/>
    <w:rsid w:val="20AA5700"/>
    <w:rsid w:val="20AD0837"/>
    <w:rsid w:val="20B03F37"/>
    <w:rsid w:val="20B71B63"/>
    <w:rsid w:val="20D14047"/>
    <w:rsid w:val="20E76E47"/>
    <w:rsid w:val="20F927A9"/>
    <w:rsid w:val="20FE7C24"/>
    <w:rsid w:val="21117017"/>
    <w:rsid w:val="213845A4"/>
    <w:rsid w:val="213A5FD8"/>
    <w:rsid w:val="213C22E6"/>
    <w:rsid w:val="214644A7"/>
    <w:rsid w:val="214A112B"/>
    <w:rsid w:val="2150290B"/>
    <w:rsid w:val="2156503C"/>
    <w:rsid w:val="21762311"/>
    <w:rsid w:val="21843C8D"/>
    <w:rsid w:val="2188552B"/>
    <w:rsid w:val="21986917"/>
    <w:rsid w:val="21B5664C"/>
    <w:rsid w:val="21D03533"/>
    <w:rsid w:val="220E23F4"/>
    <w:rsid w:val="22106FC4"/>
    <w:rsid w:val="22137BA5"/>
    <w:rsid w:val="22222E58"/>
    <w:rsid w:val="2228092A"/>
    <w:rsid w:val="22280F08"/>
    <w:rsid w:val="223223E5"/>
    <w:rsid w:val="226135BA"/>
    <w:rsid w:val="227930C6"/>
    <w:rsid w:val="22983747"/>
    <w:rsid w:val="22BC0E97"/>
    <w:rsid w:val="22C85FA2"/>
    <w:rsid w:val="22CC5CB1"/>
    <w:rsid w:val="22DD30F4"/>
    <w:rsid w:val="23A777BF"/>
    <w:rsid w:val="23B07E0C"/>
    <w:rsid w:val="23C5525C"/>
    <w:rsid w:val="23CB5F17"/>
    <w:rsid w:val="23F726D9"/>
    <w:rsid w:val="241023E4"/>
    <w:rsid w:val="241526D3"/>
    <w:rsid w:val="241A2687"/>
    <w:rsid w:val="24291491"/>
    <w:rsid w:val="243F3F38"/>
    <w:rsid w:val="24493D40"/>
    <w:rsid w:val="246E29A5"/>
    <w:rsid w:val="249543F8"/>
    <w:rsid w:val="24A309CE"/>
    <w:rsid w:val="24AD7057"/>
    <w:rsid w:val="24D613E4"/>
    <w:rsid w:val="24D665AE"/>
    <w:rsid w:val="24E011DB"/>
    <w:rsid w:val="24FC5B51"/>
    <w:rsid w:val="25000AC4"/>
    <w:rsid w:val="251956B6"/>
    <w:rsid w:val="25697043"/>
    <w:rsid w:val="25803E00"/>
    <w:rsid w:val="258B55EA"/>
    <w:rsid w:val="25A466EB"/>
    <w:rsid w:val="25A72383"/>
    <w:rsid w:val="25EA0D48"/>
    <w:rsid w:val="25EF404C"/>
    <w:rsid w:val="25F40E00"/>
    <w:rsid w:val="261C05D2"/>
    <w:rsid w:val="262F241A"/>
    <w:rsid w:val="263E265D"/>
    <w:rsid w:val="26494F24"/>
    <w:rsid w:val="26667B92"/>
    <w:rsid w:val="26737853"/>
    <w:rsid w:val="26760D12"/>
    <w:rsid w:val="26781860"/>
    <w:rsid w:val="26924F6F"/>
    <w:rsid w:val="26A1141B"/>
    <w:rsid w:val="26AA6753"/>
    <w:rsid w:val="26AE2448"/>
    <w:rsid w:val="26C2212C"/>
    <w:rsid w:val="26F471BF"/>
    <w:rsid w:val="271E31B6"/>
    <w:rsid w:val="27313F6F"/>
    <w:rsid w:val="273B2412"/>
    <w:rsid w:val="27567F28"/>
    <w:rsid w:val="27721C50"/>
    <w:rsid w:val="277976C4"/>
    <w:rsid w:val="27C9075F"/>
    <w:rsid w:val="27C93AA6"/>
    <w:rsid w:val="27D536CF"/>
    <w:rsid w:val="28040CA5"/>
    <w:rsid w:val="2810627B"/>
    <w:rsid w:val="28163D05"/>
    <w:rsid w:val="281C4C20"/>
    <w:rsid w:val="28496CB3"/>
    <w:rsid w:val="2868457E"/>
    <w:rsid w:val="28795BCE"/>
    <w:rsid w:val="287B5482"/>
    <w:rsid w:val="28CB0887"/>
    <w:rsid w:val="28FC1D3A"/>
    <w:rsid w:val="28FD4B60"/>
    <w:rsid w:val="290A2CCA"/>
    <w:rsid w:val="29280F05"/>
    <w:rsid w:val="29287145"/>
    <w:rsid w:val="29331B12"/>
    <w:rsid w:val="293B0155"/>
    <w:rsid w:val="29995DFC"/>
    <w:rsid w:val="29A21B12"/>
    <w:rsid w:val="29A57D37"/>
    <w:rsid w:val="29EE439A"/>
    <w:rsid w:val="2A092F82"/>
    <w:rsid w:val="2A1247A9"/>
    <w:rsid w:val="2A3D090A"/>
    <w:rsid w:val="2A431C41"/>
    <w:rsid w:val="2A5E77FA"/>
    <w:rsid w:val="2A685EFA"/>
    <w:rsid w:val="2A7163E3"/>
    <w:rsid w:val="2A86136E"/>
    <w:rsid w:val="2A8B3AE2"/>
    <w:rsid w:val="2A8D3BB3"/>
    <w:rsid w:val="2ADC4216"/>
    <w:rsid w:val="2AE13EFE"/>
    <w:rsid w:val="2AEA1E9F"/>
    <w:rsid w:val="2B10080C"/>
    <w:rsid w:val="2B137F45"/>
    <w:rsid w:val="2B2A5F61"/>
    <w:rsid w:val="2B4708B7"/>
    <w:rsid w:val="2B4C75CA"/>
    <w:rsid w:val="2B5C4F65"/>
    <w:rsid w:val="2B6A3015"/>
    <w:rsid w:val="2B801CC8"/>
    <w:rsid w:val="2BA016C4"/>
    <w:rsid w:val="2BE55033"/>
    <w:rsid w:val="2BE912BD"/>
    <w:rsid w:val="2C081230"/>
    <w:rsid w:val="2C0E0D23"/>
    <w:rsid w:val="2C2B2BD5"/>
    <w:rsid w:val="2C2E6CCF"/>
    <w:rsid w:val="2C455133"/>
    <w:rsid w:val="2C477D91"/>
    <w:rsid w:val="2C510117"/>
    <w:rsid w:val="2C661BAD"/>
    <w:rsid w:val="2C8948DB"/>
    <w:rsid w:val="2C9D172B"/>
    <w:rsid w:val="2CD46F8B"/>
    <w:rsid w:val="2CD86C3B"/>
    <w:rsid w:val="2CD9317D"/>
    <w:rsid w:val="2CD9476B"/>
    <w:rsid w:val="2D1B08F7"/>
    <w:rsid w:val="2D1B49DC"/>
    <w:rsid w:val="2D4A4429"/>
    <w:rsid w:val="2D4C621B"/>
    <w:rsid w:val="2D595F63"/>
    <w:rsid w:val="2D60735C"/>
    <w:rsid w:val="2D656C47"/>
    <w:rsid w:val="2D7E3BF3"/>
    <w:rsid w:val="2D8C7BF1"/>
    <w:rsid w:val="2DA84CAB"/>
    <w:rsid w:val="2DC81675"/>
    <w:rsid w:val="2DE23238"/>
    <w:rsid w:val="2DEA172A"/>
    <w:rsid w:val="2DFB52D7"/>
    <w:rsid w:val="2E1367B4"/>
    <w:rsid w:val="2E405590"/>
    <w:rsid w:val="2E4C2089"/>
    <w:rsid w:val="2E506BDD"/>
    <w:rsid w:val="2E777914"/>
    <w:rsid w:val="2E923B03"/>
    <w:rsid w:val="2E9B6172"/>
    <w:rsid w:val="2ED24231"/>
    <w:rsid w:val="2ED27DE6"/>
    <w:rsid w:val="2F655CA2"/>
    <w:rsid w:val="2F9977AD"/>
    <w:rsid w:val="2FAF0127"/>
    <w:rsid w:val="2FC04DBC"/>
    <w:rsid w:val="2FDC6082"/>
    <w:rsid w:val="2FF050B4"/>
    <w:rsid w:val="3014229F"/>
    <w:rsid w:val="302256EA"/>
    <w:rsid w:val="302F3016"/>
    <w:rsid w:val="30466CDD"/>
    <w:rsid w:val="3098505F"/>
    <w:rsid w:val="309B09CB"/>
    <w:rsid w:val="30B2070C"/>
    <w:rsid w:val="30B31E99"/>
    <w:rsid w:val="30F4495A"/>
    <w:rsid w:val="30F46157"/>
    <w:rsid w:val="30FE079D"/>
    <w:rsid w:val="31120BF9"/>
    <w:rsid w:val="31181CFC"/>
    <w:rsid w:val="31311361"/>
    <w:rsid w:val="313774ED"/>
    <w:rsid w:val="3163566D"/>
    <w:rsid w:val="318A3E34"/>
    <w:rsid w:val="31973209"/>
    <w:rsid w:val="31A67124"/>
    <w:rsid w:val="31BB32E3"/>
    <w:rsid w:val="31C003CA"/>
    <w:rsid w:val="31D976DD"/>
    <w:rsid w:val="31E21F25"/>
    <w:rsid w:val="321D3A6E"/>
    <w:rsid w:val="3225030F"/>
    <w:rsid w:val="32375E20"/>
    <w:rsid w:val="323E39E4"/>
    <w:rsid w:val="324059AE"/>
    <w:rsid w:val="3242154F"/>
    <w:rsid w:val="3245403D"/>
    <w:rsid w:val="3247275C"/>
    <w:rsid w:val="3255578E"/>
    <w:rsid w:val="32641206"/>
    <w:rsid w:val="327317FF"/>
    <w:rsid w:val="32742BBE"/>
    <w:rsid w:val="32877139"/>
    <w:rsid w:val="32892EB1"/>
    <w:rsid w:val="32980FDB"/>
    <w:rsid w:val="329830F5"/>
    <w:rsid w:val="32DE6113"/>
    <w:rsid w:val="330C04E6"/>
    <w:rsid w:val="33193672"/>
    <w:rsid w:val="333C1CA5"/>
    <w:rsid w:val="334B5857"/>
    <w:rsid w:val="33782ED8"/>
    <w:rsid w:val="339E473B"/>
    <w:rsid w:val="33AF7EF3"/>
    <w:rsid w:val="33C540F2"/>
    <w:rsid w:val="33E23337"/>
    <w:rsid w:val="33FF3D76"/>
    <w:rsid w:val="344F78A4"/>
    <w:rsid w:val="34636D8D"/>
    <w:rsid w:val="34637732"/>
    <w:rsid w:val="347A00FD"/>
    <w:rsid w:val="349E2F7E"/>
    <w:rsid w:val="34CC3529"/>
    <w:rsid w:val="34D5506F"/>
    <w:rsid w:val="34D73ACD"/>
    <w:rsid w:val="34E2623D"/>
    <w:rsid w:val="34E73EBF"/>
    <w:rsid w:val="34EA1491"/>
    <w:rsid w:val="35417A73"/>
    <w:rsid w:val="354707EA"/>
    <w:rsid w:val="35534836"/>
    <w:rsid w:val="356F1F2E"/>
    <w:rsid w:val="35AE4CC6"/>
    <w:rsid w:val="35B51D8E"/>
    <w:rsid w:val="35C95DA5"/>
    <w:rsid w:val="35D00DF7"/>
    <w:rsid w:val="35D170DF"/>
    <w:rsid w:val="35DB1101"/>
    <w:rsid w:val="35FD0BE5"/>
    <w:rsid w:val="360867E3"/>
    <w:rsid w:val="360D3368"/>
    <w:rsid w:val="36102D5C"/>
    <w:rsid w:val="361401E0"/>
    <w:rsid w:val="36151F71"/>
    <w:rsid w:val="361613EB"/>
    <w:rsid w:val="36171BD2"/>
    <w:rsid w:val="362058DB"/>
    <w:rsid w:val="36271315"/>
    <w:rsid w:val="36297C03"/>
    <w:rsid w:val="36346565"/>
    <w:rsid w:val="363B5D79"/>
    <w:rsid w:val="365A4E18"/>
    <w:rsid w:val="36621565"/>
    <w:rsid w:val="36816D77"/>
    <w:rsid w:val="36955374"/>
    <w:rsid w:val="36AC53C0"/>
    <w:rsid w:val="36AD7CBC"/>
    <w:rsid w:val="36B44275"/>
    <w:rsid w:val="36C6479B"/>
    <w:rsid w:val="36CC2A13"/>
    <w:rsid w:val="36DB4C4F"/>
    <w:rsid w:val="36F32FEF"/>
    <w:rsid w:val="370445C3"/>
    <w:rsid w:val="37425F4A"/>
    <w:rsid w:val="375D3E2A"/>
    <w:rsid w:val="37697A46"/>
    <w:rsid w:val="376B01B2"/>
    <w:rsid w:val="37954CDD"/>
    <w:rsid w:val="37A147F9"/>
    <w:rsid w:val="37DF5322"/>
    <w:rsid w:val="380F3E59"/>
    <w:rsid w:val="3816097A"/>
    <w:rsid w:val="38237904"/>
    <w:rsid w:val="38611A4F"/>
    <w:rsid w:val="38A61D2C"/>
    <w:rsid w:val="38B04AB1"/>
    <w:rsid w:val="38BE03B9"/>
    <w:rsid w:val="38C22C79"/>
    <w:rsid w:val="38DF10FF"/>
    <w:rsid w:val="38EC7B0C"/>
    <w:rsid w:val="38FD5546"/>
    <w:rsid w:val="391377C3"/>
    <w:rsid w:val="39235A32"/>
    <w:rsid w:val="39341D74"/>
    <w:rsid w:val="393578EF"/>
    <w:rsid w:val="393957B3"/>
    <w:rsid w:val="395B25B8"/>
    <w:rsid w:val="396F7DBF"/>
    <w:rsid w:val="39830E0A"/>
    <w:rsid w:val="398375D4"/>
    <w:rsid w:val="39932868"/>
    <w:rsid w:val="39A93E39"/>
    <w:rsid w:val="39B50A30"/>
    <w:rsid w:val="3A013C75"/>
    <w:rsid w:val="3A5C7C4F"/>
    <w:rsid w:val="3A884383"/>
    <w:rsid w:val="3A9446F3"/>
    <w:rsid w:val="3AC525ED"/>
    <w:rsid w:val="3AD45179"/>
    <w:rsid w:val="3AEE6DE3"/>
    <w:rsid w:val="3AFB6916"/>
    <w:rsid w:val="3B4007CD"/>
    <w:rsid w:val="3B481480"/>
    <w:rsid w:val="3B5F00A2"/>
    <w:rsid w:val="3B75456D"/>
    <w:rsid w:val="3BA7799B"/>
    <w:rsid w:val="3BA945C4"/>
    <w:rsid w:val="3BAD4232"/>
    <w:rsid w:val="3BB31BC5"/>
    <w:rsid w:val="3BB32D4D"/>
    <w:rsid w:val="3BDD673F"/>
    <w:rsid w:val="3C1F03E3"/>
    <w:rsid w:val="3C3247FE"/>
    <w:rsid w:val="3C6201CC"/>
    <w:rsid w:val="3C686F62"/>
    <w:rsid w:val="3C7216BE"/>
    <w:rsid w:val="3C764CFE"/>
    <w:rsid w:val="3C820A8A"/>
    <w:rsid w:val="3C8256AA"/>
    <w:rsid w:val="3C9630FC"/>
    <w:rsid w:val="3C9C243F"/>
    <w:rsid w:val="3CC87977"/>
    <w:rsid w:val="3CDC7196"/>
    <w:rsid w:val="3CDD590D"/>
    <w:rsid w:val="3D6405FF"/>
    <w:rsid w:val="3D6A1B1F"/>
    <w:rsid w:val="3D7F40CC"/>
    <w:rsid w:val="3D9B65E3"/>
    <w:rsid w:val="3DA3007C"/>
    <w:rsid w:val="3DAD7410"/>
    <w:rsid w:val="3DB9375A"/>
    <w:rsid w:val="3DBE3CBE"/>
    <w:rsid w:val="3DD510C9"/>
    <w:rsid w:val="3E021D6A"/>
    <w:rsid w:val="3E2241BA"/>
    <w:rsid w:val="3E23065E"/>
    <w:rsid w:val="3E893F2C"/>
    <w:rsid w:val="3ED13DE1"/>
    <w:rsid w:val="3ED82604"/>
    <w:rsid w:val="3EE572D4"/>
    <w:rsid w:val="3EE93BD8"/>
    <w:rsid w:val="3EF176CD"/>
    <w:rsid w:val="3EF20030"/>
    <w:rsid w:val="3EF20610"/>
    <w:rsid w:val="3F214472"/>
    <w:rsid w:val="3F5D7BA0"/>
    <w:rsid w:val="3F78269E"/>
    <w:rsid w:val="3F9212CC"/>
    <w:rsid w:val="3FAC01DF"/>
    <w:rsid w:val="3FB05F21"/>
    <w:rsid w:val="3FC3349F"/>
    <w:rsid w:val="3FFF2919"/>
    <w:rsid w:val="40153FD6"/>
    <w:rsid w:val="402856A0"/>
    <w:rsid w:val="40460634"/>
    <w:rsid w:val="40A84E4B"/>
    <w:rsid w:val="41184A02"/>
    <w:rsid w:val="41270465"/>
    <w:rsid w:val="415A5382"/>
    <w:rsid w:val="41970774"/>
    <w:rsid w:val="41C77552"/>
    <w:rsid w:val="41E653B2"/>
    <w:rsid w:val="41FB3B6D"/>
    <w:rsid w:val="41FF0A9A"/>
    <w:rsid w:val="42042555"/>
    <w:rsid w:val="422E312E"/>
    <w:rsid w:val="42471D33"/>
    <w:rsid w:val="42521512"/>
    <w:rsid w:val="426F101A"/>
    <w:rsid w:val="42772AAB"/>
    <w:rsid w:val="427C3412"/>
    <w:rsid w:val="42847BFD"/>
    <w:rsid w:val="42A25548"/>
    <w:rsid w:val="42AA2C03"/>
    <w:rsid w:val="42D30E89"/>
    <w:rsid w:val="42D40179"/>
    <w:rsid w:val="42E17A8C"/>
    <w:rsid w:val="42F56341"/>
    <w:rsid w:val="430E5EC9"/>
    <w:rsid w:val="432865F2"/>
    <w:rsid w:val="434D1CD9"/>
    <w:rsid w:val="43557572"/>
    <w:rsid w:val="436D4711"/>
    <w:rsid w:val="4373683C"/>
    <w:rsid w:val="43785E61"/>
    <w:rsid w:val="43A46D2C"/>
    <w:rsid w:val="43B148EA"/>
    <w:rsid w:val="43B808F8"/>
    <w:rsid w:val="43C15F14"/>
    <w:rsid w:val="43D578B3"/>
    <w:rsid w:val="43E6390E"/>
    <w:rsid w:val="43FE0AB1"/>
    <w:rsid w:val="442F0B9B"/>
    <w:rsid w:val="44520715"/>
    <w:rsid w:val="44896EAF"/>
    <w:rsid w:val="44B965C5"/>
    <w:rsid w:val="44E73A68"/>
    <w:rsid w:val="450045E1"/>
    <w:rsid w:val="45113714"/>
    <w:rsid w:val="4523785F"/>
    <w:rsid w:val="4529115C"/>
    <w:rsid w:val="455D41F1"/>
    <w:rsid w:val="4560436C"/>
    <w:rsid w:val="456344FE"/>
    <w:rsid w:val="45777EED"/>
    <w:rsid w:val="457B2BDC"/>
    <w:rsid w:val="45875897"/>
    <w:rsid w:val="458B54AD"/>
    <w:rsid w:val="45B01E02"/>
    <w:rsid w:val="45BC7331"/>
    <w:rsid w:val="45BE227A"/>
    <w:rsid w:val="45CE5891"/>
    <w:rsid w:val="45D30076"/>
    <w:rsid w:val="45D3296A"/>
    <w:rsid w:val="45D82E3F"/>
    <w:rsid w:val="45EF0901"/>
    <w:rsid w:val="46315F44"/>
    <w:rsid w:val="46384BFA"/>
    <w:rsid w:val="4648427E"/>
    <w:rsid w:val="4654512D"/>
    <w:rsid w:val="465F5FAB"/>
    <w:rsid w:val="467771DC"/>
    <w:rsid w:val="467D28D5"/>
    <w:rsid w:val="46971BE9"/>
    <w:rsid w:val="469D2F78"/>
    <w:rsid w:val="46BE5B83"/>
    <w:rsid w:val="46D5626E"/>
    <w:rsid w:val="46D85D5E"/>
    <w:rsid w:val="46F829AC"/>
    <w:rsid w:val="47050398"/>
    <w:rsid w:val="47117503"/>
    <w:rsid w:val="47172429"/>
    <w:rsid w:val="472B0583"/>
    <w:rsid w:val="4743767B"/>
    <w:rsid w:val="47837AA8"/>
    <w:rsid w:val="478F0B12"/>
    <w:rsid w:val="478F3FCD"/>
    <w:rsid w:val="47A81BD4"/>
    <w:rsid w:val="47B02837"/>
    <w:rsid w:val="47DC48C4"/>
    <w:rsid w:val="480A0A97"/>
    <w:rsid w:val="486271EA"/>
    <w:rsid w:val="48936512"/>
    <w:rsid w:val="48A974DA"/>
    <w:rsid w:val="48B96D0E"/>
    <w:rsid w:val="48BE52E4"/>
    <w:rsid w:val="48DD3AFF"/>
    <w:rsid w:val="48E677CC"/>
    <w:rsid w:val="48F90270"/>
    <w:rsid w:val="49065E19"/>
    <w:rsid w:val="490B41C9"/>
    <w:rsid w:val="49303C2F"/>
    <w:rsid w:val="493A6C69"/>
    <w:rsid w:val="49474DCA"/>
    <w:rsid w:val="495A711F"/>
    <w:rsid w:val="496F0653"/>
    <w:rsid w:val="49755AE6"/>
    <w:rsid w:val="49C1095E"/>
    <w:rsid w:val="4A321C93"/>
    <w:rsid w:val="4A3860E9"/>
    <w:rsid w:val="4A443E36"/>
    <w:rsid w:val="4A4A5D0B"/>
    <w:rsid w:val="4A4F3873"/>
    <w:rsid w:val="4A5F66D8"/>
    <w:rsid w:val="4A657908"/>
    <w:rsid w:val="4A991E77"/>
    <w:rsid w:val="4AA53F4C"/>
    <w:rsid w:val="4ABB6FBF"/>
    <w:rsid w:val="4AC9495B"/>
    <w:rsid w:val="4AD36F68"/>
    <w:rsid w:val="4AE44C97"/>
    <w:rsid w:val="4B124922"/>
    <w:rsid w:val="4B243912"/>
    <w:rsid w:val="4B354937"/>
    <w:rsid w:val="4B3861BB"/>
    <w:rsid w:val="4B4B4D69"/>
    <w:rsid w:val="4B5300A9"/>
    <w:rsid w:val="4B5D303A"/>
    <w:rsid w:val="4B971D44"/>
    <w:rsid w:val="4B9C55AC"/>
    <w:rsid w:val="4BA07421"/>
    <w:rsid w:val="4BDA712C"/>
    <w:rsid w:val="4BDF29A8"/>
    <w:rsid w:val="4C172E84"/>
    <w:rsid w:val="4C3677AE"/>
    <w:rsid w:val="4C384FBA"/>
    <w:rsid w:val="4C4A70B8"/>
    <w:rsid w:val="4C8122B9"/>
    <w:rsid w:val="4C824103"/>
    <w:rsid w:val="4CE6712F"/>
    <w:rsid w:val="4CEA2347"/>
    <w:rsid w:val="4CEC2563"/>
    <w:rsid w:val="4CFD11B7"/>
    <w:rsid w:val="4D021F5B"/>
    <w:rsid w:val="4D0E4287"/>
    <w:rsid w:val="4D110309"/>
    <w:rsid w:val="4D162E6C"/>
    <w:rsid w:val="4D224CD8"/>
    <w:rsid w:val="4D5B4FF3"/>
    <w:rsid w:val="4D673998"/>
    <w:rsid w:val="4D776F2D"/>
    <w:rsid w:val="4D812CAB"/>
    <w:rsid w:val="4DA120FC"/>
    <w:rsid w:val="4DA96AAF"/>
    <w:rsid w:val="4DAF5A31"/>
    <w:rsid w:val="4DC63EE1"/>
    <w:rsid w:val="4DCF1B2D"/>
    <w:rsid w:val="4E004662"/>
    <w:rsid w:val="4E0A3BE0"/>
    <w:rsid w:val="4E1E04FA"/>
    <w:rsid w:val="4E246234"/>
    <w:rsid w:val="4E345CD4"/>
    <w:rsid w:val="4E487C6D"/>
    <w:rsid w:val="4E4C27ED"/>
    <w:rsid w:val="4E564699"/>
    <w:rsid w:val="4E5A0AE4"/>
    <w:rsid w:val="4E6A0D7F"/>
    <w:rsid w:val="4E726A98"/>
    <w:rsid w:val="4E787E62"/>
    <w:rsid w:val="4E877144"/>
    <w:rsid w:val="4E8A45A7"/>
    <w:rsid w:val="4E964EE0"/>
    <w:rsid w:val="4EB64A27"/>
    <w:rsid w:val="4EBD4B72"/>
    <w:rsid w:val="4ECF1463"/>
    <w:rsid w:val="4EE55D69"/>
    <w:rsid w:val="4EF25644"/>
    <w:rsid w:val="4F0B69B3"/>
    <w:rsid w:val="4F102B4E"/>
    <w:rsid w:val="4F1F4F36"/>
    <w:rsid w:val="4F395F77"/>
    <w:rsid w:val="4F401BF2"/>
    <w:rsid w:val="4F4B018E"/>
    <w:rsid w:val="4F4C0EBC"/>
    <w:rsid w:val="4F5D57C0"/>
    <w:rsid w:val="4F6E4962"/>
    <w:rsid w:val="4F94365E"/>
    <w:rsid w:val="4F9F07E5"/>
    <w:rsid w:val="4F9F566B"/>
    <w:rsid w:val="4FEB43E2"/>
    <w:rsid w:val="50100316"/>
    <w:rsid w:val="502A687A"/>
    <w:rsid w:val="502E7A20"/>
    <w:rsid w:val="503E6C32"/>
    <w:rsid w:val="504B2EFC"/>
    <w:rsid w:val="50530978"/>
    <w:rsid w:val="50662E41"/>
    <w:rsid w:val="506A511E"/>
    <w:rsid w:val="50896CB7"/>
    <w:rsid w:val="508D5E0B"/>
    <w:rsid w:val="50900492"/>
    <w:rsid w:val="50976F01"/>
    <w:rsid w:val="50A52262"/>
    <w:rsid w:val="50AA076B"/>
    <w:rsid w:val="50B96C00"/>
    <w:rsid w:val="50D13F4A"/>
    <w:rsid w:val="51113646"/>
    <w:rsid w:val="5121535A"/>
    <w:rsid w:val="513A3EFC"/>
    <w:rsid w:val="51713037"/>
    <w:rsid w:val="517764E1"/>
    <w:rsid w:val="51855925"/>
    <w:rsid w:val="518E3F66"/>
    <w:rsid w:val="51A53D00"/>
    <w:rsid w:val="51AB6379"/>
    <w:rsid w:val="51C13FBE"/>
    <w:rsid w:val="52495C09"/>
    <w:rsid w:val="524A3FB4"/>
    <w:rsid w:val="52654987"/>
    <w:rsid w:val="526776F7"/>
    <w:rsid w:val="528F2803"/>
    <w:rsid w:val="528F544B"/>
    <w:rsid w:val="52EA4A77"/>
    <w:rsid w:val="53083527"/>
    <w:rsid w:val="533232D5"/>
    <w:rsid w:val="533960B0"/>
    <w:rsid w:val="536410A5"/>
    <w:rsid w:val="537813B1"/>
    <w:rsid w:val="53876B42"/>
    <w:rsid w:val="538E0A92"/>
    <w:rsid w:val="53947FA9"/>
    <w:rsid w:val="53960EDE"/>
    <w:rsid w:val="53990623"/>
    <w:rsid w:val="53A46B36"/>
    <w:rsid w:val="53BD4B8C"/>
    <w:rsid w:val="53CB1DAC"/>
    <w:rsid w:val="53DD2C05"/>
    <w:rsid w:val="540278C7"/>
    <w:rsid w:val="541E311C"/>
    <w:rsid w:val="54260CB2"/>
    <w:rsid w:val="543103BC"/>
    <w:rsid w:val="545506C8"/>
    <w:rsid w:val="545C3B2A"/>
    <w:rsid w:val="545D6432"/>
    <w:rsid w:val="54A41011"/>
    <w:rsid w:val="54AA1609"/>
    <w:rsid w:val="54AD082A"/>
    <w:rsid w:val="54D3168A"/>
    <w:rsid w:val="54DC562C"/>
    <w:rsid w:val="54DD16C4"/>
    <w:rsid w:val="54E74C2F"/>
    <w:rsid w:val="54F450A1"/>
    <w:rsid w:val="54FD751D"/>
    <w:rsid w:val="550C3614"/>
    <w:rsid w:val="550C50AE"/>
    <w:rsid w:val="55183D6F"/>
    <w:rsid w:val="5523289A"/>
    <w:rsid w:val="55284606"/>
    <w:rsid w:val="5543547F"/>
    <w:rsid w:val="55471118"/>
    <w:rsid w:val="55494538"/>
    <w:rsid w:val="554C0043"/>
    <w:rsid w:val="556557D9"/>
    <w:rsid w:val="557579E3"/>
    <w:rsid w:val="557A0141"/>
    <w:rsid w:val="55A0213D"/>
    <w:rsid w:val="55BE1F4A"/>
    <w:rsid w:val="55C342F4"/>
    <w:rsid w:val="55D84D24"/>
    <w:rsid w:val="55FB7373"/>
    <w:rsid w:val="56021A4A"/>
    <w:rsid w:val="560B5D2E"/>
    <w:rsid w:val="560D6CB0"/>
    <w:rsid w:val="563A103B"/>
    <w:rsid w:val="563E6C55"/>
    <w:rsid w:val="56405A62"/>
    <w:rsid w:val="56544EC2"/>
    <w:rsid w:val="56557533"/>
    <w:rsid w:val="565E3DEE"/>
    <w:rsid w:val="565F5B54"/>
    <w:rsid w:val="56633896"/>
    <w:rsid w:val="567D5DF1"/>
    <w:rsid w:val="56A837E8"/>
    <w:rsid w:val="56BC6B02"/>
    <w:rsid w:val="56F163E4"/>
    <w:rsid w:val="570B1838"/>
    <w:rsid w:val="57214827"/>
    <w:rsid w:val="574C49E9"/>
    <w:rsid w:val="575D2A5F"/>
    <w:rsid w:val="57672F12"/>
    <w:rsid w:val="57675BA1"/>
    <w:rsid w:val="576912FA"/>
    <w:rsid w:val="576E11A2"/>
    <w:rsid w:val="57D02C64"/>
    <w:rsid w:val="57D66815"/>
    <w:rsid w:val="57E335DF"/>
    <w:rsid w:val="58042049"/>
    <w:rsid w:val="580659DA"/>
    <w:rsid w:val="58102660"/>
    <w:rsid w:val="581C3428"/>
    <w:rsid w:val="58353010"/>
    <w:rsid w:val="584274DB"/>
    <w:rsid w:val="586D0D48"/>
    <w:rsid w:val="589F4975"/>
    <w:rsid w:val="58B61CB9"/>
    <w:rsid w:val="58BB7916"/>
    <w:rsid w:val="58D63D1E"/>
    <w:rsid w:val="58EF5EC9"/>
    <w:rsid w:val="58F36E51"/>
    <w:rsid w:val="58FF717A"/>
    <w:rsid w:val="59024894"/>
    <w:rsid w:val="59043D39"/>
    <w:rsid w:val="59134455"/>
    <w:rsid w:val="592062E6"/>
    <w:rsid w:val="592324F7"/>
    <w:rsid w:val="59275449"/>
    <w:rsid w:val="594E1B92"/>
    <w:rsid w:val="595347AB"/>
    <w:rsid w:val="59550740"/>
    <w:rsid w:val="597638E0"/>
    <w:rsid w:val="59852994"/>
    <w:rsid w:val="599F01C2"/>
    <w:rsid w:val="59A26483"/>
    <w:rsid w:val="59AF6DF2"/>
    <w:rsid w:val="59BE7AFF"/>
    <w:rsid w:val="59C8786B"/>
    <w:rsid w:val="59CF4D9E"/>
    <w:rsid w:val="59D21C58"/>
    <w:rsid w:val="5A1D1FC5"/>
    <w:rsid w:val="5A200E2A"/>
    <w:rsid w:val="5A2E4BB0"/>
    <w:rsid w:val="5A396423"/>
    <w:rsid w:val="5A951B44"/>
    <w:rsid w:val="5A981634"/>
    <w:rsid w:val="5ABD5892"/>
    <w:rsid w:val="5ADA39FB"/>
    <w:rsid w:val="5AE16044"/>
    <w:rsid w:val="5AE2133C"/>
    <w:rsid w:val="5AE34FA5"/>
    <w:rsid w:val="5B16524A"/>
    <w:rsid w:val="5B244687"/>
    <w:rsid w:val="5B35552B"/>
    <w:rsid w:val="5B3C46B5"/>
    <w:rsid w:val="5B3C70CB"/>
    <w:rsid w:val="5B4068B9"/>
    <w:rsid w:val="5B4E6197"/>
    <w:rsid w:val="5B501F0F"/>
    <w:rsid w:val="5B571ABB"/>
    <w:rsid w:val="5B5A153F"/>
    <w:rsid w:val="5B61411C"/>
    <w:rsid w:val="5B661732"/>
    <w:rsid w:val="5BB75A49"/>
    <w:rsid w:val="5BB95D06"/>
    <w:rsid w:val="5BC21A19"/>
    <w:rsid w:val="5BD31C44"/>
    <w:rsid w:val="5BE746CC"/>
    <w:rsid w:val="5BF154A0"/>
    <w:rsid w:val="5C1565FF"/>
    <w:rsid w:val="5C26303A"/>
    <w:rsid w:val="5C3220B6"/>
    <w:rsid w:val="5C48274C"/>
    <w:rsid w:val="5C9F36B8"/>
    <w:rsid w:val="5CA27D08"/>
    <w:rsid w:val="5CE44AD3"/>
    <w:rsid w:val="5CFD7E74"/>
    <w:rsid w:val="5D0134C1"/>
    <w:rsid w:val="5D137173"/>
    <w:rsid w:val="5D155B21"/>
    <w:rsid w:val="5D221689"/>
    <w:rsid w:val="5D2F4949"/>
    <w:rsid w:val="5D350FC0"/>
    <w:rsid w:val="5D795DB7"/>
    <w:rsid w:val="5D8205DF"/>
    <w:rsid w:val="5DBE3EA2"/>
    <w:rsid w:val="5E006ACA"/>
    <w:rsid w:val="5E2733D0"/>
    <w:rsid w:val="5E2C5922"/>
    <w:rsid w:val="5E617BB3"/>
    <w:rsid w:val="5E725175"/>
    <w:rsid w:val="5E734DF0"/>
    <w:rsid w:val="5E7C4259"/>
    <w:rsid w:val="5E8C7BB6"/>
    <w:rsid w:val="5EB975B5"/>
    <w:rsid w:val="5EE4309A"/>
    <w:rsid w:val="5EE56833"/>
    <w:rsid w:val="5EF22D7B"/>
    <w:rsid w:val="5F0454EA"/>
    <w:rsid w:val="5F3B7088"/>
    <w:rsid w:val="5F447FDD"/>
    <w:rsid w:val="5F541D0A"/>
    <w:rsid w:val="5F562317"/>
    <w:rsid w:val="5F7F0725"/>
    <w:rsid w:val="5F930DF8"/>
    <w:rsid w:val="5F962C10"/>
    <w:rsid w:val="5FB92779"/>
    <w:rsid w:val="5FC81B31"/>
    <w:rsid w:val="60146320"/>
    <w:rsid w:val="60363EAD"/>
    <w:rsid w:val="60427649"/>
    <w:rsid w:val="604858AA"/>
    <w:rsid w:val="608B5A6C"/>
    <w:rsid w:val="60982C77"/>
    <w:rsid w:val="60A40EB9"/>
    <w:rsid w:val="60B427BF"/>
    <w:rsid w:val="60B44395"/>
    <w:rsid w:val="60B97475"/>
    <w:rsid w:val="60D46E4F"/>
    <w:rsid w:val="60D62EB6"/>
    <w:rsid w:val="60E263B8"/>
    <w:rsid w:val="61000F3B"/>
    <w:rsid w:val="610F7448"/>
    <w:rsid w:val="61123A5A"/>
    <w:rsid w:val="61227EAA"/>
    <w:rsid w:val="61387EE8"/>
    <w:rsid w:val="613F0A5C"/>
    <w:rsid w:val="61554981"/>
    <w:rsid w:val="61677EC6"/>
    <w:rsid w:val="616A4EEF"/>
    <w:rsid w:val="619012B7"/>
    <w:rsid w:val="61BE2338"/>
    <w:rsid w:val="62201841"/>
    <w:rsid w:val="62451A52"/>
    <w:rsid w:val="628250A4"/>
    <w:rsid w:val="62DE326F"/>
    <w:rsid w:val="62E73159"/>
    <w:rsid w:val="62EA49F7"/>
    <w:rsid w:val="62F354C1"/>
    <w:rsid w:val="62F441C5"/>
    <w:rsid w:val="634B4390"/>
    <w:rsid w:val="634F59A9"/>
    <w:rsid w:val="635F0E1F"/>
    <w:rsid w:val="636B538A"/>
    <w:rsid w:val="636D0775"/>
    <w:rsid w:val="6377272F"/>
    <w:rsid w:val="638536B6"/>
    <w:rsid w:val="63D062E3"/>
    <w:rsid w:val="642301C1"/>
    <w:rsid w:val="642A0396"/>
    <w:rsid w:val="644D7725"/>
    <w:rsid w:val="644E6E76"/>
    <w:rsid w:val="645D6526"/>
    <w:rsid w:val="645F1B9D"/>
    <w:rsid w:val="64610207"/>
    <w:rsid w:val="64793010"/>
    <w:rsid w:val="64841461"/>
    <w:rsid w:val="64A74B3F"/>
    <w:rsid w:val="64AA4E0B"/>
    <w:rsid w:val="64E54EC3"/>
    <w:rsid w:val="64ED42F7"/>
    <w:rsid w:val="650E75E4"/>
    <w:rsid w:val="651433B0"/>
    <w:rsid w:val="65222FC4"/>
    <w:rsid w:val="652D5FDB"/>
    <w:rsid w:val="6553506E"/>
    <w:rsid w:val="655F79A3"/>
    <w:rsid w:val="65681E73"/>
    <w:rsid w:val="65773730"/>
    <w:rsid w:val="659154C8"/>
    <w:rsid w:val="65985371"/>
    <w:rsid w:val="65B011BE"/>
    <w:rsid w:val="65E47E23"/>
    <w:rsid w:val="65E53413"/>
    <w:rsid w:val="65F71217"/>
    <w:rsid w:val="665F74AA"/>
    <w:rsid w:val="6663687E"/>
    <w:rsid w:val="666D7E19"/>
    <w:rsid w:val="66863C3B"/>
    <w:rsid w:val="66D776F8"/>
    <w:rsid w:val="66DD06E0"/>
    <w:rsid w:val="66F127F8"/>
    <w:rsid w:val="66F63C5D"/>
    <w:rsid w:val="66F86C0B"/>
    <w:rsid w:val="670C5884"/>
    <w:rsid w:val="670D624C"/>
    <w:rsid w:val="67242BCD"/>
    <w:rsid w:val="67381478"/>
    <w:rsid w:val="67394B60"/>
    <w:rsid w:val="67424E02"/>
    <w:rsid w:val="674E39C0"/>
    <w:rsid w:val="675F45E9"/>
    <w:rsid w:val="676723DA"/>
    <w:rsid w:val="67A23584"/>
    <w:rsid w:val="67A25996"/>
    <w:rsid w:val="67B93654"/>
    <w:rsid w:val="67F67DDC"/>
    <w:rsid w:val="680C723C"/>
    <w:rsid w:val="68102E33"/>
    <w:rsid w:val="681C5D18"/>
    <w:rsid w:val="68791880"/>
    <w:rsid w:val="689C2C37"/>
    <w:rsid w:val="68A11AF9"/>
    <w:rsid w:val="68EC49A5"/>
    <w:rsid w:val="68F9502E"/>
    <w:rsid w:val="68FE2FAA"/>
    <w:rsid w:val="690D6182"/>
    <w:rsid w:val="691406ED"/>
    <w:rsid w:val="69330DF7"/>
    <w:rsid w:val="694806C9"/>
    <w:rsid w:val="694E3F32"/>
    <w:rsid w:val="695C2770"/>
    <w:rsid w:val="698536CB"/>
    <w:rsid w:val="698764EA"/>
    <w:rsid w:val="699456BD"/>
    <w:rsid w:val="69EE301F"/>
    <w:rsid w:val="6A076480"/>
    <w:rsid w:val="6A1026F9"/>
    <w:rsid w:val="6A314E58"/>
    <w:rsid w:val="6A436179"/>
    <w:rsid w:val="6A4507D5"/>
    <w:rsid w:val="6A7061D6"/>
    <w:rsid w:val="6A7B065E"/>
    <w:rsid w:val="6A8671A6"/>
    <w:rsid w:val="6A8B2F63"/>
    <w:rsid w:val="6A8F3072"/>
    <w:rsid w:val="6A9570EF"/>
    <w:rsid w:val="6ABC1704"/>
    <w:rsid w:val="6AC02C0D"/>
    <w:rsid w:val="6AD03A26"/>
    <w:rsid w:val="6AFC79BD"/>
    <w:rsid w:val="6B3C5B9F"/>
    <w:rsid w:val="6B6630F4"/>
    <w:rsid w:val="6B6932A5"/>
    <w:rsid w:val="6B6D2669"/>
    <w:rsid w:val="6B867605"/>
    <w:rsid w:val="6BA31452"/>
    <w:rsid w:val="6BB10FD5"/>
    <w:rsid w:val="6BC229B5"/>
    <w:rsid w:val="6BCD76BE"/>
    <w:rsid w:val="6BDA7CFF"/>
    <w:rsid w:val="6BEC5C84"/>
    <w:rsid w:val="6BEF6070"/>
    <w:rsid w:val="6C0C624A"/>
    <w:rsid w:val="6C1236EB"/>
    <w:rsid w:val="6C231969"/>
    <w:rsid w:val="6C295DED"/>
    <w:rsid w:val="6C6727B2"/>
    <w:rsid w:val="6C7252F8"/>
    <w:rsid w:val="6C7C5FAF"/>
    <w:rsid w:val="6C8247FD"/>
    <w:rsid w:val="6C903EC8"/>
    <w:rsid w:val="6CC90C2D"/>
    <w:rsid w:val="6CCC5D86"/>
    <w:rsid w:val="6CD82036"/>
    <w:rsid w:val="6CDC6F8F"/>
    <w:rsid w:val="6CDC7B2E"/>
    <w:rsid w:val="6CE60925"/>
    <w:rsid w:val="6CF06A9E"/>
    <w:rsid w:val="6CFA2F04"/>
    <w:rsid w:val="6D162FB8"/>
    <w:rsid w:val="6D210722"/>
    <w:rsid w:val="6D2E048C"/>
    <w:rsid w:val="6D3C0545"/>
    <w:rsid w:val="6D54624D"/>
    <w:rsid w:val="6D687008"/>
    <w:rsid w:val="6D6B459B"/>
    <w:rsid w:val="6D7258DD"/>
    <w:rsid w:val="6D7662CE"/>
    <w:rsid w:val="6D7E6441"/>
    <w:rsid w:val="6D863327"/>
    <w:rsid w:val="6D935305"/>
    <w:rsid w:val="6DB2110A"/>
    <w:rsid w:val="6DB6259F"/>
    <w:rsid w:val="6DDB1B0C"/>
    <w:rsid w:val="6E032E11"/>
    <w:rsid w:val="6E08037D"/>
    <w:rsid w:val="6E0B6ED5"/>
    <w:rsid w:val="6E192634"/>
    <w:rsid w:val="6E3B3F7D"/>
    <w:rsid w:val="6E421B8B"/>
    <w:rsid w:val="6E53171A"/>
    <w:rsid w:val="6E535B69"/>
    <w:rsid w:val="6E6536B4"/>
    <w:rsid w:val="6E7F433B"/>
    <w:rsid w:val="6E823952"/>
    <w:rsid w:val="6E83370F"/>
    <w:rsid w:val="6E891568"/>
    <w:rsid w:val="6EB93B02"/>
    <w:rsid w:val="6EC732B4"/>
    <w:rsid w:val="6EE97E30"/>
    <w:rsid w:val="6F311AC2"/>
    <w:rsid w:val="6F451169"/>
    <w:rsid w:val="6F814935"/>
    <w:rsid w:val="6F8C4053"/>
    <w:rsid w:val="6F930E11"/>
    <w:rsid w:val="6FAD7A87"/>
    <w:rsid w:val="6FC14FAF"/>
    <w:rsid w:val="6FD41061"/>
    <w:rsid w:val="6FEF3872"/>
    <w:rsid w:val="70390D6C"/>
    <w:rsid w:val="70740265"/>
    <w:rsid w:val="709646F3"/>
    <w:rsid w:val="70A9288A"/>
    <w:rsid w:val="70C51D39"/>
    <w:rsid w:val="70C745CA"/>
    <w:rsid w:val="70CB40BA"/>
    <w:rsid w:val="70CC398E"/>
    <w:rsid w:val="70D8659F"/>
    <w:rsid w:val="70FC24C5"/>
    <w:rsid w:val="710730EC"/>
    <w:rsid w:val="711579BE"/>
    <w:rsid w:val="715336F2"/>
    <w:rsid w:val="7156642C"/>
    <w:rsid w:val="715C2F64"/>
    <w:rsid w:val="71704C61"/>
    <w:rsid w:val="717604C9"/>
    <w:rsid w:val="71880E18"/>
    <w:rsid w:val="71915F81"/>
    <w:rsid w:val="719630FA"/>
    <w:rsid w:val="719E300E"/>
    <w:rsid w:val="71B132B0"/>
    <w:rsid w:val="71BF2350"/>
    <w:rsid w:val="71C652FE"/>
    <w:rsid w:val="71ED21B3"/>
    <w:rsid w:val="72062ED0"/>
    <w:rsid w:val="72114AAA"/>
    <w:rsid w:val="722515A8"/>
    <w:rsid w:val="724A0812"/>
    <w:rsid w:val="724A52DC"/>
    <w:rsid w:val="724D7FA5"/>
    <w:rsid w:val="72502024"/>
    <w:rsid w:val="7298775E"/>
    <w:rsid w:val="72A8785B"/>
    <w:rsid w:val="72B664E0"/>
    <w:rsid w:val="72CA5614"/>
    <w:rsid w:val="72D02258"/>
    <w:rsid w:val="72D52FCE"/>
    <w:rsid w:val="72E231CE"/>
    <w:rsid w:val="730A7AA7"/>
    <w:rsid w:val="732452B0"/>
    <w:rsid w:val="732D67A7"/>
    <w:rsid w:val="734B749E"/>
    <w:rsid w:val="73575823"/>
    <w:rsid w:val="73607B9C"/>
    <w:rsid w:val="737E0329"/>
    <w:rsid w:val="73816918"/>
    <w:rsid w:val="73894506"/>
    <w:rsid w:val="738E06F6"/>
    <w:rsid w:val="73D747B2"/>
    <w:rsid w:val="73F34921"/>
    <w:rsid w:val="73FD2A9B"/>
    <w:rsid w:val="74192476"/>
    <w:rsid w:val="741C7E24"/>
    <w:rsid w:val="745873A9"/>
    <w:rsid w:val="7463285B"/>
    <w:rsid w:val="748E2EBD"/>
    <w:rsid w:val="74AB0605"/>
    <w:rsid w:val="74B11B3B"/>
    <w:rsid w:val="74BF3F35"/>
    <w:rsid w:val="74C4575A"/>
    <w:rsid w:val="74D43BDC"/>
    <w:rsid w:val="74EF6A0A"/>
    <w:rsid w:val="74F33324"/>
    <w:rsid w:val="75023186"/>
    <w:rsid w:val="752F4586"/>
    <w:rsid w:val="75581C94"/>
    <w:rsid w:val="75600A65"/>
    <w:rsid w:val="7563387A"/>
    <w:rsid w:val="756A6DEA"/>
    <w:rsid w:val="75750A98"/>
    <w:rsid w:val="759A1D67"/>
    <w:rsid w:val="75A650F5"/>
    <w:rsid w:val="75E672A0"/>
    <w:rsid w:val="760D59D6"/>
    <w:rsid w:val="764A3CD3"/>
    <w:rsid w:val="765042D0"/>
    <w:rsid w:val="766A1C7F"/>
    <w:rsid w:val="76702E8B"/>
    <w:rsid w:val="767F4589"/>
    <w:rsid w:val="76C84BF7"/>
    <w:rsid w:val="76DC2782"/>
    <w:rsid w:val="77171FB8"/>
    <w:rsid w:val="7740651B"/>
    <w:rsid w:val="77453BED"/>
    <w:rsid w:val="774B7FC3"/>
    <w:rsid w:val="77675644"/>
    <w:rsid w:val="77690189"/>
    <w:rsid w:val="776E0DC5"/>
    <w:rsid w:val="77B910C6"/>
    <w:rsid w:val="77BA6851"/>
    <w:rsid w:val="77F261B3"/>
    <w:rsid w:val="78172436"/>
    <w:rsid w:val="78362761"/>
    <w:rsid w:val="78524552"/>
    <w:rsid w:val="786310A3"/>
    <w:rsid w:val="78880775"/>
    <w:rsid w:val="789E7863"/>
    <w:rsid w:val="78A27DF6"/>
    <w:rsid w:val="78D24D05"/>
    <w:rsid w:val="78D9001A"/>
    <w:rsid w:val="78EB02AC"/>
    <w:rsid w:val="78FB47EE"/>
    <w:rsid w:val="79142B24"/>
    <w:rsid w:val="7925297D"/>
    <w:rsid w:val="794B223C"/>
    <w:rsid w:val="795D5ACB"/>
    <w:rsid w:val="796926C2"/>
    <w:rsid w:val="796F7259"/>
    <w:rsid w:val="797161CD"/>
    <w:rsid w:val="799A02D2"/>
    <w:rsid w:val="79DB6678"/>
    <w:rsid w:val="79E41D48"/>
    <w:rsid w:val="79E5262F"/>
    <w:rsid w:val="79FC6F2D"/>
    <w:rsid w:val="7A02374B"/>
    <w:rsid w:val="7A0A15D1"/>
    <w:rsid w:val="7A0E4F5E"/>
    <w:rsid w:val="7A3E3B4E"/>
    <w:rsid w:val="7A6A4943"/>
    <w:rsid w:val="7A94551C"/>
    <w:rsid w:val="7AAB2866"/>
    <w:rsid w:val="7AC16928"/>
    <w:rsid w:val="7ADD6223"/>
    <w:rsid w:val="7B273FF1"/>
    <w:rsid w:val="7B2A7C2F"/>
    <w:rsid w:val="7B51110C"/>
    <w:rsid w:val="7B607549"/>
    <w:rsid w:val="7B7315D6"/>
    <w:rsid w:val="7BB31AED"/>
    <w:rsid w:val="7BE65B58"/>
    <w:rsid w:val="7BF344C5"/>
    <w:rsid w:val="7BFC15CB"/>
    <w:rsid w:val="7C06069C"/>
    <w:rsid w:val="7C191832"/>
    <w:rsid w:val="7C32728E"/>
    <w:rsid w:val="7C4114E7"/>
    <w:rsid w:val="7C440B4F"/>
    <w:rsid w:val="7C462E05"/>
    <w:rsid w:val="7C7C270C"/>
    <w:rsid w:val="7C7C37A5"/>
    <w:rsid w:val="7C93004B"/>
    <w:rsid w:val="7CA76433"/>
    <w:rsid w:val="7CC61BD9"/>
    <w:rsid w:val="7D080444"/>
    <w:rsid w:val="7D5B3360"/>
    <w:rsid w:val="7D636FB6"/>
    <w:rsid w:val="7D6569F7"/>
    <w:rsid w:val="7D7A661D"/>
    <w:rsid w:val="7D883096"/>
    <w:rsid w:val="7D8831F9"/>
    <w:rsid w:val="7D8A1852"/>
    <w:rsid w:val="7D9C3DC9"/>
    <w:rsid w:val="7DA3248E"/>
    <w:rsid w:val="7DC26844"/>
    <w:rsid w:val="7DD00F8E"/>
    <w:rsid w:val="7DF61E58"/>
    <w:rsid w:val="7E046E5D"/>
    <w:rsid w:val="7E14311B"/>
    <w:rsid w:val="7E195778"/>
    <w:rsid w:val="7E312A4C"/>
    <w:rsid w:val="7E41673E"/>
    <w:rsid w:val="7E4B4A8C"/>
    <w:rsid w:val="7E510A0E"/>
    <w:rsid w:val="7E70618F"/>
    <w:rsid w:val="7EA26F5F"/>
    <w:rsid w:val="7EBC78FA"/>
    <w:rsid w:val="7ED26EEB"/>
    <w:rsid w:val="7EDE145C"/>
    <w:rsid w:val="7F0D1E11"/>
    <w:rsid w:val="7F340705"/>
    <w:rsid w:val="7F49540C"/>
    <w:rsid w:val="7F93642B"/>
    <w:rsid w:val="7F9D30C5"/>
    <w:rsid w:val="7F9D5B80"/>
    <w:rsid w:val="7FAD3176"/>
    <w:rsid w:val="7FB06E37"/>
    <w:rsid w:val="7FCF6FF7"/>
    <w:rsid w:val="7FE01204"/>
    <w:rsid w:val="7FEA1C7F"/>
    <w:rsid w:val="7FF177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name="toc 4"/>
    <w:lsdException w:uiPriority="39" w:name="toc 5"/>
    <w:lsdException w:uiPriority="39" w:name="toc 6"/>
    <w:lsdException w:qFormat="1"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99"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420" w:firstLineChars="200"/>
      <w:jc w:val="both"/>
    </w:pPr>
    <w:rPr>
      <w:rFonts w:ascii="Times New Roman" w:hAnsi="Times New Roman" w:eastAsia="宋体" w:cstheme="minorBidi"/>
      <w:kern w:val="2"/>
      <w:sz w:val="24"/>
      <w:szCs w:val="24"/>
      <w:lang w:val="en-US" w:eastAsia="zh-CN" w:bidi="ar-SA"/>
    </w:rPr>
  </w:style>
  <w:style w:type="paragraph" w:styleId="3">
    <w:name w:val="heading 1"/>
    <w:basedOn w:val="1"/>
    <w:next w:val="1"/>
    <w:link w:val="27"/>
    <w:autoRedefine/>
    <w:qFormat/>
    <w:uiPriority w:val="9"/>
    <w:pPr>
      <w:keepNext/>
      <w:keepLines/>
      <w:spacing w:before="100" w:beforeLines="100" w:after="100" w:afterLines="100"/>
      <w:ind w:firstLine="0" w:firstLineChars="0"/>
      <w:jc w:val="center"/>
      <w:outlineLvl w:val="0"/>
    </w:pPr>
    <w:rPr>
      <w:rFonts w:ascii="黑体" w:hAnsi="黑体" w:eastAsia="黑体"/>
      <w:b/>
      <w:bCs/>
      <w:kern w:val="44"/>
      <w:sz w:val="32"/>
      <w:szCs w:val="44"/>
    </w:rPr>
  </w:style>
  <w:style w:type="paragraph" w:styleId="4">
    <w:name w:val="heading 2"/>
    <w:basedOn w:val="1"/>
    <w:next w:val="1"/>
    <w:link w:val="28"/>
    <w:autoRedefine/>
    <w:unhideWhenUsed/>
    <w:qFormat/>
    <w:uiPriority w:val="9"/>
    <w:pPr>
      <w:keepNext/>
      <w:keepLines/>
      <w:spacing w:before="50" w:beforeLines="50" w:after="50" w:afterLines="50"/>
      <w:outlineLvl w:val="1"/>
    </w:pPr>
    <w:rPr>
      <w:rFonts w:ascii="黑体" w:hAnsi="黑体" w:eastAsia="黑体" w:cstheme="majorBidi"/>
      <w:sz w:val="30"/>
      <w:szCs w:val="32"/>
    </w:rPr>
  </w:style>
  <w:style w:type="paragraph" w:styleId="5">
    <w:name w:val="heading 3"/>
    <w:basedOn w:val="1"/>
    <w:next w:val="1"/>
    <w:link w:val="29"/>
    <w:autoRedefine/>
    <w:unhideWhenUsed/>
    <w:qFormat/>
    <w:uiPriority w:val="9"/>
    <w:pPr>
      <w:keepNext/>
      <w:keepLines/>
      <w:outlineLvl w:val="2"/>
    </w:pPr>
    <w:rPr>
      <w:rFonts w:ascii="黑体" w:hAnsi="黑体" w:eastAsia="黑体"/>
      <w:b/>
      <w:bCs/>
      <w:sz w:val="28"/>
      <w:szCs w:val="32"/>
    </w:rPr>
  </w:style>
  <w:style w:type="paragraph" w:styleId="6">
    <w:name w:val="heading 4"/>
    <w:basedOn w:val="1"/>
    <w:next w:val="1"/>
    <w:link w:val="30"/>
    <w:autoRedefine/>
    <w:unhideWhenUsed/>
    <w:qFormat/>
    <w:uiPriority w:val="9"/>
    <w:pPr>
      <w:keepNext/>
      <w:keepLines/>
      <w:outlineLvl w:val="3"/>
    </w:pPr>
    <w:rPr>
      <w:rFonts w:ascii="黑体" w:hAnsi="黑体" w:eastAsia="黑体" w:cstheme="majorBidi"/>
      <w:b/>
      <w:bCs/>
      <w:szCs w:val="28"/>
    </w:rPr>
  </w:style>
  <w:style w:type="paragraph" w:styleId="7">
    <w:name w:val="heading 5"/>
    <w:basedOn w:val="1"/>
    <w:next w:val="1"/>
    <w:link w:val="31"/>
    <w:autoRedefine/>
    <w:unhideWhenUsed/>
    <w:qFormat/>
    <w:uiPriority w:val="9"/>
    <w:pPr>
      <w:keepNext/>
      <w:keepLines/>
      <w:outlineLvl w:val="4"/>
    </w:pPr>
    <w:rPr>
      <w:rFonts w:ascii="宋体" w:hAnsi="宋体"/>
      <w:b/>
      <w:bCs/>
      <w:szCs w:val="28"/>
    </w:rPr>
  </w:style>
  <w:style w:type="paragraph" w:styleId="8">
    <w:name w:val="heading 6"/>
    <w:basedOn w:val="1"/>
    <w:next w:val="1"/>
    <w:autoRedefine/>
    <w:semiHidden/>
    <w:unhideWhenUsed/>
    <w:qFormat/>
    <w:uiPriority w:val="9"/>
    <w:pPr>
      <w:keepNext/>
      <w:keepLines/>
      <w:ind w:firstLine="480"/>
      <w:outlineLvl w:val="5"/>
    </w:pPr>
    <w:rPr>
      <w:rFonts w:ascii="宋体" w:hAnsi="宋体" w:cs="Times New Roman"/>
      <w:b/>
    </w:rPr>
  </w:style>
  <w:style w:type="character" w:default="1" w:styleId="23">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2">
    <w:name w:val="Body Text Indent 2"/>
    <w:basedOn w:val="1"/>
    <w:next w:val="1"/>
    <w:link w:val="32"/>
    <w:autoRedefine/>
    <w:unhideWhenUsed/>
    <w:qFormat/>
    <w:uiPriority w:val="99"/>
    <w:pPr>
      <w:adjustRightInd w:val="0"/>
      <w:snapToGrid w:val="0"/>
    </w:pPr>
    <w:rPr>
      <w:rFonts w:cs="Times New Roman"/>
    </w:rPr>
  </w:style>
  <w:style w:type="paragraph" w:styleId="9">
    <w:name w:val="toc 7"/>
    <w:basedOn w:val="1"/>
    <w:next w:val="1"/>
    <w:autoRedefine/>
    <w:semiHidden/>
    <w:unhideWhenUsed/>
    <w:qFormat/>
    <w:uiPriority w:val="39"/>
    <w:pPr>
      <w:ind w:left="2520" w:leftChars="1200"/>
    </w:pPr>
  </w:style>
  <w:style w:type="paragraph" w:styleId="10">
    <w:name w:val="annotation text"/>
    <w:basedOn w:val="1"/>
    <w:autoRedefine/>
    <w:unhideWhenUsed/>
    <w:qFormat/>
    <w:uiPriority w:val="99"/>
    <w:pPr>
      <w:jc w:val="left"/>
    </w:pPr>
    <w:rPr>
      <w:rFonts w:ascii="Calibri" w:hAnsi="Calibri"/>
      <w:sz w:val="21"/>
    </w:rPr>
  </w:style>
  <w:style w:type="paragraph" w:styleId="11">
    <w:name w:val="Body Text"/>
    <w:basedOn w:val="1"/>
    <w:link w:val="56"/>
    <w:autoRedefine/>
    <w:unhideWhenUsed/>
    <w:qFormat/>
    <w:uiPriority w:val="99"/>
    <w:pPr>
      <w:spacing w:after="120"/>
    </w:pPr>
  </w:style>
  <w:style w:type="paragraph" w:styleId="12">
    <w:name w:val="toc 3"/>
    <w:basedOn w:val="1"/>
    <w:next w:val="1"/>
    <w:autoRedefine/>
    <w:unhideWhenUsed/>
    <w:qFormat/>
    <w:uiPriority w:val="39"/>
    <w:pPr>
      <w:ind w:left="840" w:leftChars="400"/>
    </w:pPr>
  </w:style>
  <w:style w:type="paragraph" w:styleId="13">
    <w:name w:val="footer"/>
    <w:basedOn w:val="1"/>
    <w:link w:val="34"/>
    <w:autoRedefine/>
    <w:unhideWhenUsed/>
    <w:qFormat/>
    <w:uiPriority w:val="99"/>
    <w:pPr>
      <w:tabs>
        <w:tab w:val="center" w:pos="4153"/>
        <w:tab w:val="right" w:pos="8306"/>
      </w:tabs>
      <w:snapToGrid w:val="0"/>
      <w:jc w:val="left"/>
    </w:pPr>
    <w:rPr>
      <w:rFonts w:ascii="宋体" w:hAnsi="宋体"/>
      <w:szCs w:val="18"/>
    </w:rPr>
  </w:style>
  <w:style w:type="paragraph" w:styleId="14">
    <w:name w:val="header"/>
    <w:basedOn w:val="1"/>
    <w:link w:val="3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unhideWhenUsed/>
    <w:qFormat/>
    <w:uiPriority w:val="39"/>
  </w:style>
  <w:style w:type="paragraph" w:styleId="16">
    <w:name w:val="toc 4"/>
    <w:basedOn w:val="1"/>
    <w:next w:val="1"/>
    <w:autoRedefine/>
    <w:semiHidden/>
    <w:unhideWhenUsed/>
    <w:qFormat/>
    <w:uiPriority w:val="39"/>
    <w:pPr>
      <w:ind w:left="1260" w:leftChars="600"/>
    </w:pPr>
  </w:style>
  <w:style w:type="paragraph" w:styleId="17">
    <w:name w:val="table of figures"/>
    <w:basedOn w:val="1"/>
    <w:next w:val="1"/>
    <w:autoRedefine/>
    <w:unhideWhenUsed/>
    <w:qFormat/>
    <w:uiPriority w:val="99"/>
    <w:pPr>
      <w:spacing w:line="480" w:lineRule="auto"/>
      <w:ind w:firstLine="0" w:firstLineChars="0"/>
      <w:jc w:val="center"/>
    </w:pPr>
    <w:rPr>
      <w:rFonts w:ascii="黑体" w:hAnsi="黑体" w:eastAsia="黑体"/>
      <w:sz w:val="21"/>
    </w:rPr>
  </w:style>
  <w:style w:type="paragraph" w:styleId="18">
    <w:name w:val="toc 2"/>
    <w:basedOn w:val="1"/>
    <w:next w:val="1"/>
    <w:autoRedefine/>
    <w:unhideWhenUsed/>
    <w:qFormat/>
    <w:uiPriority w:val="39"/>
    <w:pPr>
      <w:ind w:left="420" w:leftChars="200"/>
    </w:pPr>
  </w:style>
  <w:style w:type="paragraph" w:styleId="19">
    <w:name w:val="Body Text 2"/>
    <w:basedOn w:val="1"/>
    <w:link w:val="60"/>
    <w:autoRedefine/>
    <w:qFormat/>
    <w:uiPriority w:val="0"/>
    <w:pPr>
      <w:spacing w:after="120" w:line="480" w:lineRule="auto"/>
      <w:ind w:firstLine="883"/>
    </w:pPr>
    <w:rPr>
      <w:rFonts w:ascii="Calibri" w:hAnsi="Calibri" w:eastAsia="新宋体" w:cs="Times New Roman"/>
      <w:sz w:val="28"/>
    </w:rPr>
  </w:style>
  <w:style w:type="paragraph" w:styleId="20">
    <w:name w:val="Normal (Web)"/>
    <w:basedOn w:val="1"/>
    <w:autoRedefine/>
    <w:unhideWhenUsed/>
    <w:qFormat/>
    <w:uiPriority w:val="99"/>
  </w:style>
  <w:style w:type="table" w:styleId="22">
    <w:name w:val="Table Grid"/>
    <w:basedOn w:val="21"/>
    <w:autoRedefine/>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22"/>
    <w:rPr>
      <w:b/>
      <w:bCs/>
    </w:rPr>
  </w:style>
  <w:style w:type="character" w:styleId="25">
    <w:name w:val="Hyperlink"/>
    <w:basedOn w:val="23"/>
    <w:autoRedefine/>
    <w:unhideWhenUsed/>
    <w:qFormat/>
    <w:uiPriority w:val="99"/>
    <w:rPr>
      <w:color w:val="0000FF"/>
      <w:u w:val="single"/>
    </w:rPr>
  </w:style>
  <w:style w:type="character" w:styleId="26">
    <w:name w:val="annotation reference"/>
    <w:basedOn w:val="23"/>
    <w:autoRedefine/>
    <w:semiHidden/>
    <w:unhideWhenUsed/>
    <w:qFormat/>
    <w:uiPriority w:val="99"/>
    <w:rPr>
      <w:sz w:val="21"/>
      <w:szCs w:val="21"/>
    </w:rPr>
  </w:style>
  <w:style w:type="character" w:customStyle="1" w:styleId="27">
    <w:name w:val="标题 1 字符"/>
    <w:basedOn w:val="23"/>
    <w:link w:val="3"/>
    <w:autoRedefine/>
    <w:qFormat/>
    <w:uiPriority w:val="9"/>
    <w:rPr>
      <w:rFonts w:ascii="黑体" w:hAnsi="黑体" w:eastAsia="黑体"/>
      <w:b/>
      <w:bCs/>
      <w:kern w:val="44"/>
      <w:sz w:val="32"/>
      <w:szCs w:val="44"/>
    </w:rPr>
  </w:style>
  <w:style w:type="character" w:customStyle="1" w:styleId="28">
    <w:name w:val="标题 2 字符"/>
    <w:basedOn w:val="23"/>
    <w:link w:val="4"/>
    <w:autoRedefine/>
    <w:qFormat/>
    <w:uiPriority w:val="9"/>
    <w:rPr>
      <w:rFonts w:ascii="黑体" w:hAnsi="黑体" w:eastAsia="黑体" w:cstheme="majorBidi"/>
      <w:b/>
      <w:bCs/>
      <w:sz w:val="30"/>
      <w:szCs w:val="32"/>
    </w:rPr>
  </w:style>
  <w:style w:type="character" w:customStyle="1" w:styleId="29">
    <w:name w:val="标题 3 字符"/>
    <w:basedOn w:val="23"/>
    <w:link w:val="5"/>
    <w:autoRedefine/>
    <w:qFormat/>
    <w:uiPriority w:val="9"/>
    <w:rPr>
      <w:rFonts w:ascii="黑体" w:hAnsi="黑体" w:eastAsia="黑体"/>
      <w:b/>
      <w:bCs/>
      <w:sz w:val="28"/>
      <w:szCs w:val="32"/>
    </w:rPr>
  </w:style>
  <w:style w:type="character" w:customStyle="1" w:styleId="30">
    <w:name w:val="标题 4 字符"/>
    <w:basedOn w:val="23"/>
    <w:link w:val="6"/>
    <w:autoRedefine/>
    <w:qFormat/>
    <w:uiPriority w:val="9"/>
    <w:rPr>
      <w:rFonts w:ascii="黑体" w:hAnsi="黑体" w:eastAsia="黑体" w:cstheme="majorBidi"/>
      <w:b/>
      <w:bCs/>
      <w:sz w:val="24"/>
      <w:szCs w:val="28"/>
    </w:rPr>
  </w:style>
  <w:style w:type="character" w:customStyle="1" w:styleId="31">
    <w:name w:val="标题 5 字符"/>
    <w:basedOn w:val="23"/>
    <w:link w:val="7"/>
    <w:autoRedefine/>
    <w:qFormat/>
    <w:uiPriority w:val="9"/>
    <w:rPr>
      <w:rFonts w:ascii="宋体" w:hAnsi="宋体" w:eastAsia="宋体"/>
      <w:b/>
      <w:bCs/>
      <w:sz w:val="24"/>
      <w:szCs w:val="28"/>
    </w:rPr>
  </w:style>
  <w:style w:type="character" w:customStyle="1" w:styleId="32">
    <w:name w:val="正文文本缩进 2 字符"/>
    <w:basedOn w:val="23"/>
    <w:link w:val="2"/>
    <w:autoRedefine/>
    <w:semiHidden/>
    <w:qFormat/>
    <w:uiPriority w:val="99"/>
    <w:rPr>
      <w:rFonts w:ascii="Times New Roman" w:hAnsi="Times New Roman" w:eastAsia="宋体" w:cs="Times New Roman"/>
      <w:sz w:val="24"/>
    </w:rPr>
  </w:style>
  <w:style w:type="paragraph" w:customStyle="1" w:styleId="33">
    <w:name w:val="表格"/>
    <w:basedOn w:val="1"/>
    <w:autoRedefine/>
    <w:qFormat/>
    <w:uiPriority w:val="0"/>
    <w:pPr>
      <w:adjustRightInd w:val="0"/>
      <w:snapToGrid w:val="0"/>
      <w:spacing w:before="50" w:beforeLines="50" w:after="50" w:afterLines="50" w:line="240" w:lineRule="auto"/>
      <w:ind w:firstLine="0" w:firstLineChars="0"/>
      <w:jc w:val="center"/>
    </w:pPr>
    <w:rPr>
      <w:rFonts w:cs="Times New Roman"/>
      <w:sz w:val="21"/>
    </w:rPr>
  </w:style>
  <w:style w:type="character" w:customStyle="1" w:styleId="34">
    <w:name w:val="页脚 字符"/>
    <w:basedOn w:val="23"/>
    <w:link w:val="13"/>
    <w:autoRedefine/>
    <w:qFormat/>
    <w:uiPriority w:val="99"/>
    <w:rPr>
      <w:rFonts w:ascii="宋体" w:hAnsi="宋体" w:eastAsia="宋体"/>
      <w:sz w:val="21"/>
      <w:szCs w:val="18"/>
    </w:rPr>
  </w:style>
  <w:style w:type="character" w:customStyle="1" w:styleId="35">
    <w:name w:val="页眉 字符"/>
    <w:basedOn w:val="23"/>
    <w:link w:val="14"/>
    <w:qFormat/>
    <w:uiPriority w:val="99"/>
    <w:rPr>
      <w:sz w:val="18"/>
      <w:szCs w:val="18"/>
    </w:rPr>
  </w:style>
  <w:style w:type="table" w:customStyle="1" w:styleId="36">
    <w:name w:val="网格型2"/>
    <w:basedOn w:val="2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
    <w:name w:val="网格表 1 浅色1"/>
    <w:basedOn w:val="21"/>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customStyle="1" w:styleId="38">
    <w:name w:val="WPSOffice手动目录 1"/>
    <w:qFormat/>
    <w:uiPriority w:val="0"/>
    <w:rPr>
      <w:rFonts w:ascii="Times New Roman" w:hAnsi="Times New Roman" w:eastAsia="宋体" w:cs="Times New Roman"/>
      <w:lang w:val="en-US" w:eastAsia="zh-CN" w:bidi="ar-SA"/>
    </w:rPr>
  </w:style>
  <w:style w:type="paragraph" w:customStyle="1" w:styleId="3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0">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41">
    <w:name w:val="font21"/>
    <w:basedOn w:val="23"/>
    <w:qFormat/>
    <w:uiPriority w:val="0"/>
    <w:rPr>
      <w:rFonts w:hint="eastAsia" w:ascii="宋体" w:hAnsi="宋体" w:eastAsia="宋体" w:cs="宋体"/>
      <w:color w:val="000000"/>
      <w:sz w:val="20"/>
      <w:szCs w:val="20"/>
      <w:u w:val="none"/>
    </w:rPr>
  </w:style>
  <w:style w:type="character" w:customStyle="1" w:styleId="42">
    <w:name w:val="font11"/>
    <w:basedOn w:val="23"/>
    <w:qFormat/>
    <w:uiPriority w:val="0"/>
    <w:rPr>
      <w:rFonts w:hint="default" w:ascii="Times New Roman" w:hAnsi="Times New Roman" w:cs="Times New Roman"/>
      <w:color w:val="000000"/>
      <w:sz w:val="20"/>
      <w:szCs w:val="20"/>
      <w:u w:val="none"/>
    </w:rPr>
  </w:style>
  <w:style w:type="character" w:customStyle="1" w:styleId="43">
    <w:name w:val="font01"/>
    <w:basedOn w:val="23"/>
    <w:qFormat/>
    <w:uiPriority w:val="0"/>
    <w:rPr>
      <w:rFonts w:hint="eastAsia" w:ascii="宋体" w:hAnsi="宋体" w:eastAsia="宋体" w:cs="宋体"/>
      <w:color w:val="000000"/>
      <w:sz w:val="20"/>
      <w:szCs w:val="20"/>
      <w:u w:val="none"/>
    </w:rPr>
  </w:style>
  <w:style w:type="character" w:customStyle="1" w:styleId="44">
    <w:name w:val="font71"/>
    <w:basedOn w:val="23"/>
    <w:qFormat/>
    <w:uiPriority w:val="0"/>
    <w:rPr>
      <w:rFonts w:hint="eastAsia" w:ascii="宋体" w:hAnsi="宋体" w:eastAsia="宋体" w:cs="宋体"/>
      <w:color w:val="000000"/>
      <w:sz w:val="22"/>
      <w:szCs w:val="22"/>
      <w:u w:val="none"/>
    </w:rPr>
  </w:style>
  <w:style w:type="character" w:customStyle="1" w:styleId="45">
    <w:name w:val="font61"/>
    <w:basedOn w:val="23"/>
    <w:qFormat/>
    <w:uiPriority w:val="0"/>
    <w:rPr>
      <w:rFonts w:hint="default" w:ascii="Times New Roman" w:hAnsi="Times New Roman" w:cs="Times New Roman"/>
      <w:color w:val="000000"/>
      <w:sz w:val="18"/>
      <w:szCs w:val="18"/>
      <w:u w:val="none"/>
    </w:rPr>
  </w:style>
  <w:style w:type="character" w:customStyle="1" w:styleId="46">
    <w:name w:val="font41"/>
    <w:basedOn w:val="23"/>
    <w:qFormat/>
    <w:uiPriority w:val="0"/>
    <w:rPr>
      <w:rFonts w:hint="default" w:ascii="Times New Roman" w:hAnsi="Times New Roman" w:cs="Times New Roman"/>
      <w:color w:val="000000"/>
      <w:sz w:val="22"/>
      <w:szCs w:val="22"/>
      <w:u w:val="none"/>
    </w:rPr>
  </w:style>
  <w:style w:type="character" w:customStyle="1" w:styleId="47">
    <w:name w:val="font51"/>
    <w:basedOn w:val="23"/>
    <w:qFormat/>
    <w:uiPriority w:val="0"/>
    <w:rPr>
      <w:rFonts w:hint="eastAsia" w:ascii="宋体" w:hAnsi="宋体" w:eastAsia="宋体" w:cs="宋体"/>
      <w:color w:val="000000"/>
      <w:sz w:val="12"/>
      <w:szCs w:val="12"/>
      <w:u w:val="none"/>
    </w:rPr>
  </w:style>
  <w:style w:type="paragraph" w:customStyle="1" w:styleId="48">
    <w:name w:val="pgc-p"/>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styleId="49">
    <w:name w:val="List Paragraph"/>
    <w:basedOn w:val="1"/>
    <w:autoRedefine/>
    <w:qFormat/>
    <w:uiPriority w:val="99"/>
  </w:style>
  <w:style w:type="character" w:customStyle="1" w:styleId="50">
    <w:name w:val="ed_ep"/>
    <w:basedOn w:val="23"/>
    <w:autoRedefine/>
    <w:qFormat/>
    <w:uiPriority w:val="0"/>
  </w:style>
  <w:style w:type="character" w:customStyle="1" w:styleId="51">
    <w:name w:val="ed_tk"/>
    <w:basedOn w:val="23"/>
    <w:autoRedefine/>
    <w:qFormat/>
    <w:uiPriority w:val="0"/>
  </w:style>
  <w:style w:type="character" w:customStyle="1" w:styleId="52">
    <w:name w:val="bjh-p"/>
    <w:basedOn w:val="23"/>
    <w:autoRedefine/>
    <w:qFormat/>
    <w:uiPriority w:val="0"/>
  </w:style>
  <w:style w:type="paragraph" w:customStyle="1" w:styleId="53">
    <w:name w:val="ql-align-justify"/>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54">
    <w:name w:val="vsbcontent_start"/>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55">
    <w:name w:val="vsbcontent_end"/>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rPr>
  </w:style>
  <w:style w:type="character" w:customStyle="1" w:styleId="56">
    <w:name w:val="正文文本 字符"/>
    <w:basedOn w:val="23"/>
    <w:link w:val="11"/>
    <w:autoRedefine/>
    <w:qFormat/>
    <w:uiPriority w:val="99"/>
    <w:rPr>
      <w:rFonts w:cstheme="minorBidi"/>
      <w:kern w:val="2"/>
      <w:sz w:val="24"/>
      <w:szCs w:val="24"/>
    </w:rPr>
  </w:style>
  <w:style w:type="paragraph" w:customStyle="1" w:styleId="57">
    <w:name w:val="p"/>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rPr>
  </w:style>
  <w:style w:type="character" w:customStyle="1" w:styleId="58">
    <w:name w:val="15"/>
    <w:basedOn w:val="23"/>
    <w:autoRedefine/>
    <w:qFormat/>
    <w:uiPriority w:val="0"/>
  </w:style>
  <w:style w:type="character" w:customStyle="1" w:styleId="59">
    <w:name w:val="text_tcumt"/>
    <w:basedOn w:val="23"/>
    <w:autoRedefine/>
    <w:qFormat/>
    <w:uiPriority w:val="0"/>
  </w:style>
  <w:style w:type="character" w:customStyle="1" w:styleId="60">
    <w:name w:val="正文文本 2 字符"/>
    <w:basedOn w:val="23"/>
    <w:link w:val="19"/>
    <w:autoRedefine/>
    <w:qFormat/>
    <w:uiPriority w:val="0"/>
    <w:rPr>
      <w:rFonts w:ascii="Calibri" w:hAnsi="Calibri" w:eastAsia="新宋体"/>
      <w:kern w:val="2"/>
      <w:sz w:val="28"/>
      <w:szCs w:val="24"/>
    </w:rPr>
  </w:style>
  <w:style w:type="character" w:customStyle="1" w:styleId="61">
    <w:name w:val="filter-default-option__container-name"/>
    <w:basedOn w:val="23"/>
    <w:autoRedefine/>
    <w:qFormat/>
    <w:uiPriority w:val="0"/>
  </w:style>
  <w:style w:type="character" w:customStyle="1" w:styleId="62">
    <w:name w:val="wx_search_keyword_wrap"/>
    <w:basedOn w:val="23"/>
    <w:autoRedefine/>
    <w:qFormat/>
    <w:uiPriority w:val="0"/>
  </w:style>
  <w:style w:type="character" w:customStyle="1" w:styleId="63">
    <w:name w:val="text_oteqz"/>
    <w:basedOn w:val="23"/>
    <w:autoRedefine/>
    <w:qFormat/>
    <w:uiPriority w:val="0"/>
  </w:style>
  <w:style w:type="character" w:customStyle="1" w:styleId="64">
    <w:name w:val="ref_content_circle"/>
    <w:basedOn w:val="23"/>
    <w:autoRedefine/>
    <w:qFormat/>
    <w:uiPriority w:val="0"/>
  </w:style>
  <w:style w:type="character" w:customStyle="1" w:styleId="65">
    <w:name w:val="lb"/>
    <w:basedOn w:val="23"/>
    <w:autoRedefine/>
    <w:qFormat/>
    <w:uiPriority w:val="0"/>
  </w:style>
  <w:style w:type="character" w:customStyle="1" w:styleId="66">
    <w:name w:val="filter-classification-option__container-name"/>
    <w:basedOn w:val="23"/>
    <w:autoRedefine/>
    <w:qFormat/>
    <w:uiPriority w:val="0"/>
  </w:style>
  <w:style w:type="character" w:customStyle="1" w:styleId="67">
    <w:name w:val="filter-classification-option__container-desc"/>
    <w:basedOn w:val="23"/>
    <w:autoRedefine/>
    <w:qFormat/>
    <w:uiPriority w:val="0"/>
  </w:style>
  <w:style w:type="character" w:customStyle="1" w:styleId="68">
    <w:name w:val="vxe-cell--label"/>
    <w:basedOn w:val="23"/>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numbering" Target="numbering.xml"/><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580E9-3053-4EB4-A6AA-B7539077F82F}">
  <ds:schemaRefs/>
</ds:datastoreItem>
</file>

<file path=docProps/app.xml><?xml version="1.0" encoding="utf-8"?>
<Properties xmlns="http://schemas.openxmlformats.org/officeDocument/2006/extended-properties" xmlns:vt="http://schemas.openxmlformats.org/officeDocument/2006/docPropsVTypes">
  <Template>Normal</Template>
  <Pages>103</Pages>
  <Words>11374</Words>
  <Characters>64834</Characters>
  <Lines>540</Lines>
  <Paragraphs>152</Paragraphs>
  <TotalTime>0</TotalTime>
  <ScaleCrop>false</ScaleCrop>
  <LinksUpToDate>false</LinksUpToDate>
  <CharactersWithSpaces>76056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2021-12-14T02:38:00Z</dcterms:created>
  <dc:creator>20210414-pc</dc:creator>
  <cp:lastModifiedBy>娄冰玉</cp:lastModifiedBy>
  <dcterms:modified xsi:type="dcterms:W3CDTF">2025-07-21T07:56:49Z</dcterms:modified>
  <cp:revision>32767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2EFE2BA009D44CB4B618B50A80E2C498</vt:lpwstr>
  </property>
  <property fmtid="{D5CDD505-2E9C-101B-9397-08002B2CF9AE}" pid="4" name="commondata">
    <vt:lpwstr>eyJoZGlkIjoiMzljZjYxM2Y0ODM0OGY2NTE2NTQ2OTUwOWU4YTc1YzAifQ==</vt:lpwstr>
  </property>
</Properties>
</file>