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0" w:firstLineChars="0"/>
        <w:jc w:val="center"/>
        <w:rPr>
          <w:rFonts w:ascii="黑体" w:hAnsi="黑体" w:eastAsia="黑体" w:cs="黑体"/>
          <w:b/>
          <w:bCs/>
          <w:sz w:val="44"/>
          <w:szCs w:val="44"/>
        </w:rPr>
      </w:pPr>
      <w:r>
        <w:rPr>
          <w:rFonts w:hint="eastAsia" w:ascii="黑体" w:hAnsi="黑体" w:eastAsia="黑体" w:cs="黑体"/>
          <w:b/>
          <w:bCs/>
          <w:sz w:val="44"/>
          <w:szCs w:val="44"/>
        </w:rPr>
        <w:t>聊城市一次性环保餐具产业海外知识产权风险预警</w:t>
      </w: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firstLine="480"/>
        <w:rPr>
          <w:rFonts w:asciiTheme="minorEastAsia" w:hAnsiTheme="minorEastAsia" w:eastAsiaTheme="minorEastAsia"/>
        </w:rPr>
      </w:pPr>
    </w:p>
    <w:p>
      <w:pPr>
        <w:ind w:left="0" w:leftChars="0" w:firstLine="0" w:firstLineChars="0"/>
        <w:jc w:val="center"/>
        <w:rPr>
          <w:rFonts w:hint="eastAsia" w:asciiTheme="minorEastAsia" w:hAnsiTheme="minorEastAsia" w:eastAsiaTheme="minorEastAsia"/>
          <w:lang w:eastAsia="zh-CN"/>
        </w:rPr>
      </w:pPr>
      <w:r>
        <w:rPr>
          <w:rFonts w:hint="eastAsia" w:ascii="黑体" w:hAnsi="黑体" w:eastAsia="黑体" w:cs="黑体"/>
          <w:kern w:val="21"/>
          <w:lang w:eastAsia="zh-CN"/>
        </w:rPr>
        <w:t>聊城市知识产权事业发展中心</w:t>
      </w:r>
    </w:p>
    <w:p>
      <w:pPr>
        <w:ind w:firstLine="0" w:firstLineChars="0"/>
        <w:jc w:val="center"/>
        <w:rPr>
          <w:rFonts w:ascii="黑体" w:hAnsi="黑体" w:eastAsia="黑体" w:cs="黑体"/>
          <w:kern w:val="21"/>
        </w:rPr>
      </w:pPr>
      <w:bookmarkStart w:id="99" w:name="_GoBack"/>
      <w:bookmarkEnd w:id="99"/>
      <w:r>
        <w:rPr>
          <w:rFonts w:hint="eastAsia" w:ascii="黑体" w:hAnsi="黑体" w:eastAsia="黑体" w:cs="黑体"/>
          <w:kern w:val="21"/>
        </w:rPr>
        <w:t>高唐商会</w:t>
      </w:r>
    </w:p>
    <w:p>
      <w:pPr>
        <w:ind w:firstLine="0" w:firstLineChars="0"/>
        <w:jc w:val="center"/>
        <w:rPr>
          <w:rFonts w:ascii="黑体" w:hAnsi="黑体" w:eastAsia="黑体" w:cs="黑体"/>
          <w:kern w:val="21"/>
        </w:rPr>
      </w:pPr>
      <w:r>
        <w:rPr>
          <w:rFonts w:hint="eastAsia" w:ascii="黑体" w:hAnsi="黑体" w:eastAsia="黑体" w:cs="黑体"/>
          <w:kern w:val="21"/>
        </w:rPr>
        <w:t>202</w:t>
      </w:r>
      <w:r>
        <w:rPr>
          <w:rFonts w:ascii="黑体" w:hAnsi="黑体" w:eastAsia="黑体" w:cs="黑体"/>
          <w:kern w:val="21"/>
        </w:rPr>
        <w:t>5</w:t>
      </w:r>
      <w:r>
        <w:rPr>
          <w:rFonts w:hint="eastAsia" w:ascii="黑体" w:hAnsi="黑体" w:eastAsia="黑体" w:cs="黑体"/>
          <w:kern w:val="21"/>
        </w:rPr>
        <w:t>年</w:t>
      </w:r>
      <w:r>
        <w:rPr>
          <w:rFonts w:ascii="黑体" w:hAnsi="黑体" w:eastAsia="黑体" w:cs="黑体"/>
          <w:kern w:val="21"/>
        </w:rPr>
        <w:t>7</w:t>
      </w:r>
      <w:r>
        <w:rPr>
          <w:rFonts w:hint="eastAsia" w:ascii="黑体" w:hAnsi="黑体" w:eastAsia="黑体" w:cs="黑体"/>
          <w:kern w:val="21"/>
        </w:rPr>
        <w:t>月</w:t>
      </w:r>
    </w:p>
    <w:p>
      <w:pPr>
        <w:ind w:firstLine="0" w:firstLineChars="0"/>
        <w:rPr>
          <w:rFonts w:cs="Times New Roman"/>
          <w:kern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sdt>
      <w:sdtPr>
        <w:rPr>
          <w:rFonts w:hint="eastAsia" w:ascii="黑体" w:hAnsi="黑体" w:eastAsia="黑体" w:cs="黑体"/>
          <w:sz w:val="30"/>
          <w:szCs w:val="30"/>
        </w:rPr>
        <w:id w:val="147455780"/>
        <w15:color w:val="DBDBDB"/>
        <w:docPartObj>
          <w:docPartGallery w:val="Table of Contents"/>
          <w:docPartUnique/>
        </w:docPartObj>
      </w:sdtPr>
      <w:sdtEndPr>
        <w:rPr>
          <w:rFonts w:hint="eastAsia" w:ascii="黑体" w:hAnsi="黑体" w:eastAsia="黑体" w:cs="黑体"/>
          <w:sz w:val="30"/>
          <w:szCs w:val="30"/>
        </w:rPr>
      </w:sdtEndPr>
      <w:sdtContent>
        <w:p>
          <w:pPr>
            <w:ind w:firstLine="0" w:firstLineChars="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目录</w:t>
          </w:r>
        </w:p>
        <w:p>
          <w:pPr>
            <w:pStyle w:val="15"/>
            <w:tabs>
              <w:tab w:val="right" w:leader="dot" w:pos="8296"/>
            </w:tabs>
            <w:ind w:firstLine="480"/>
            <w:rPr>
              <w:rFonts w:asciiTheme="majorEastAsia" w:hAnsiTheme="majorEastAsia" w:eastAsiaTheme="majorEastAsia"/>
              <w:sz w:val="21"/>
              <w:szCs w:val="22"/>
            </w:rPr>
          </w:pPr>
          <w:r>
            <w:rPr>
              <w:rFonts w:hint="eastAsia" w:cs="黑体" w:asciiTheme="minorEastAsia" w:hAnsiTheme="minorEastAsia" w:eastAsiaTheme="minorEastAsia"/>
            </w:rPr>
            <w:fldChar w:fldCharType="begin"/>
          </w:r>
          <w:r>
            <w:rPr>
              <w:rFonts w:hint="eastAsia" w:cs="黑体" w:asciiTheme="minorEastAsia" w:hAnsiTheme="minorEastAsia" w:eastAsiaTheme="minorEastAsia"/>
            </w:rPr>
            <w:instrText xml:space="preserve">TOC \o "1-3" \h \u </w:instrText>
          </w:r>
          <w:r>
            <w:rPr>
              <w:rFonts w:hint="eastAsia" w:cs="黑体" w:asciiTheme="minorEastAsia" w:hAnsiTheme="minorEastAsia" w:eastAsiaTheme="minorEastAsia"/>
            </w:rPr>
            <w:fldChar w:fldCharType="separate"/>
          </w:r>
          <w:r>
            <w:fldChar w:fldCharType="begin"/>
          </w:r>
          <w:r>
            <w:instrText xml:space="preserve"> HYPERLINK \l "_Toc203057679" </w:instrText>
          </w:r>
          <w:r>
            <w:fldChar w:fldCharType="separate"/>
          </w:r>
          <w:r>
            <w:rPr>
              <w:rStyle w:val="25"/>
              <w:rFonts w:asciiTheme="majorEastAsia" w:hAnsiTheme="majorEastAsia" w:eastAsiaTheme="majorEastAsia"/>
            </w:rPr>
            <w:t>引言</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_Toc203057679 \h </w:instrText>
          </w:r>
          <w:r>
            <w:rPr>
              <w:rFonts w:asciiTheme="majorEastAsia" w:hAnsiTheme="majorEastAsia" w:eastAsiaTheme="majorEastAsia"/>
            </w:rPr>
            <w:fldChar w:fldCharType="separate"/>
          </w:r>
          <w:r>
            <w:rPr>
              <w:rFonts w:asciiTheme="majorEastAsia" w:hAnsiTheme="majorEastAsia" w:eastAsiaTheme="majorEastAsia"/>
            </w:rPr>
            <w:t>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"_Toc203057680" </w:instrText>
          </w:r>
          <w:r>
            <w:fldChar w:fldCharType="separate"/>
          </w:r>
          <w:r>
            <w:rPr>
              <w:rStyle w:val="25"/>
              <w:rFonts w:asciiTheme="majorEastAsia" w:hAnsiTheme="majorEastAsia" w:eastAsiaTheme="majorEastAsia"/>
            </w:rPr>
            <w:t>摘要</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_Toc203057680 \h </w:instrText>
          </w:r>
          <w:r>
            <w:rPr>
              <w:rFonts w:asciiTheme="majorEastAsia" w:hAnsiTheme="majorEastAsia" w:eastAsiaTheme="majorEastAsia"/>
            </w:rPr>
            <w:fldChar w:fldCharType="separate"/>
          </w:r>
          <w:r>
            <w:rPr>
              <w:rFonts w:asciiTheme="majorEastAsia" w:hAnsiTheme="majorEastAsia" w:eastAsiaTheme="majorEastAsia"/>
            </w:rPr>
            <w:t>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"_Toc203057681" </w:instrText>
          </w:r>
          <w:r>
            <w:fldChar w:fldCharType="separate"/>
          </w:r>
          <w:r>
            <w:rPr>
              <w:rStyle w:val="25"/>
              <w:rFonts w:asciiTheme="majorEastAsia" w:hAnsiTheme="majorEastAsia" w:eastAsiaTheme="majorEastAsia"/>
            </w:rPr>
            <w:t>第一章 产业及重点企业情况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_Toc203057681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"_Toc203057682" </w:instrText>
          </w:r>
          <w:r>
            <w:fldChar w:fldCharType="separate"/>
          </w:r>
          <w:r>
            <w:rPr>
              <w:rStyle w:val="25"/>
              <w:rFonts w:asciiTheme="majorEastAsia" w:hAnsiTheme="majorEastAsia" w:eastAsiaTheme="majorEastAsia"/>
            </w:rPr>
            <w:t>1.1 一次性环保餐具产业分析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_Toc203057682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"_Toc203057683" </w:instrText>
          </w:r>
          <w:r>
            <w:fldChar w:fldCharType="separate"/>
          </w:r>
          <w:r>
            <w:rPr>
              <w:rStyle w:val="25"/>
              <w:rFonts w:cs="Helvetica" w:asciiTheme="majorEastAsia" w:hAnsiTheme="majorEastAsia" w:eastAsiaTheme="majorEastAsia"/>
              <w:kern w:val="0"/>
            </w:rPr>
            <w:t>1.1.1 全球一次性环保餐具产业发展概况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_Toc203057683 \h </w:instrText>
          </w:r>
          <w:r>
            <w:rPr>
              <w:rFonts w:asciiTheme="majorEastAsia" w:hAnsiTheme="majorEastAsia" w:eastAsiaTheme="majorEastAsia"/>
            </w:rPr>
            <w:fldChar w:fldCharType="separate"/>
          </w:r>
          <w:r>
            <w:rPr>
              <w:rFonts w:asciiTheme="majorEastAsia" w:hAnsiTheme="majorEastAsia" w:eastAsiaTheme="majorEastAsia"/>
            </w:rPr>
            <w:t>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"_Toc203057684" </w:instrText>
          </w:r>
          <w:r>
            <w:fldChar w:fldCharType="separate"/>
          </w:r>
          <w:r>
            <w:rPr>
              <w:rStyle w:val="25"/>
              <w:rFonts w:cs="Helvetica" w:asciiTheme="majorEastAsia" w:hAnsiTheme="majorEastAsia" w:eastAsiaTheme="majorEastAsia"/>
              <w:kern w:val="0"/>
            </w:rPr>
            <w:t>1.1.2 中国一次性环保餐具产业发展概况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_Toc203057684 \h </w:instrText>
          </w:r>
          <w:r>
            <w:rPr>
              <w:rFonts w:asciiTheme="majorEastAsia" w:hAnsiTheme="majorEastAsia" w:eastAsiaTheme="majorEastAsia"/>
            </w:rPr>
            <w:fldChar w:fldCharType="separate"/>
          </w:r>
          <w:r>
            <w:rPr>
              <w:rFonts w:asciiTheme="majorEastAsia" w:hAnsiTheme="majorEastAsia" w:eastAsiaTheme="majorEastAsia"/>
            </w:rPr>
            <w:t>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"_Toc203057685" </w:instrText>
          </w:r>
          <w:r>
            <w:fldChar w:fldCharType="separate"/>
          </w:r>
          <w:r>
            <w:rPr>
              <w:rStyle w:val="25"/>
              <w:rFonts w:asciiTheme="majorEastAsia" w:hAnsiTheme="majorEastAsia" w:eastAsiaTheme="majorEastAsia"/>
            </w:rPr>
            <w:t>1.2 聊城市一次性环保餐具产业分析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_Toc203057685 \h </w:instrText>
          </w:r>
          <w:r>
            <w:rPr>
              <w:rFonts w:asciiTheme="majorEastAsia" w:hAnsiTheme="majorEastAsia" w:eastAsiaTheme="majorEastAsia"/>
            </w:rPr>
            <w:fldChar w:fldCharType="separate"/>
          </w:r>
          <w:r>
            <w:rPr>
              <w:rFonts w:asciiTheme="majorEastAsia" w:hAnsiTheme="majorEastAsia" w:eastAsiaTheme="majorEastAsia"/>
            </w:rPr>
            <w:t>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"_Toc203057686" </w:instrText>
          </w:r>
          <w:r>
            <w:fldChar w:fldCharType="separate"/>
          </w:r>
          <w:r>
            <w:rPr>
              <w:rStyle w:val="25"/>
              <w:rFonts w:cs="Helvetica" w:asciiTheme="majorEastAsia" w:hAnsiTheme="majorEastAsia" w:eastAsiaTheme="majorEastAsia"/>
              <w:kern w:val="0"/>
            </w:rPr>
            <w:t>1.2.1 产业发展概况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_Toc203057686 \h </w:instrText>
          </w:r>
          <w:r>
            <w:rPr>
              <w:rFonts w:asciiTheme="majorEastAsia" w:hAnsiTheme="majorEastAsia" w:eastAsiaTheme="majorEastAsia"/>
            </w:rPr>
            <w:fldChar w:fldCharType="separate"/>
          </w:r>
          <w:r>
            <w:rPr>
              <w:rFonts w:asciiTheme="majorEastAsia" w:hAnsiTheme="majorEastAsia" w:eastAsiaTheme="majorEastAsia"/>
            </w:rPr>
            <w:t>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"_Toc203057687" </w:instrText>
          </w:r>
          <w:r>
            <w:fldChar w:fldCharType="separate"/>
          </w:r>
          <w:r>
            <w:rPr>
              <w:rStyle w:val="25"/>
              <w:rFonts w:cs="Helvetica" w:asciiTheme="majorEastAsia" w:hAnsiTheme="majorEastAsia" w:eastAsiaTheme="majorEastAsia"/>
              <w:kern w:val="0"/>
            </w:rPr>
            <w:t>1.2.2 重点企业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_Toc203057687 \h </w:instrText>
          </w:r>
          <w:r>
            <w:rPr>
              <w:rFonts w:asciiTheme="majorEastAsia" w:hAnsiTheme="majorEastAsia" w:eastAsiaTheme="majorEastAsia"/>
            </w:rPr>
            <w:fldChar w:fldCharType="separate"/>
          </w:r>
          <w:r>
            <w:rPr>
              <w:rFonts w:asciiTheme="majorEastAsia" w:hAnsiTheme="majorEastAsia" w:eastAsiaTheme="majorEastAsia"/>
            </w:rPr>
            <w:t>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"_Toc203057688" </w:instrText>
          </w:r>
          <w:r>
            <w:fldChar w:fldCharType="separate"/>
          </w:r>
          <w:r>
            <w:rPr>
              <w:rStyle w:val="25"/>
              <w:rFonts w:asciiTheme="majorEastAsia" w:hAnsiTheme="majorEastAsia" w:eastAsiaTheme="majorEastAsia"/>
            </w:rPr>
            <w:t>第二章 专利检索、产业专利竞争态势及风险识别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_Toc203057688 \h </w:instrText>
          </w:r>
          <w:r>
            <w:rPr>
              <w:rFonts w:asciiTheme="majorEastAsia" w:hAnsiTheme="majorEastAsia" w:eastAsiaTheme="majorEastAsia"/>
            </w:rPr>
            <w:fldChar w:fldCharType="separate"/>
          </w:r>
          <w:r>
            <w:rPr>
              <w:rFonts w:asciiTheme="majorEastAsia" w:hAnsiTheme="majorEastAsia" w:eastAsiaTheme="majorEastAsia"/>
            </w:rPr>
            <w:t>17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"_Toc203057689" </w:instrText>
          </w:r>
          <w:r>
            <w:fldChar w:fldCharType="separate"/>
          </w:r>
          <w:r>
            <w:rPr>
              <w:rStyle w:val="25"/>
              <w:rFonts w:asciiTheme="majorEastAsia" w:hAnsiTheme="majorEastAsia" w:eastAsiaTheme="majorEastAsia"/>
            </w:rPr>
            <w:t>2.1 技术分解及专利检索</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_Toc203057689 \h </w:instrText>
          </w:r>
          <w:r>
            <w:rPr>
              <w:rFonts w:asciiTheme="majorEastAsia" w:hAnsiTheme="majorEastAsia" w:eastAsiaTheme="majorEastAsia"/>
            </w:rPr>
            <w:fldChar w:fldCharType="separate"/>
          </w:r>
          <w:r>
            <w:rPr>
              <w:rFonts w:asciiTheme="majorEastAsia" w:hAnsiTheme="majorEastAsia" w:eastAsiaTheme="majorEastAsia"/>
            </w:rPr>
            <w:t>17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"_Toc203057690" </w:instrText>
          </w:r>
          <w:r>
            <w:fldChar w:fldCharType="separate"/>
          </w:r>
          <w:r>
            <w:rPr>
              <w:rStyle w:val="25"/>
              <w:rFonts w:asciiTheme="majorEastAsia" w:hAnsiTheme="majorEastAsia" w:eastAsiaTheme="majorEastAsia"/>
            </w:rPr>
            <w:t>2.2 聊城市一次性环保餐具产业知识产权保护现状</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_Toc203057690 \h </w:instrText>
          </w:r>
          <w:r>
            <w:rPr>
              <w:rFonts w:asciiTheme="majorEastAsia" w:hAnsiTheme="majorEastAsia" w:eastAsiaTheme="majorEastAsia"/>
            </w:rPr>
            <w:fldChar w:fldCharType="separate"/>
          </w:r>
          <w:r>
            <w:rPr>
              <w:rFonts w:asciiTheme="majorEastAsia" w:hAnsiTheme="majorEastAsia" w:eastAsiaTheme="majorEastAsia"/>
            </w:rPr>
            <w:t>23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"_Toc203057691" </w:instrText>
          </w:r>
          <w:r>
            <w:fldChar w:fldCharType="separate"/>
          </w:r>
          <w:r>
            <w:rPr>
              <w:rStyle w:val="25"/>
              <w:rFonts w:asciiTheme="majorEastAsia" w:hAnsiTheme="majorEastAsia" w:eastAsiaTheme="majorEastAsia"/>
            </w:rPr>
            <w:t>2.3 产业重点布局区域知识产权竞争态势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_Toc203057691 \h </w:instrText>
          </w:r>
          <w:r>
            <w:rPr>
              <w:rFonts w:asciiTheme="majorEastAsia" w:hAnsiTheme="majorEastAsia" w:eastAsiaTheme="majorEastAsia"/>
            </w:rPr>
            <w:fldChar w:fldCharType="separate"/>
          </w:r>
          <w:r>
            <w:rPr>
              <w:rFonts w:asciiTheme="majorEastAsia" w:hAnsiTheme="majorEastAsia" w:eastAsiaTheme="majorEastAsia"/>
            </w:rPr>
            <w:t>25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"_Toc203057692" </w:instrText>
          </w:r>
          <w:r>
            <w:fldChar w:fldCharType="separate"/>
          </w:r>
          <w:r>
            <w:rPr>
              <w:rStyle w:val="25"/>
              <w:rFonts w:cs="Helvetica" w:asciiTheme="majorEastAsia" w:hAnsiTheme="majorEastAsia" w:eastAsiaTheme="majorEastAsia"/>
              <w:kern w:val="0"/>
            </w:rPr>
            <w:t>2.3.1 日本</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_Toc203057692 \h </w:instrText>
          </w:r>
          <w:r>
            <w:rPr>
              <w:rFonts w:asciiTheme="majorEastAsia" w:hAnsiTheme="majorEastAsia" w:eastAsiaTheme="majorEastAsia"/>
            </w:rPr>
            <w:fldChar w:fldCharType="separate"/>
          </w:r>
          <w:r>
            <w:rPr>
              <w:rFonts w:asciiTheme="majorEastAsia" w:hAnsiTheme="majorEastAsia" w:eastAsiaTheme="majorEastAsia"/>
            </w:rPr>
            <w:t>25</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"_Toc203057693" </w:instrText>
          </w:r>
          <w:r>
            <w:fldChar w:fldCharType="separate"/>
          </w:r>
          <w:r>
            <w:rPr>
              <w:rStyle w:val="25"/>
              <w:rFonts w:cs="Helvetica" w:asciiTheme="majorEastAsia" w:hAnsiTheme="majorEastAsia" w:eastAsiaTheme="majorEastAsia"/>
              <w:kern w:val="0"/>
            </w:rPr>
            <w:t>2.3.2 韩国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_Toc203057693 \h </w:instrText>
          </w:r>
          <w:r>
            <w:rPr>
              <w:rFonts w:asciiTheme="majorEastAsia" w:hAnsiTheme="majorEastAsia" w:eastAsiaTheme="majorEastAsia"/>
            </w:rPr>
            <w:fldChar w:fldCharType="separate"/>
          </w:r>
          <w:r>
            <w:rPr>
              <w:rFonts w:asciiTheme="majorEastAsia" w:hAnsiTheme="majorEastAsia" w:eastAsiaTheme="majorEastAsia"/>
            </w:rPr>
            <w:t>27</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"_Toc203057694" </w:instrText>
          </w:r>
          <w:r>
            <w:fldChar w:fldCharType="separate"/>
          </w:r>
          <w:r>
            <w:rPr>
              <w:rStyle w:val="25"/>
              <w:rFonts w:cs="Helvetica" w:asciiTheme="majorEastAsia" w:hAnsiTheme="majorEastAsia" w:eastAsiaTheme="majorEastAsia"/>
              <w:kern w:val="0"/>
            </w:rPr>
            <w:t>2.3.3 美国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_Toc203057694 \h </w:instrText>
          </w:r>
          <w:r>
            <w:rPr>
              <w:rFonts w:asciiTheme="majorEastAsia" w:hAnsiTheme="majorEastAsia" w:eastAsiaTheme="majorEastAsia"/>
            </w:rPr>
            <w:fldChar w:fldCharType="separate"/>
          </w:r>
          <w:r>
            <w:rPr>
              <w:rFonts w:asciiTheme="majorEastAsia" w:hAnsiTheme="majorEastAsia" w:eastAsiaTheme="majorEastAsia"/>
            </w:rPr>
            <w:t>29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"_Toc203057695" </w:instrText>
          </w:r>
          <w:r>
            <w:fldChar w:fldCharType="separate"/>
          </w:r>
          <w:r>
            <w:rPr>
              <w:rStyle w:val="25"/>
              <w:rFonts w:cs="Helvetica" w:asciiTheme="majorEastAsia" w:hAnsiTheme="majorEastAsia" w:eastAsiaTheme="majorEastAsia"/>
              <w:kern w:val="0"/>
            </w:rPr>
            <w:t>2.3.4 德国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_Toc203057695 \h </w:instrText>
          </w:r>
          <w:r>
            <w:rPr>
              <w:rFonts w:asciiTheme="majorEastAsia" w:hAnsiTheme="majorEastAsia" w:eastAsiaTheme="majorEastAsia"/>
            </w:rPr>
            <w:fldChar w:fldCharType="separate"/>
          </w:r>
          <w:r>
            <w:rPr>
              <w:rFonts w:asciiTheme="majorEastAsia" w:hAnsiTheme="majorEastAsia" w:eastAsiaTheme="majorEastAsia"/>
            </w:rPr>
            <w:t>30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"_Toc203057696" </w:instrText>
          </w:r>
          <w:r>
            <w:fldChar w:fldCharType="separate"/>
          </w:r>
          <w:r>
            <w:rPr>
              <w:rStyle w:val="25"/>
              <w:rFonts w:asciiTheme="majorEastAsia" w:hAnsiTheme="majorEastAsia" w:eastAsiaTheme="majorEastAsia"/>
            </w:rPr>
            <w:t>2.4 重点企业知识产权竞争态势</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_Toc203057696 \h </w:instrText>
          </w:r>
          <w:r>
            <w:rPr>
              <w:rFonts w:asciiTheme="majorEastAsia" w:hAnsiTheme="majorEastAsia" w:eastAsiaTheme="majorEastAsia"/>
            </w:rPr>
            <w:fldChar w:fldCharType="separate"/>
          </w:r>
          <w:r>
            <w:rPr>
              <w:rFonts w:asciiTheme="majorEastAsia" w:hAnsiTheme="majorEastAsia" w:eastAsiaTheme="majorEastAsia"/>
            </w:rPr>
            <w:t>32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"_Toc203057697" </w:instrText>
          </w:r>
          <w:r>
            <w:fldChar w:fldCharType="separate"/>
          </w:r>
          <w:r>
            <w:rPr>
              <w:rStyle w:val="25"/>
              <w:rFonts w:asciiTheme="majorEastAsia" w:hAnsiTheme="majorEastAsia" w:eastAsiaTheme="majorEastAsia"/>
            </w:rPr>
            <w:t>2.5 风险区域识别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_Toc203057697 \h </w:instrText>
          </w:r>
          <w:r>
            <w:rPr>
              <w:rFonts w:asciiTheme="majorEastAsia" w:hAnsiTheme="majorEastAsia" w:eastAsiaTheme="majorEastAsia"/>
            </w:rPr>
            <w:fldChar w:fldCharType="separate"/>
          </w:r>
          <w:r>
            <w:rPr>
              <w:rFonts w:asciiTheme="majorEastAsia" w:hAnsiTheme="majorEastAsia" w:eastAsiaTheme="majorEastAsia"/>
            </w:rPr>
            <w:t>36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"_Toc203057698" </w:instrText>
          </w:r>
          <w:r>
            <w:fldChar w:fldCharType="separate"/>
          </w:r>
          <w:r>
            <w:rPr>
              <w:rStyle w:val="25"/>
              <w:rFonts w:asciiTheme="majorEastAsia" w:hAnsiTheme="majorEastAsia" w:eastAsiaTheme="majorEastAsia"/>
            </w:rPr>
            <w:t>2.6 风险企业识别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_Toc203057698 \h </w:instrText>
          </w:r>
          <w:r>
            <w:rPr>
              <w:rFonts w:asciiTheme="majorEastAsia" w:hAnsiTheme="majorEastAsia" w:eastAsiaTheme="majorEastAsia"/>
            </w:rPr>
            <w:fldChar w:fldCharType="separate"/>
          </w:r>
          <w:r>
            <w:rPr>
              <w:rFonts w:asciiTheme="majorEastAsia" w:hAnsiTheme="majorEastAsia" w:eastAsiaTheme="majorEastAsia"/>
            </w:rPr>
            <w:t>38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"_Toc203057699" </w:instrText>
          </w:r>
          <w:r>
            <w:fldChar w:fldCharType="separate"/>
          </w:r>
          <w:r>
            <w:rPr>
              <w:rStyle w:val="25"/>
              <w:rFonts w:asciiTheme="majorEastAsia" w:hAnsiTheme="majorEastAsia" w:eastAsiaTheme="majorEastAsia"/>
            </w:rPr>
            <w:t>2.7 风险技术方向识别</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_Toc203057699 \h </w:instrText>
          </w:r>
          <w:r>
            <w:rPr>
              <w:rFonts w:asciiTheme="majorEastAsia" w:hAnsiTheme="majorEastAsia" w:eastAsiaTheme="majorEastAsia"/>
            </w:rPr>
            <w:fldChar w:fldCharType="separate"/>
          </w:r>
          <w:r>
            <w:rPr>
              <w:rFonts w:asciiTheme="majorEastAsia" w:hAnsiTheme="majorEastAsia" w:eastAsiaTheme="majorEastAsia"/>
            </w:rPr>
            <w:t>39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"_Toc203057700" </w:instrText>
          </w:r>
          <w:r>
            <w:fldChar w:fldCharType="separate"/>
          </w:r>
          <w:r>
            <w:rPr>
              <w:rStyle w:val="25"/>
              <w:rFonts w:asciiTheme="majorEastAsia" w:hAnsiTheme="majorEastAsia" w:eastAsiaTheme="majorEastAsia"/>
            </w:rPr>
            <w:t>第三章 产业知识产权司法实践</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_Toc203057700 \h </w:instrText>
          </w:r>
          <w:r>
            <w:rPr>
              <w:rFonts w:asciiTheme="majorEastAsia" w:hAnsiTheme="majorEastAsia" w:eastAsiaTheme="majorEastAsia"/>
            </w:rPr>
            <w:fldChar w:fldCharType="separate"/>
          </w:r>
          <w:r>
            <w:rPr>
              <w:rFonts w:asciiTheme="majorEastAsia" w:hAnsiTheme="majorEastAsia" w:eastAsiaTheme="majorEastAsia"/>
            </w:rPr>
            <w:t>41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"_Toc203057701" </w:instrText>
          </w:r>
          <w:r>
            <w:fldChar w:fldCharType="separate"/>
          </w:r>
          <w:r>
            <w:rPr>
              <w:rStyle w:val="25"/>
              <w:rFonts w:asciiTheme="majorEastAsia" w:hAnsiTheme="majorEastAsia" w:eastAsiaTheme="majorEastAsia"/>
            </w:rPr>
            <w:t>3.1 商标</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_Toc203057701 \h </w:instrText>
          </w:r>
          <w:r>
            <w:rPr>
              <w:rFonts w:asciiTheme="majorEastAsia" w:hAnsiTheme="majorEastAsia" w:eastAsiaTheme="majorEastAsia"/>
            </w:rPr>
            <w:fldChar w:fldCharType="separate"/>
          </w:r>
          <w:r>
            <w:rPr>
              <w:rFonts w:asciiTheme="majorEastAsia" w:hAnsiTheme="majorEastAsia" w:eastAsiaTheme="majorEastAsia"/>
            </w:rPr>
            <w:t>41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"_Toc203057702" </w:instrText>
          </w:r>
          <w:r>
            <w:fldChar w:fldCharType="separate"/>
          </w:r>
          <w:r>
            <w:rPr>
              <w:rStyle w:val="25"/>
              <w:rFonts w:asciiTheme="majorEastAsia" w:hAnsiTheme="majorEastAsia" w:eastAsiaTheme="majorEastAsia"/>
            </w:rPr>
            <w:t>3.2 不正当竞争</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_Toc203057702 \h </w:instrText>
          </w:r>
          <w:r>
            <w:rPr>
              <w:rFonts w:asciiTheme="majorEastAsia" w:hAnsiTheme="majorEastAsia" w:eastAsiaTheme="majorEastAsia"/>
            </w:rPr>
            <w:fldChar w:fldCharType="separate"/>
          </w:r>
          <w:r>
            <w:rPr>
              <w:rFonts w:asciiTheme="majorEastAsia" w:hAnsiTheme="majorEastAsia" w:eastAsiaTheme="majorEastAsia"/>
            </w:rPr>
            <w:t>44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"_Toc203057703" </w:instrText>
          </w:r>
          <w:r>
            <w:fldChar w:fldCharType="separate"/>
          </w:r>
          <w:r>
            <w:rPr>
              <w:rStyle w:val="25"/>
              <w:rFonts w:asciiTheme="majorEastAsia" w:hAnsiTheme="majorEastAsia" w:eastAsiaTheme="majorEastAsia"/>
            </w:rPr>
            <w:t>3.3 软著</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_Toc203057703 \h </w:instrText>
          </w:r>
          <w:r>
            <w:rPr>
              <w:rFonts w:asciiTheme="majorEastAsia" w:hAnsiTheme="majorEastAsia" w:eastAsiaTheme="majorEastAsia"/>
            </w:rPr>
            <w:fldChar w:fldCharType="separate"/>
          </w:r>
          <w:r>
            <w:rPr>
              <w:rFonts w:asciiTheme="majorEastAsia" w:hAnsiTheme="majorEastAsia" w:eastAsiaTheme="majorEastAsia"/>
            </w:rPr>
            <w:t>46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"_Toc203057704" </w:instrText>
          </w:r>
          <w:r>
            <w:fldChar w:fldCharType="separate"/>
          </w:r>
          <w:r>
            <w:rPr>
              <w:rStyle w:val="25"/>
              <w:rFonts w:asciiTheme="majorEastAsia" w:hAnsiTheme="majorEastAsia" w:eastAsiaTheme="majorEastAsia"/>
            </w:rPr>
            <w:t>3.4 专利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_Toc203057704 \h </w:instrText>
          </w:r>
          <w:r>
            <w:rPr>
              <w:rFonts w:asciiTheme="majorEastAsia" w:hAnsiTheme="majorEastAsia" w:eastAsiaTheme="majorEastAsia"/>
            </w:rPr>
            <w:fldChar w:fldCharType="separate"/>
          </w:r>
          <w:r>
            <w:rPr>
              <w:rFonts w:asciiTheme="majorEastAsia" w:hAnsiTheme="majorEastAsia" w:eastAsiaTheme="majorEastAsia"/>
            </w:rPr>
            <w:t>48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"_Toc203057705" </w:instrText>
          </w:r>
          <w:r>
            <w:fldChar w:fldCharType="separate"/>
          </w:r>
          <w:r>
            <w:rPr>
              <w:rStyle w:val="25"/>
              <w:rFonts w:asciiTheme="majorEastAsia" w:hAnsiTheme="majorEastAsia" w:eastAsiaTheme="majorEastAsia"/>
            </w:rPr>
            <w:t>第四章 重点国家或地区知识产权相关法律法规汇总分析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_Toc203057705 \h </w:instrText>
          </w:r>
          <w:r>
            <w:rPr>
              <w:rFonts w:asciiTheme="majorEastAsia" w:hAnsiTheme="majorEastAsia" w:eastAsiaTheme="majorEastAsia"/>
            </w:rPr>
            <w:fldChar w:fldCharType="separate"/>
          </w:r>
          <w:r>
            <w:rPr>
              <w:rFonts w:asciiTheme="majorEastAsia" w:hAnsiTheme="majorEastAsia" w:eastAsiaTheme="majorEastAsia"/>
            </w:rPr>
            <w:t>50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"_Toc203057706" </w:instrText>
          </w:r>
          <w:r>
            <w:fldChar w:fldCharType="separate"/>
          </w:r>
          <w:r>
            <w:rPr>
              <w:rStyle w:val="25"/>
              <w:rFonts w:asciiTheme="majorEastAsia" w:hAnsiTheme="majorEastAsia" w:eastAsiaTheme="majorEastAsia"/>
            </w:rPr>
            <w:t>4.1 日本知识产权风险防控分析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_Toc203057706 \h </w:instrText>
          </w:r>
          <w:r>
            <w:rPr>
              <w:rFonts w:asciiTheme="majorEastAsia" w:hAnsiTheme="majorEastAsia" w:eastAsiaTheme="majorEastAsia"/>
            </w:rPr>
            <w:fldChar w:fldCharType="separate"/>
          </w:r>
          <w:r>
            <w:rPr>
              <w:rFonts w:asciiTheme="majorEastAsia" w:hAnsiTheme="majorEastAsia" w:eastAsiaTheme="majorEastAsia"/>
            </w:rPr>
            <w:t>50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"_Toc203057707" </w:instrText>
          </w:r>
          <w:r>
            <w:fldChar w:fldCharType="separate"/>
          </w:r>
          <w:r>
            <w:rPr>
              <w:rStyle w:val="25"/>
              <w:rFonts w:cs="Helvetica" w:asciiTheme="majorEastAsia" w:hAnsiTheme="majorEastAsia" w:eastAsiaTheme="majorEastAsia"/>
              <w:kern w:val="0"/>
            </w:rPr>
            <w:t>4.1.1 日本专利侵权行为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_Toc203057707 \h </w:instrText>
          </w:r>
          <w:r>
            <w:rPr>
              <w:rFonts w:asciiTheme="majorEastAsia" w:hAnsiTheme="majorEastAsia" w:eastAsiaTheme="majorEastAsia"/>
            </w:rPr>
            <w:fldChar w:fldCharType="separate"/>
          </w:r>
          <w:r>
            <w:rPr>
              <w:rFonts w:asciiTheme="majorEastAsia" w:hAnsiTheme="majorEastAsia" w:eastAsiaTheme="majorEastAsia"/>
            </w:rPr>
            <w:t>50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"_Toc203057708" </w:instrText>
          </w:r>
          <w:r>
            <w:fldChar w:fldCharType="separate"/>
          </w:r>
          <w:r>
            <w:rPr>
              <w:rStyle w:val="25"/>
              <w:rFonts w:cs="Helvetica" w:asciiTheme="majorEastAsia" w:hAnsiTheme="majorEastAsia" w:eastAsiaTheme="majorEastAsia"/>
              <w:kern w:val="0"/>
            </w:rPr>
            <w:t>4.1.2 日本专利侵权诉讼的反诉及抗辩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_Toc203057708 \h </w:instrText>
          </w:r>
          <w:r>
            <w:rPr>
              <w:rFonts w:asciiTheme="majorEastAsia" w:hAnsiTheme="majorEastAsia" w:eastAsiaTheme="majorEastAsia"/>
            </w:rPr>
            <w:fldChar w:fldCharType="separate"/>
          </w:r>
          <w:r>
            <w:rPr>
              <w:rFonts w:asciiTheme="majorEastAsia" w:hAnsiTheme="majorEastAsia" w:eastAsiaTheme="majorEastAsia"/>
            </w:rPr>
            <w:t>52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"_Toc203057709" </w:instrText>
          </w:r>
          <w:r>
            <w:fldChar w:fldCharType="separate"/>
          </w:r>
          <w:r>
            <w:rPr>
              <w:rStyle w:val="25"/>
              <w:rFonts w:asciiTheme="majorEastAsia" w:hAnsiTheme="majorEastAsia" w:eastAsiaTheme="majorEastAsia"/>
            </w:rPr>
            <w:t>4.2 韩国知识产权风险防控分析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_Toc203057709 \h </w:instrText>
          </w:r>
          <w:r>
            <w:rPr>
              <w:rFonts w:asciiTheme="majorEastAsia" w:hAnsiTheme="majorEastAsia" w:eastAsiaTheme="majorEastAsia"/>
            </w:rPr>
            <w:fldChar w:fldCharType="separate"/>
          </w:r>
          <w:r>
            <w:rPr>
              <w:rFonts w:asciiTheme="majorEastAsia" w:hAnsiTheme="majorEastAsia" w:eastAsiaTheme="majorEastAsia"/>
            </w:rPr>
            <w:t>58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"_Toc203057710" </w:instrText>
          </w:r>
          <w:r>
            <w:fldChar w:fldCharType="separate"/>
          </w:r>
          <w:r>
            <w:rPr>
              <w:rStyle w:val="25"/>
              <w:rFonts w:cs="Helvetica" w:asciiTheme="majorEastAsia" w:hAnsiTheme="majorEastAsia" w:eastAsiaTheme="majorEastAsia"/>
              <w:kern w:val="0"/>
            </w:rPr>
            <w:t>4.2.1 韩国专利侵权行为</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_Toc203057710 \h </w:instrText>
          </w:r>
          <w:r>
            <w:rPr>
              <w:rFonts w:asciiTheme="majorEastAsia" w:hAnsiTheme="majorEastAsia" w:eastAsiaTheme="majorEastAsia"/>
            </w:rPr>
            <w:fldChar w:fldCharType="separate"/>
          </w:r>
          <w:r>
            <w:rPr>
              <w:rFonts w:asciiTheme="majorEastAsia" w:hAnsiTheme="majorEastAsia" w:eastAsiaTheme="majorEastAsia"/>
            </w:rPr>
            <w:t>58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"_Toc203057711" </w:instrText>
          </w:r>
          <w:r>
            <w:fldChar w:fldCharType="separate"/>
          </w:r>
          <w:r>
            <w:rPr>
              <w:rStyle w:val="25"/>
              <w:rFonts w:cs="Helvetica" w:asciiTheme="majorEastAsia" w:hAnsiTheme="majorEastAsia" w:eastAsiaTheme="majorEastAsia"/>
              <w:kern w:val="0"/>
            </w:rPr>
            <w:t>4.2.2 韩国专利侵权的反诉及抗辩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_Toc203057711 \h </w:instrText>
          </w:r>
          <w:r>
            <w:rPr>
              <w:rFonts w:asciiTheme="majorEastAsia" w:hAnsiTheme="majorEastAsia" w:eastAsiaTheme="majorEastAsia"/>
            </w:rPr>
            <w:fldChar w:fldCharType="separate"/>
          </w:r>
          <w:r>
            <w:rPr>
              <w:rFonts w:asciiTheme="majorEastAsia" w:hAnsiTheme="majorEastAsia" w:eastAsiaTheme="majorEastAsia"/>
            </w:rPr>
            <w:t>59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"_Toc203057712" </w:instrText>
          </w:r>
          <w:r>
            <w:fldChar w:fldCharType="separate"/>
          </w:r>
          <w:r>
            <w:rPr>
              <w:rStyle w:val="25"/>
              <w:rFonts w:asciiTheme="majorEastAsia" w:hAnsiTheme="majorEastAsia" w:eastAsiaTheme="majorEastAsia"/>
            </w:rPr>
            <w:t>4.3 美国知识产权风险防控分析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_Toc203057712 \h </w:instrText>
          </w:r>
          <w:r>
            <w:rPr>
              <w:rFonts w:asciiTheme="majorEastAsia" w:hAnsiTheme="majorEastAsia" w:eastAsiaTheme="majorEastAsia"/>
            </w:rPr>
            <w:fldChar w:fldCharType="separate"/>
          </w:r>
          <w:r>
            <w:rPr>
              <w:rFonts w:asciiTheme="majorEastAsia" w:hAnsiTheme="majorEastAsia" w:eastAsiaTheme="majorEastAsia"/>
            </w:rPr>
            <w:t>60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"_Toc203057713" </w:instrText>
          </w:r>
          <w:r>
            <w:fldChar w:fldCharType="separate"/>
          </w:r>
          <w:r>
            <w:rPr>
              <w:rStyle w:val="25"/>
              <w:rFonts w:cs="Helvetica" w:asciiTheme="majorEastAsia" w:hAnsiTheme="majorEastAsia" w:eastAsiaTheme="majorEastAsia"/>
              <w:kern w:val="0"/>
            </w:rPr>
            <w:t>4.3.1 美国专利侵权行为的认定</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_Toc203057713 \h </w:instrText>
          </w:r>
          <w:r>
            <w:rPr>
              <w:rFonts w:asciiTheme="majorEastAsia" w:hAnsiTheme="majorEastAsia" w:eastAsiaTheme="majorEastAsia"/>
            </w:rPr>
            <w:fldChar w:fldCharType="separate"/>
          </w:r>
          <w:r>
            <w:rPr>
              <w:rFonts w:asciiTheme="majorEastAsia" w:hAnsiTheme="majorEastAsia" w:eastAsiaTheme="majorEastAsia"/>
            </w:rPr>
            <w:t>60</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"_Toc203057714" </w:instrText>
          </w:r>
          <w:r>
            <w:fldChar w:fldCharType="separate"/>
          </w:r>
          <w:r>
            <w:rPr>
              <w:rStyle w:val="25"/>
              <w:rFonts w:cs="Helvetica" w:asciiTheme="majorEastAsia" w:hAnsiTheme="majorEastAsia" w:eastAsiaTheme="majorEastAsia"/>
              <w:kern w:val="0"/>
            </w:rPr>
            <w:t>4.3.2 “337调查”及常规应对策略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_Toc203057714 \h </w:instrText>
          </w:r>
          <w:r>
            <w:rPr>
              <w:rFonts w:asciiTheme="majorEastAsia" w:hAnsiTheme="majorEastAsia" w:eastAsiaTheme="majorEastAsia"/>
            </w:rPr>
            <w:fldChar w:fldCharType="separate"/>
          </w:r>
          <w:r>
            <w:rPr>
              <w:rFonts w:asciiTheme="majorEastAsia" w:hAnsiTheme="majorEastAsia" w:eastAsiaTheme="majorEastAsia"/>
            </w:rPr>
            <w:t>62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"_Toc203057715" </w:instrText>
          </w:r>
          <w:r>
            <w:fldChar w:fldCharType="separate"/>
          </w:r>
          <w:r>
            <w:rPr>
              <w:rStyle w:val="25"/>
              <w:rFonts w:cs="Helvetica" w:asciiTheme="majorEastAsia" w:hAnsiTheme="majorEastAsia" w:eastAsiaTheme="majorEastAsia"/>
              <w:kern w:val="0"/>
            </w:rPr>
            <w:t>4.3.3 美国专利诉讼及常规应对策略</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_Toc203057715 \h </w:instrText>
          </w:r>
          <w:r>
            <w:rPr>
              <w:rFonts w:asciiTheme="majorEastAsia" w:hAnsiTheme="majorEastAsia" w:eastAsiaTheme="majorEastAsia"/>
            </w:rPr>
            <w:fldChar w:fldCharType="separate"/>
          </w:r>
          <w:r>
            <w:rPr>
              <w:rFonts w:asciiTheme="majorEastAsia" w:hAnsiTheme="majorEastAsia" w:eastAsiaTheme="majorEastAsia"/>
            </w:rPr>
            <w:t>66</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"_Toc203057716" </w:instrText>
          </w:r>
          <w:r>
            <w:fldChar w:fldCharType="separate"/>
          </w:r>
          <w:r>
            <w:rPr>
              <w:rStyle w:val="25"/>
              <w:rFonts w:cs="Helvetica" w:asciiTheme="majorEastAsia" w:hAnsiTheme="majorEastAsia" w:eastAsiaTheme="majorEastAsia"/>
              <w:kern w:val="0"/>
            </w:rPr>
            <w:t>4.3.4 美国侵权诉讼中的反诉及抗辩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_Toc203057716 \h </w:instrText>
          </w:r>
          <w:r>
            <w:rPr>
              <w:rFonts w:asciiTheme="majorEastAsia" w:hAnsiTheme="majorEastAsia" w:eastAsiaTheme="majorEastAsia"/>
            </w:rPr>
            <w:fldChar w:fldCharType="separate"/>
          </w:r>
          <w:r>
            <w:rPr>
              <w:rFonts w:asciiTheme="majorEastAsia" w:hAnsiTheme="majorEastAsia" w:eastAsiaTheme="majorEastAsia"/>
            </w:rPr>
            <w:t>68</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"_Toc203057717" </w:instrText>
          </w:r>
          <w:r>
            <w:fldChar w:fldCharType="separate"/>
          </w:r>
          <w:r>
            <w:rPr>
              <w:rStyle w:val="25"/>
              <w:rFonts w:asciiTheme="majorEastAsia" w:hAnsiTheme="majorEastAsia" w:eastAsiaTheme="majorEastAsia"/>
            </w:rPr>
            <w:t>4.4 德国知识产权风险防控分析</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_Toc203057717 \h </w:instrText>
          </w:r>
          <w:r>
            <w:rPr>
              <w:rFonts w:asciiTheme="majorEastAsia" w:hAnsiTheme="majorEastAsia" w:eastAsiaTheme="majorEastAsia"/>
            </w:rPr>
            <w:fldChar w:fldCharType="separate"/>
          </w:r>
          <w:r>
            <w:rPr>
              <w:rFonts w:asciiTheme="majorEastAsia" w:hAnsiTheme="majorEastAsia" w:eastAsiaTheme="majorEastAsia"/>
            </w:rPr>
            <w:t>72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"_Toc203057718" </w:instrText>
          </w:r>
          <w:r>
            <w:fldChar w:fldCharType="separate"/>
          </w:r>
          <w:r>
            <w:rPr>
              <w:rStyle w:val="25"/>
              <w:rFonts w:cs="Helvetica" w:asciiTheme="majorEastAsia" w:hAnsiTheme="majorEastAsia" w:eastAsiaTheme="majorEastAsia"/>
              <w:kern w:val="0"/>
            </w:rPr>
            <w:t>4.4.1 德国专利侵权行为及其例外</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_Toc203057718 \h </w:instrText>
          </w:r>
          <w:r>
            <w:rPr>
              <w:rFonts w:asciiTheme="majorEastAsia" w:hAnsiTheme="majorEastAsia" w:eastAsiaTheme="majorEastAsia"/>
            </w:rPr>
            <w:fldChar w:fldCharType="separate"/>
          </w:r>
          <w:r>
            <w:rPr>
              <w:rFonts w:asciiTheme="majorEastAsia" w:hAnsiTheme="majorEastAsia" w:eastAsiaTheme="majorEastAsia"/>
            </w:rPr>
            <w:t>72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2"/>
            <w:tabs>
              <w:tab w:val="right" w:leader="dot" w:pos="8296"/>
            </w:tabs>
            <w:ind w:left="960" w:firstLine="480"/>
            <w:rPr>
              <w:rFonts w:asciiTheme="majorEastAsia" w:hAnsiTheme="majorEastAsia" w:eastAsiaTheme="majorEastAsia"/>
              <w:sz w:val="21"/>
              <w:szCs w:val="22"/>
            </w:rPr>
          </w:pPr>
          <w:r>
            <w:fldChar w:fldCharType="begin"/>
          </w:r>
          <w:r>
            <w:instrText xml:space="preserve"> HYPERLINK \l "_Toc203057719" </w:instrText>
          </w:r>
          <w:r>
            <w:fldChar w:fldCharType="separate"/>
          </w:r>
          <w:r>
            <w:rPr>
              <w:rStyle w:val="25"/>
              <w:rFonts w:cs="Helvetica" w:asciiTheme="majorEastAsia" w:hAnsiTheme="majorEastAsia" w:eastAsiaTheme="majorEastAsia"/>
              <w:kern w:val="0"/>
            </w:rPr>
            <w:t>4.4.2 德国侵权诉讼的反诉及抗辩</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_Toc203057719 \h </w:instrText>
          </w:r>
          <w:r>
            <w:rPr>
              <w:rFonts w:asciiTheme="majorEastAsia" w:hAnsiTheme="majorEastAsia" w:eastAsiaTheme="majorEastAsia"/>
            </w:rPr>
            <w:fldChar w:fldCharType="separate"/>
          </w:r>
          <w:r>
            <w:rPr>
              <w:rFonts w:asciiTheme="majorEastAsia" w:hAnsiTheme="majorEastAsia" w:eastAsiaTheme="majorEastAsia"/>
            </w:rPr>
            <w:t>79</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ajorEastAsia" w:hAnsiTheme="majorEastAsia" w:eastAsiaTheme="majorEastAsia"/>
              <w:sz w:val="21"/>
              <w:szCs w:val="22"/>
            </w:rPr>
          </w:pPr>
          <w:r>
            <w:fldChar w:fldCharType="begin"/>
          </w:r>
          <w:r>
            <w:instrText xml:space="preserve"> HYPERLINK \l "_Toc203057720" </w:instrText>
          </w:r>
          <w:r>
            <w:fldChar w:fldCharType="separate"/>
          </w:r>
          <w:r>
            <w:rPr>
              <w:rStyle w:val="25"/>
              <w:rFonts w:asciiTheme="majorEastAsia" w:hAnsiTheme="majorEastAsia" w:eastAsiaTheme="majorEastAsia"/>
            </w:rPr>
            <w:t>第五章 应对措施</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_Toc203057720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"_Toc203057721" </w:instrText>
          </w:r>
          <w:r>
            <w:fldChar w:fldCharType="separate"/>
          </w:r>
          <w:r>
            <w:rPr>
              <w:rStyle w:val="25"/>
              <w:rFonts w:asciiTheme="majorEastAsia" w:hAnsiTheme="majorEastAsia" w:eastAsiaTheme="majorEastAsia"/>
            </w:rPr>
            <w:t>5.1 产业现状与海外知识产权风险研判</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_Toc203057721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"_Toc203057722" </w:instrText>
          </w:r>
          <w:r>
            <w:fldChar w:fldCharType="separate"/>
          </w:r>
          <w:r>
            <w:rPr>
              <w:rStyle w:val="25"/>
              <w:rFonts w:asciiTheme="majorEastAsia" w:hAnsiTheme="majorEastAsia" w:eastAsiaTheme="majorEastAsia"/>
            </w:rPr>
            <w:t>5.2 加强知识产权风险预警与监测</w:t>
          </w:r>
          <w:r>
            <w:rPr>
              <w:rStyle w:val="25"/>
              <w:rFonts w:hint="eastAsia" w:ascii="MS Gothic" w:hAnsi="MS Gothic" w:eastAsia="MS Gothic" w:cs="MS Gothic"/>
            </w:rPr>
            <w:t>​</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_Toc203057722 \h </w:instrText>
          </w:r>
          <w:r>
            <w:rPr>
              <w:rFonts w:asciiTheme="majorEastAsia" w:hAnsiTheme="majorEastAsia" w:eastAsiaTheme="majorEastAsia"/>
            </w:rPr>
            <w:fldChar w:fldCharType="separate"/>
          </w:r>
          <w:r>
            <w:rPr>
              <w:rFonts w:asciiTheme="majorEastAsia" w:hAnsiTheme="majorEastAsia" w:eastAsiaTheme="majorEastAsia"/>
            </w:rPr>
            <w:t>81</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"_Toc203057723" </w:instrText>
          </w:r>
          <w:r>
            <w:fldChar w:fldCharType="separate"/>
          </w:r>
          <w:r>
            <w:rPr>
              <w:rStyle w:val="25"/>
              <w:rFonts w:asciiTheme="majorEastAsia" w:hAnsiTheme="majorEastAsia" w:eastAsiaTheme="majorEastAsia"/>
            </w:rPr>
            <w:t>5.3 强化知识产权海外布局</w:t>
          </w:r>
          <w:r>
            <w:rPr>
              <w:rStyle w:val="25"/>
              <w:rFonts w:hint="eastAsia" w:ascii="MS Gothic" w:hAnsi="MS Gothic" w:eastAsia="MS Gothic" w:cs="MS Gothic"/>
            </w:rPr>
            <w:t>​</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_Toc203057723 \h </w:instrText>
          </w:r>
          <w:r>
            <w:rPr>
              <w:rFonts w:asciiTheme="majorEastAsia" w:hAnsiTheme="majorEastAsia" w:eastAsiaTheme="majorEastAsia"/>
            </w:rPr>
            <w:fldChar w:fldCharType="separate"/>
          </w:r>
          <w:r>
            <w:rPr>
              <w:rFonts w:asciiTheme="majorEastAsia" w:hAnsiTheme="majorEastAsia" w:eastAsiaTheme="majorEastAsia"/>
            </w:rPr>
            <w:t>82</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"_Toc203057724" </w:instrText>
          </w:r>
          <w:r>
            <w:fldChar w:fldCharType="separate"/>
          </w:r>
          <w:r>
            <w:rPr>
              <w:rStyle w:val="25"/>
              <w:rFonts w:asciiTheme="majorEastAsia" w:hAnsiTheme="majorEastAsia" w:eastAsiaTheme="majorEastAsia"/>
            </w:rPr>
            <w:t>5.4 提升企业知识产权管理水平</w:t>
          </w:r>
          <w:r>
            <w:rPr>
              <w:rStyle w:val="25"/>
              <w:rFonts w:hint="eastAsia" w:ascii="MS Gothic" w:hAnsi="MS Gothic" w:eastAsia="MS Gothic" w:cs="MS Gothic"/>
            </w:rPr>
            <w:t>​</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_Toc203057724 \h </w:instrText>
          </w:r>
          <w:r>
            <w:rPr>
              <w:rFonts w:asciiTheme="majorEastAsia" w:hAnsiTheme="majorEastAsia" w:eastAsiaTheme="majorEastAsia"/>
            </w:rPr>
            <w:fldChar w:fldCharType="separate"/>
          </w:r>
          <w:r>
            <w:rPr>
              <w:rFonts w:asciiTheme="majorEastAsia" w:hAnsiTheme="majorEastAsia" w:eastAsiaTheme="majorEastAsia"/>
            </w:rPr>
            <w:t>83</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8"/>
            <w:tabs>
              <w:tab w:val="right" w:leader="dot" w:pos="8296"/>
            </w:tabs>
            <w:ind w:left="480" w:firstLine="480"/>
            <w:rPr>
              <w:rFonts w:asciiTheme="majorEastAsia" w:hAnsiTheme="majorEastAsia" w:eastAsiaTheme="majorEastAsia"/>
              <w:sz w:val="21"/>
              <w:szCs w:val="22"/>
            </w:rPr>
          </w:pPr>
          <w:r>
            <w:fldChar w:fldCharType="begin"/>
          </w:r>
          <w:r>
            <w:instrText xml:space="preserve"> HYPERLINK \l "_Toc203057725" </w:instrText>
          </w:r>
          <w:r>
            <w:fldChar w:fldCharType="separate"/>
          </w:r>
          <w:r>
            <w:rPr>
              <w:rStyle w:val="25"/>
              <w:rFonts w:asciiTheme="majorEastAsia" w:hAnsiTheme="majorEastAsia" w:eastAsiaTheme="majorEastAsia"/>
            </w:rPr>
            <w:t>5.5 积极应对知识产权纠纷</w:t>
          </w:r>
          <w:r>
            <w:rPr>
              <w:rStyle w:val="25"/>
              <w:rFonts w:hint="eastAsia" w:ascii="MS Gothic" w:hAnsi="MS Gothic" w:eastAsia="MS Gothic" w:cs="MS Gothic"/>
            </w:rPr>
            <w:t>​</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_Toc203057725 \h </w:instrText>
          </w:r>
          <w:r>
            <w:rPr>
              <w:rFonts w:asciiTheme="majorEastAsia" w:hAnsiTheme="majorEastAsia" w:eastAsiaTheme="majorEastAsia"/>
            </w:rPr>
            <w:fldChar w:fldCharType="separate"/>
          </w:r>
          <w:r>
            <w:rPr>
              <w:rFonts w:asciiTheme="majorEastAsia" w:hAnsiTheme="majorEastAsia" w:eastAsiaTheme="majorEastAsia"/>
            </w:rPr>
            <w:t>84</w:t>
          </w:r>
          <w:r>
            <w:rPr>
              <w:rFonts w:asciiTheme="majorEastAsia" w:hAnsiTheme="majorEastAsia" w:eastAsiaTheme="majorEastAsia"/>
            </w:rPr>
            <w:fldChar w:fldCharType="end"/>
          </w:r>
          <w:r>
            <w:rPr>
              <w:rFonts w:asciiTheme="majorEastAsia" w:hAnsiTheme="majorEastAsia" w:eastAsiaTheme="majorEastAsia"/>
            </w:rPr>
            <w:fldChar w:fldCharType="end"/>
          </w:r>
        </w:p>
        <w:p>
          <w:pPr>
            <w:pStyle w:val="15"/>
            <w:tabs>
              <w:tab w:val="right" w:leader="dot" w:pos="8296"/>
            </w:tabs>
            <w:ind w:firstLine="480"/>
            <w:rPr>
              <w:rFonts w:asciiTheme="minorHAnsi" w:hAnsiTheme="minorHAnsi" w:eastAsiaTheme="minorEastAsia"/>
              <w:sz w:val="21"/>
              <w:szCs w:val="22"/>
            </w:rPr>
          </w:pPr>
          <w:r>
            <w:fldChar w:fldCharType="begin"/>
          </w:r>
          <w:r>
            <w:instrText xml:space="preserve"> HYPERLINK \l "_Toc203057726" </w:instrText>
          </w:r>
          <w:r>
            <w:fldChar w:fldCharType="separate"/>
          </w:r>
          <w:r>
            <w:rPr>
              <w:rStyle w:val="25"/>
              <w:rFonts w:asciiTheme="majorEastAsia" w:hAnsiTheme="majorEastAsia" w:eastAsiaTheme="majorEastAsia"/>
            </w:rPr>
            <w:t>附件1：海外知识产权侵权风险防控标准化流程</w:t>
          </w:r>
          <w:r>
            <w:rPr>
              <w:rFonts w:asciiTheme="majorEastAsia" w:hAnsiTheme="majorEastAsia" w:eastAsiaTheme="majorEastAsia"/>
            </w:rPr>
            <w:tab/>
          </w:r>
          <w:r>
            <w:rPr>
              <w:rFonts w:asciiTheme="majorEastAsia" w:hAnsiTheme="majorEastAsia" w:eastAsiaTheme="majorEastAsia"/>
            </w:rPr>
            <w:fldChar w:fldCharType="begin"/>
          </w:r>
          <w:r>
            <w:rPr>
              <w:rFonts w:asciiTheme="majorEastAsia" w:hAnsiTheme="majorEastAsia" w:eastAsiaTheme="majorEastAsia"/>
            </w:rPr>
            <w:instrText xml:space="preserve"> PAGEREF _Toc203057726 \h </w:instrText>
          </w:r>
          <w:r>
            <w:rPr>
              <w:rFonts w:asciiTheme="majorEastAsia" w:hAnsiTheme="majorEastAsia" w:eastAsiaTheme="majorEastAsia"/>
            </w:rPr>
            <w:fldChar w:fldCharType="separate"/>
          </w:r>
          <w:r>
            <w:rPr>
              <w:rFonts w:asciiTheme="majorEastAsia" w:hAnsiTheme="majorEastAsia" w:eastAsiaTheme="majorEastAsia"/>
            </w:rPr>
            <w:t>85</w:t>
          </w:r>
          <w:r>
            <w:rPr>
              <w:rFonts w:asciiTheme="majorEastAsia" w:hAnsiTheme="majorEastAsia" w:eastAsiaTheme="majorEastAsia"/>
            </w:rPr>
            <w:fldChar w:fldCharType="end"/>
          </w:r>
          <w:r>
            <w:rPr>
              <w:rFonts w:asciiTheme="majorEastAsia" w:hAnsiTheme="majorEastAsia" w:eastAsiaTheme="majorEastAsia"/>
            </w:rPr>
            <w:fldChar w:fldCharType="end"/>
          </w:r>
        </w:p>
        <w:p>
          <w:pPr>
            <w:ind w:firstLine="0" w:firstLineChars="0"/>
          </w:pPr>
          <w:r>
            <w:rPr>
              <w:rFonts w:hint="eastAsia" w:cs="黑体" w:asciiTheme="minorEastAsia" w:hAnsiTheme="minorEastAsia" w:eastAsiaTheme="minorEastAsia"/>
            </w:rPr>
            <w:fldChar w:fldCharType="end"/>
          </w:r>
        </w:p>
      </w:sdtContent>
    </w:sdt>
    <w:p>
      <w:pPr>
        <w:pStyle w:val="3"/>
        <w:numPr>
          <w:ilvl w:val="0"/>
          <w:numId w:val="1"/>
        </w:numPr>
        <w:spacing w:before="312" w:after="312"/>
        <w:sectPr>
          <w:footerReference r:id="rId11" w:type="default"/>
          <w:pgSz w:w="11906" w:h="16838"/>
          <w:pgMar w:top="1440" w:right="1800" w:bottom="1440" w:left="1800" w:header="851" w:footer="992" w:gutter="0"/>
          <w:pgNumType w:start="1"/>
          <w:cols w:space="425" w:num="1"/>
          <w:docGrid w:type="lines" w:linePitch="312" w:charSpace="0"/>
        </w:sectPr>
      </w:pPr>
    </w:p>
    <w:p>
      <w:pPr>
        <w:pStyle w:val="3"/>
        <w:spacing w:before="312" w:after="312"/>
      </w:pPr>
      <w:bookmarkStart w:id="0" w:name="_Toc203057679"/>
      <w:bookmarkStart w:id="1" w:name="_Toc141969502"/>
      <w:bookmarkStart w:id="2" w:name="_Toc141969503"/>
      <w:r>
        <w:rPr>
          <w:rFonts w:hint="eastAsia"/>
        </w:rPr>
        <w:t>引言</w:t>
      </w:r>
      <w:bookmarkEnd w:id="0"/>
      <w:bookmarkEnd w:id="1"/>
    </w:p>
    <w:p>
      <w:pPr>
        <w:ind w:firstLine="480"/>
      </w:pPr>
      <w:bookmarkStart w:id="3" w:name="OLE_LINK39"/>
      <w:r>
        <w:rPr>
          <w:rFonts w:hint="eastAsia"/>
        </w:rPr>
        <w:t>高唐商会</w:t>
      </w:r>
      <w:bookmarkEnd w:id="3"/>
      <w:r>
        <w:rPr>
          <w:rFonts w:hint="eastAsia"/>
        </w:rPr>
        <w:t>成于2020年05月18日，以开展政企商务活动，维护会员合法权益，向会员提供政策、市场信息、举办联谊活动，为会员创建联系交流平台，引导和协助会员回高唐创业为宗旨。坚持“团结、奉献、创新、发展”为理念，充分发挥政府与商人、商人与商人、商人与社会的桥梁纽带作用，推动了高唐县地区经济与外界的广泛合作与交流。</w:t>
      </w:r>
    </w:p>
    <w:p>
      <w:pPr>
        <w:ind w:firstLine="480"/>
      </w:pPr>
      <w:r>
        <w:rPr>
          <w:rFonts w:hint="eastAsia"/>
        </w:rPr>
        <w:t>202</w:t>
      </w:r>
      <w:r>
        <w:t>5</w:t>
      </w:r>
      <w:r>
        <w:rPr>
          <w:rFonts w:hint="eastAsia"/>
        </w:rPr>
        <w:t>年，协会根据高唐</w:t>
      </w:r>
      <w:bookmarkStart w:id="4" w:name="OLE_LINK37"/>
      <w:r>
        <w:rPr>
          <w:rFonts w:hint="eastAsia"/>
        </w:rPr>
        <w:t>一次性餐具产业</w:t>
      </w:r>
      <w:bookmarkEnd w:id="4"/>
      <w:r>
        <w:rPr>
          <w:rFonts w:hint="eastAsia"/>
        </w:rPr>
        <w:t>相关企业的经营现状和发展前景，对相关企业进行了实地走访调研，组织涉外企业开展海外知识产权风险预警培训，帮助企业加强海外风险防控体系建设，并针对一次性餐具产业制作一份海外知识产权预警分析报告，本次报告经过多次现场调研和座谈，</w:t>
      </w:r>
      <w:bookmarkStart w:id="5" w:name="OLE_LINK38"/>
      <w:r>
        <w:rPr>
          <w:rFonts w:hint="eastAsia"/>
        </w:rPr>
        <w:t>希望通过这次知识产权预警分析，帮助相关企业规避知识产权风险，逐步开拓海外市场</w:t>
      </w:r>
      <w:r>
        <w:rPr>
          <w:rFonts w:hint="eastAsia" w:cs="Arial" w:asciiTheme="minorEastAsia" w:hAnsiTheme="minorEastAsia" w:eastAsiaTheme="minorEastAsia"/>
          <w:color w:val="000000"/>
          <w:shd w:val="clear" w:color="auto" w:fill="FFFFFF"/>
        </w:rPr>
        <w:t>。</w:t>
      </w:r>
    </w:p>
    <w:bookmarkEnd w:id="5"/>
    <w:p>
      <w:pPr>
        <w:widowControl/>
        <w:spacing w:line="240" w:lineRule="auto"/>
        <w:ind w:firstLine="0" w:firstLineChars="0"/>
        <w:jc w:val="left"/>
        <w:rPr>
          <w:rFonts w:ascii="黑体" w:hAnsi="黑体" w:eastAsia="黑体"/>
          <w:b/>
          <w:bCs/>
          <w:kern w:val="44"/>
          <w:sz w:val="32"/>
          <w:szCs w:val="44"/>
        </w:rPr>
      </w:pPr>
      <w:r>
        <w:br w:type="page"/>
      </w:r>
    </w:p>
    <w:p>
      <w:pPr>
        <w:pStyle w:val="3"/>
        <w:spacing w:before="312" w:after="312"/>
      </w:pPr>
      <w:bookmarkStart w:id="6" w:name="_Toc203057680"/>
      <w:r>
        <w:rPr>
          <w:rFonts w:hint="eastAsia"/>
        </w:rPr>
        <w:t>摘要</w:t>
      </w:r>
      <w:bookmarkEnd w:id="2"/>
      <w:bookmarkEnd w:id="6"/>
    </w:p>
    <w:p>
      <w:pPr>
        <w:ind w:firstLine="480"/>
      </w:pPr>
      <w:r>
        <w:rPr>
          <w:rFonts w:hint="eastAsia"/>
        </w:rPr>
        <w:t>本报告，首先分析了全球、中国以及聊城市一次性环保餐具产业的发展现状，包括产业规模，产业链，产业竞争格局，产业发展趋势，产业内重点企业等，对一次性环保餐具产业当前的发展现状做了详细具体的分析。</w:t>
      </w:r>
    </w:p>
    <w:p>
      <w:pPr>
        <w:ind w:firstLine="480"/>
      </w:pPr>
      <w:r>
        <w:rPr>
          <w:rFonts w:hint="eastAsia"/>
        </w:rPr>
        <w:t>其次，基于对一次性环保餐具产业的技术分解，对一次性环保餐具领域的专利进行检索形成专利数据库，并基于该专利数据库对全球一次性环保餐具领域的专利进行技术分析。具体分析内容包括聊城市以及部分重点国家或地区专利的申请趋势，专利的类型，专利的法律状态，一次性环保餐具领域专利侵权诉讼高发区域，一次性环保餐具领域专利无效高发区域，一次性环保餐具领域专利诉讼涉及的企业，一次性环保餐具领域专利诉讼涉及的技术方向等。</w:t>
      </w:r>
    </w:p>
    <w:p>
      <w:pPr>
        <w:ind w:firstLine="480"/>
      </w:pPr>
      <w:r>
        <w:rPr>
          <w:rFonts w:hint="eastAsia"/>
        </w:rPr>
        <w:t>再次，结合具体案例，对商标、软著、专利等知识产权侵权行为进行了具体的分析。同时对一次性环保餐具领域主要国家的知识产权侵权相关法律法规做了介绍，并对如何进行侵权抗辩做了具体的分析。</w:t>
      </w:r>
    </w:p>
    <w:p>
      <w:pPr>
        <w:ind w:firstLine="480"/>
      </w:pPr>
      <w:r>
        <w:t>最后，</w:t>
      </w:r>
      <w:r>
        <w:rPr>
          <w:rFonts w:hint="eastAsia"/>
        </w:rPr>
        <w:t>基于产业分析和知识产权分析，并结合聊城市一次性环保餐具企业的具体情况，</w:t>
      </w:r>
      <w:r>
        <w:t>给</w:t>
      </w:r>
      <w:r>
        <w:rPr>
          <w:rFonts w:hint="eastAsia"/>
        </w:rPr>
        <w:t>出了应对海外知识产权侵权风险的具体应对措施，供聊城市一次性环保餐具行业内企业参考，增强聊城市一次性环保餐具企业应对海外知识产权侵权风险的能力。</w:t>
      </w:r>
    </w:p>
    <w:p>
      <w:pPr>
        <w:pStyle w:val="2"/>
        <w:ind w:firstLine="0" w:firstLineChars="0"/>
      </w:pPr>
      <w:r>
        <w:br w:type="page"/>
      </w:r>
    </w:p>
    <w:p>
      <w:pPr>
        <w:pStyle w:val="3"/>
        <w:spacing w:before="312" w:after="312"/>
      </w:pPr>
      <w:bookmarkStart w:id="7" w:name="_Toc203057681"/>
      <w:r>
        <w:rPr>
          <w:rFonts w:hint="eastAsia"/>
        </w:rPr>
        <w:t>第一章 产业及重点企业情况</w:t>
      </w:r>
      <w:bookmarkEnd w:id="7"/>
    </w:p>
    <w:p>
      <w:pPr>
        <w:ind w:firstLine="562"/>
        <w:outlineLvl w:val="1"/>
        <w:rPr>
          <w:rFonts w:ascii="黑体" w:hAnsi="黑体" w:eastAsia="黑体"/>
          <w:b/>
          <w:bCs/>
          <w:sz w:val="28"/>
          <w:szCs w:val="28"/>
        </w:rPr>
      </w:pPr>
      <w:bookmarkStart w:id="8" w:name="_Toc203057682"/>
      <w:r>
        <w:rPr>
          <w:rFonts w:ascii="黑体" w:hAnsi="黑体" w:eastAsia="黑体"/>
          <w:b/>
          <w:bCs/>
          <w:sz w:val="28"/>
          <w:szCs w:val="28"/>
        </w:rPr>
        <w:t xml:space="preserve">1.1 </w:t>
      </w:r>
      <w:r>
        <w:rPr>
          <w:rFonts w:hint="eastAsia" w:ascii="黑体" w:hAnsi="黑体" w:eastAsia="黑体"/>
          <w:b/>
          <w:bCs/>
          <w:sz w:val="28"/>
          <w:szCs w:val="28"/>
        </w:rPr>
        <w:t>一次性环保餐具产业分析</w:t>
      </w:r>
      <w:bookmarkEnd w:id="8"/>
    </w:p>
    <w:p>
      <w:pPr>
        <w:ind w:firstLine="480"/>
        <w:rPr>
          <w:rFonts w:asciiTheme="minorEastAsia" w:hAnsiTheme="minorEastAsia" w:eastAsiaTheme="minorEastAsia"/>
        </w:rPr>
      </w:pPr>
      <w:r>
        <w:rPr>
          <w:rFonts w:asciiTheme="minorEastAsia" w:hAnsiTheme="minorEastAsia" w:eastAsiaTheme="minorEastAsia"/>
        </w:rPr>
        <w:t>纸浆模塑餐具是将可回收循环的植物纤维（如木浆、蔗渣浆、竹浆、秸秆纤维等）调配成浆料，经真空吸附成型、模内干燥制成的环保餐具，涵盖餐盒、盘、碟、刀、叉、筷、碗、杯等。这些餐具可在 45 - 90 天内自然降解，还可家庭堆肥，使用后能成为有机肥料回归自然，且部分产品能承受 220</w:t>
      </w:r>
      <w:r>
        <w:rPr>
          <w:rFonts w:hint="eastAsia" w:asciiTheme="minorEastAsia" w:hAnsiTheme="minorEastAsia" w:eastAsiaTheme="minorEastAsia"/>
        </w:rPr>
        <w:t>℃</w:t>
      </w:r>
      <w:r>
        <w:rPr>
          <w:rFonts w:asciiTheme="minorEastAsia" w:hAnsiTheme="minorEastAsia" w:eastAsiaTheme="minorEastAsia"/>
        </w:rPr>
        <w:t>高温用于微波加热，也能在零下 18</w:t>
      </w:r>
      <w:r>
        <w:rPr>
          <w:rFonts w:hint="eastAsia" w:asciiTheme="minorEastAsia" w:hAnsiTheme="minorEastAsia" w:eastAsiaTheme="minorEastAsia"/>
        </w:rPr>
        <w:t>℃</w:t>
      </w:r>
      <w:r>
        <w:rPr>
          <w:rFonts w:asciiTheme="minorEastAsia" w:hAnsiTheme="minorEastAsia" w:eastAsiaTheme="minorEastAsia"/>
        </w:rPr>
        <w:t>冷冻冷藏，符合国家及国际多项质量检测标准</w:t>
      </w:r>
      <w:r>
        <w:rPr>
          <w:rFonts w:hint="eastAsia" w:asciiTheme="minorEastAsia" w:hAnsiTheme="minorEastAsia" w:eastAsiaTheme="minorEastAsia"/>
        </w:rPr>
        <w:t>，</w:t>
      </w:r>
      <w:r>
        <w:rPr>
          <w:rFonts w:asciiTheme="minorEastAsia" w:hAnsiTheme="minorEastAsia" w:eastAsiaTheme="minorEastAsia"/>
        </w:rPr>
        <w:t>能满足热食、油炸食品的盛装需求，是塑料餐具的理想替代品。</w:t>
      </w:r>
    </w:p>
    <w:p>
      <w:pPr>
        <w:ind w:firstLine="480"/>
        <w:rPr>
          <w:rFonts w:asciiTheme="minorEastAsia" w:hAnsiTheme="minorEastAsia" w:eastAsiaTheme="minorEastAsia"/>
        </w:rPr>
      </w:pPr>
      <w:r>
        <w:rPr>
          <w:rFonts w:asciiTheme="minorEastAsia" w:hAnsiTheme="minorEastAsia" w:eastAsiaTheme="minorEastAsia"/>
        </w:rPr>
        <w:t>纸浆模塑</w:t>
      </w:r>
      <w:r>
        <w:rPr>
          <w:rFonts w:hint="eastAsia" w:asciiTheme="minorEastAsia" w:hAnsiTheme="minorEastAsia" w:eastAsiaTheme="minorEastAsia"/>
        </w:rPr>
        <w:t>餐具</w:t>
      </w:r>
      <w:r>
        <w:rPr>
          <w:rFonts w:asciiTheme="minorEastAsia" w:hAnsiTheme="minorEastAsia" w:eastAsiaTheme="minorEastAsia"/>
        </w:rPr>
        <w:t>的关键技术主要包括制浆技术、成型技术、干燥技术、整形技术和后加工技术。</w:t>
      </w:r>
      <w:r>
        <w:rPr>
          <w:rFonts w:hint="eastAsia" w:asciiTheme="minorEastAsia" w:hAnsiTheme="minorEastAsia" w:eastAsiaTheme="minorEastAsia"/>
        </w:rPr>
        <w:t>按照生产工艺分，</w:t>
      </w:r>
      <w:r>
        <w:rPr>
          <w:rFonts w:asciiTheme="minorEastAsia" w:hAnsiTheme="minorEastAsia" w:eastAsiaTheme="minorEastAsia"/>
        </w:rPr>
        <w:t>纸浆模塑餐具生产工艺主要包括湿压法和干压法，前者产品挺度高，后者能耗较低，部分工艺需添加生物基防水防油助剂以提升性能。</w:t>
      </w:r>
    </w:p>
    <w:p>
      <w:pPr>
        <w:ind w:firstLine="480"/>
        <w:rPr>
          <w:rFonts w:asciiTheme="minorEastAsia" w:hAnsiTheme="minorEastAsia" w:eastAsiaTheme="minorEastAsia"/>
        </w:rPr>
      </w:pPr>
      <w:r>
        <w:rPr>
          <w:rFonts w:asciiTheme="minorEastAsia" w:hAnsiTheme="minorEastAsia" w:eastAsiaTheme="minorEastAsia"/>
        </w:rPr>
        <w:t>随着环保政策持续推进、消费者环保意识不断提高以及技术创新突破，纸浆</w:t>
      </w:r>
      <w:r>
        <w:rPr>
          <w:rFonts w:ascii="Segoe UI" w:hAnsi="Segoe UI" w:cs="Segoe UI"/>
          <w:shd w:val="clear" w:color="auto" w:fill="FFFFFF"/>
        </w:rPr>
        <w:t>模塑餐具产业市场规模将持续扩大，应用领域也会不断拓展。</w:t>
      </w:r>
    </w:p>
    <w:p>
      <w:pPr>
        <w:ind w:firstLine="562"/>
        <w:outlineLvl w:val="2"/>
        <w:rPr>
          <w:rFonts w:ascii="黑体" w:hAnsi="黑体" w:eastAsia="黑体" w:cs="Helvetica"/>
          <w:b/>
          <w:color w:val="000000" w:themeColor="text1"/>
          <w:kern w:val="0"/>
          <w:sz w:val="28"/>
          <w:szCs w:val="28"/>
        </w:rPr>
      </w:pPr>
      <w:bookmarkStart w:id="9" w:name="_Toc203057683"/>
      <w:r>
        <w:rPr>
          <w:rFonts w:ascii="黑体" w:hAnsi="黑体" w:eastAsia="黑体" w:cs="Helvetica"/>
          <w:b/>
          <w:color w:val="000000" w:themeColor="text1"/>
          <w:kern w:val="0"/>
          <w:sz w:val="28"/>
          <w:szCs w:val="28"/>
        </w:rPr>
        <w:t xml:space="preserve">1.1.1 </w:t>
      </w:r>
      <w:r>
        <w:rPr>
          <w:rFonts w:hint="eastAsia" w:ascii="黑体" w:hAnsi="黑体" w:eastAsia="黑体" w:cs="Helvetica"/>
          <w:b/>
          <w:color w:val="000000" w:themeColor="text1"/>
          <w:kern w:val="0"/>
          <w:sz w:val="28"/>
          <w:szCs w:val="28"/>
        </w:rPr>
        <w:t>全球一次性环保餐具产业发展概况</w:t>
      </w:r>
      <w:bookmarkEnd w:id="9"/>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.市场规模</w:t>
      </w:r>
    </w:p>
    <w:p>
      <w:pPr>
        <w:ind w:firstLine="480"/>
        <w:rPr>
          <w:rFonts w:asciiTheme="minorEastAsia" w:hAnsiTheme="minorEastAsia" w:eastAsiaTheme="minorEastAsia"/>
        </w:rPr>
      </w:pPr>
      <w:r>
        <w:rPr>
          <w:rFonts w:hint="eastAsia" w:asciiTheme="minorEastAsia" w:hAnsiTheme="minorEastAsia" w:eastAsiaTheme="minorEastAsia"/>
        </w:rPr>
        <w:t>全球一次性纸质餐具市场规模呈现稳步扩张的态势，2023年全球一次性纸质餐具市场规模为596.4亿元，其中纸浆模塑餐具市场规模约</w:t>
      </w:r>
      <w:r>
        <w:rPr>
          <w:rFonts w:asciiTheme="minorEastAsia" w:hAnsiTheme="minorEastAsia" w:eastAsiaTheme="minorEastAsia"/>
        </w:rPr>
        <w:t>83.03亿元</w:t>
      </w:r>
      <w:r>
        <w:rPr>
          <w:rFonts w:hint="eastAsia" w:asciiTheme="minorEastAsia" w:hAnsiTheme="minorEastAsia" w:eastAsiaTheme="minorEastAsia"/>
        </w:rPr>
        <w:t>，预计2030年全球一次性纸质餐具市场规模将达到839.4亿元，2023-2030期间年复合增长率（CAGR）为5.00%。目前亚太地区是全球最大的一次性纸质餐具市场，占有大约40%的市场份额，之后是美洲和欧洲市场，共占有大约50%的份额。</w:t>
      </w:r>
      <w:r>
        <w:rPr>
          <w:rFonts w:asciiTheme="minorEastAsia" w:hAnsiTheme="minorEastAsia" w:eastAsiaTheme="minorEastAsia"/>
        </w:rPr>
        <w:t>中国是全球最大的</w:t>
      </w:r>
      <w:r>
        <w:rPr>
          <w:rFonts w:hint="eastAsia" w:asciiTheme="minorEastAsia" w:hAnsiTheme="minorEastAsia" w:eastAsiaTheme="minorEastAsia"/>
        </w:rPr>
        <w:t>一次性纸质</w:t>
      </w:r>
      <w:r>
        <w:rPr>
          <w:rFonts w:asciiTheme="minorEastAsia" w:hAnsiTheme="minorEastAsia" w:eastAsiaTheme="minorEastAsia"/>
        </w:rPr>
        <w:t>餐具生产国和消费国，在全球市场中占据重要地位且增长迅速。</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.产业链</w:t>
      </w:r>
    </w:p>
    <w:p>
      <w:pPr>
        <w:ind w:firstLine="480"/>
        <w:rPr>
          <w:rFonts w:asciiTheme="minorEastAsia" w:hAnsiTheme="minorEastAsia" w:eastAsiaTheme="minorEastAsia"/>
        </w:rPr>
      </w:pPr>
      <w:r>
        <w:rPr>
          <w:rFonts w:asciiTheme="minorEastAsia" w:hAnsiTheme="minorEastAsia" w:eastAsiaTheme="minorEastAsia"/>
        </w:rPr>
        <w:t>上游：主要是植物纤维原料供应，如木浆、竹浆、蔗渣浆等。这些原料的供应稳定性和价格受林业资源、农业生产、政策法规等因素影响。例如，木浆价格会因森林砍伐政策、木材供需关系而波动。同时，助剂生产企业提供防水、防油、增强等功能的助剂，保障餐具性能。</w:t>
      </w:r>
    </w:p>
    <w:p>
      <w:pPr>
        <w:ind w:firstLine="480"/>
        <w:rPr>
          <w:rFonts w:asciiTheme="minorEastAsia" w:hAnsiTheme="minorEastAsia" w:eastAsiaTheme="minorEastAsia"/>
        </w:rPr>
      </w:pPr>
      <w:r>
        <w:rPr>
          <w:rFonts w:asciiTheme="minorEastAsia" w:hAnsiTheme="minorEastAsia" w:eastAsiaTheme="minorEastAsia"/>
        </w:rPr>
        <w:t>中游：涵盖纸浆模塑餐具的生产制造环节，包括制浆、模塑成型、干燥、后处理等工艺过程。企业通过不断改进生产技术和设备，提升生产效率和产品质量。部分先进企业已实现较高的自动化生产水平，提高了产能并降低了人力成本。</w:t>
      </w:r>
    </w:p>
    <w:p>
      <w:pPr>
        <w:ind w:firstLine="480"/>
        <w:rPr>
          <w:rFonts w:asciiTheme="minorEastAsia" w:hAnsiTheme="minorEastAsia" w:eastAsiaTheme="minorEastAsia"/>
        </w:rPr>
      </w:pPr>
      <w:r>
        <w:rPr>
          <w:rFonts w:asciiTheme="minorEastAsia" w:hAnsiTheme="minorEastAsia" w:eastAsiaTheme="minorEastAsia"/>
        </w:rPr>
        <w:t>下游：</w:t>
      </w:r>
      <w:r>
        <w:rPr>
          <w:rFonts w:hint="eastAsia" w:asciiTheme="minorEastAsia" w:hAnsiTheme="minorEastAsia" w:eastAsiaTheme="minorEastAsia"/>
        </w:rPr>
        <w:t>纸浆模塑餐具</w:t>
      </w:r>
      <w:r>
        <w:rPr>
          <w:rFonts w:asciiTheme="minorEastAsia" w:hAnsiTheme="minorEastAsia" w:eastAsiaTheme="minorEastAsia"/>
        </w:rPr>
        <w:t>应用领域广泛，包括餐饮外卖、食品零售、航空、酒店等行业。随着环保意识增强，越来越多的餐饮企业和消费者倾向选择纸浆模塑餐具，推动了产业的发展。</w:t>
      </w:r>
    </w:p>
    <w:p>
      <w:pPr>
        <w:ind w:firstLine="480"/>
        <w:rPr>
          <w:rFonts w:asciiTheme="minorEastAsia" w:hAnsiTheme="minorEastAsia" w:eastAsiaTheme="minorEastAsia"/>
        </w:rPr>
      </w:pPr>
      <w:r>
        <w:rPr>
          <w:rFonts w:asciiTheme="minorEastAsia" w:hAnsiTheme="minorEastAsia" w:eastAsiaTheme="minorEastAsia"/>
        </w:rPr>
        <w:t>3.产业地域分布</w:t>
      </w:r>
    </w:p>
    <w:p>
      <w:pPr>
        <w:ind w:firstLine="480"/>
        <w:rPr>
          <w:rFonts w:asciiTheme="minorEastAsia" w:hAnsiTheme="minorEastAsia" w:eastAsiaTheme="minorEastAsia"/>
        </w:rPr>
      </w:pPr>
      <w:r>
        <w:rPr>
          <w:rFonts w:asciiTheme="minorEastAsia" w:hAnsiTheme="minorEastAsia" w:eastAsiaTheme="minorEastAsia"/>
        </w:rPr>
        <w:t>亚太地区是全球最大的纸浆模塑餐具市场，占有大约40%的市场份额。其中中国产能规模约为179万吨（2023年），占全球产能规模（442万吨）的比重为40.5%。美洲和欧洲市场共占有大约50%的份额，在欧美等发达国家，纸浆模塑餐具市场已占据一定份额并持续增长。</w:t>
      </w:r>
    </w:p>
    <w:p>
      <w:pPr>
        <w:ind w:firstLine="48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.企业竞争格局</w:t>
      </w:r>
    </w:p>
    <w:p>
      <w:pPr>
        <w:ind w:firstLine="480"/>
        <w:rPr>
          <w:rFonts w:asciiTheme="minorEastAsia" w:hAnsiTheme="minorEastAsia" w:eastAsiaTheme="minorEastAsia"/>
        </w:rPr>
      </w:pPr>
      <w:r>
        <w:rPr>
          <w:rFonts w:asciiTheme="minorEastAsia" w:hAnsiTheme="minorEastAsia" w:eastAsiaTheme="minorEastAsia"/>
        </w:rPr>
        <w:t>全球纸浆模塑一次性餐具头部厂商主要包括众鑫股份、东莞汇林包装、裕同科技、韶能股份、金晟环保等，前三大厂商占有全球一定比例的市场份额。以中国市场为例，2023年众鑫股份产能和产量市场份额高居行业榜首，分别为21.6%和18.2%；其次是韶能股份，产能和产量市场份额分别为21.2%和9.8%；金晟环保位于第三名，产能和产量市场份额分别为10.0%和8.0%。企业竞争主要围绕技术创新、产品质量、成本控制、品牌建设和市场渠道展开。</w:t>
      </w:r>
    </w:p>
    <w:p>
      <w:pPr>
        <w:ind w:firstLine="480"/>
        <w:rPr>
          <w:rFonts w:asciiTheme="minorEastAsia" w:hAnsiTheme="minorEastAsia" w:eastAsiaTheme="minorEastAsia"/>
        </w:rPr>
      </w:pPr>
      <w:r>
        <w:rPr>
          <w:rFonts w:asciiTheme="minorEastAsia" w:hAnsiTheme="minorEastAsia" w:eastAsiaTheme="minorEastAsia"/>
        </w:rPr>
        <w:t>5.产业转移趋势</w:t>
      </w:r>
    </w:p>
    <w:p>
      <w:pPr>
        <w:ind w:firstLine="480"/>
        <w:rPr>
          <w:rFonts w:asciiTheme="minorEastAsia" w:hAnsiTheme="minorEastAsia" w:eastAsiaTheme="minorEastAsia"/>
        </w:rPr>
      </w:pPr>
      <w:r>
        <w:rPr>
          <w:rFonts w:hint="eastAsia" w:asciiTheme="minorEastAsia" w:hAnsiTheme="minorEastAsia" w:eastAsiaTheme="minorEastAsia"/>
        </w:rPr>
        <w:t>当前，纸浆模塑餐具产业</w:t>
      </w:r>
      <w:r>
        <w:rPr>
          <w:rFonts w:asciiTheme="minorEastAsia" w:hAnsiTheme="minorEastAsia" w:eastAsiaTheme="minorEastAsia"/>
        </w:rPr>
        <w:t>没有明显的大规模产业转移现象。但随着发展中国家环保政策的完善、市场需求的增长以及生产成本优势，产业有向这些地区进一步拓展和转移的潜在趋势。部分发达国家企业可能会将生产环节转移至生产成本较低的地区，自身则专注于研发、品牌和市场渠道建设。</w:t>
      </w:r>
    </w:p>
    <w:p>
      <w:pPr>
        <w:ind w:firstLine="480"/>
        <w:rPr>
          <w:rFonts w:asciiTheme="minorEastAsia" w:hAnsiTheme="minorEastAsia" w:eastAsiaTheme="minorEastAsia"/>
        </w:rPr>
      </w:pPr>
      <w:r>
        <w:rPr>
          <w:rFonts w:asciiTheme="minorEastAsia" w:hAnsiTheme="minorEastAsia" w:eastAsiaTheme="minorEastAsia"/>
        </w:rPr>
        <w:t>6.产业政策环境</w:t>
      </w:r>
    </w:p>
    <w:p>
      <w:pPr>
        <w:ind w:firstLine="480"/>
        <w:rPr>
          <w:rFonts w:asciiTheme="minorEastAsia" w:hAnsiTheme="minorEastAsia" w:eastAsiaTheme="minorEastAsia"/>
        </w:rPr>
      </w:pPr>
      <w:r>
        <w:rPr>
          <w:rFonts w:asciiTheme="minorEastAsia" w:hAnsiTheme="minorEastAsia" w:eastAsiaTheme="minorEastAsia"/>
        </w:rPr>
        <w:t>全球“限塑令”“禁塑令”等政策推动了纸浆模塑餐具产业的发展。如中国出台《关于进一步加强塑料污染治理的意见》等政策，限制不可降解塑料餐具使用，鼓励使用可降解的纸浆模塑餐具；欧盟的相关环保政策也促使市场对纸浆模塑餐具的需求增加。</w:t>
      </w:r>
    </w:p>
    <w:p>
      <w:pPr>
        <w:ind w:firstLine="480"/>
        <w:rPr>
          <w:rFonts w:asciiTheme="minorEastAsia" w:hAnsiTheme="minorEastAsia" w:eastAsiaTheme="minorEastAsia"/>
        </w:rPr>
      </w:pPr>
      <w:r>
        <w:rPr>
          <w:rFonts w:hint="eastAsia" w:asciiTheme="minorEastAsia" w:hAnsiTheme="minorEastAsia" w:eastAsiaTheme="minorEastAsia"/>
        </w:rPr>
        <w:t>7</w:t>
      </w:r>
      <w:r>
        <w:rPr>
          <w:rFonts w:asciiTheme="minorEastAsia" w:hAnsiTheme="minorEastAsia" w:eastAsiaTheme="minorEastAsia"/>
        </w:rPr>
        <w:t>.产业发展趋势</w:t>
      </w:r>
    </w:p>
    <w:p>
      <w:pPr>
        <w:ind w:firstLine="480"/>
        <w:rPr>
          <w:rFonts w:asciiTheme="minorEastAsia" w:hAnsiTheme="minorEastAsia" w:eastAsiaTheme="minorEastAsia"/>
        </w:rPr>
      </w:pPr>
      <w:r>
        <w:rPr>
          <w:rFonts w:asciiTheme="minorEastAsia" w:hAnsiTheme="minorEastAsia" w:eastAsiaTheme="minorEastAsia"/>
        </w:rPr>
        <w:t>技术创新上，向无氟防油、高强度、低成本方向发展，研发天然高分子涂层等技术；产品应用上，不断拓展新的应用场景，产品向高端化、个性化、定制化发展；市场方面，新兴市场的需求将进一步释放，市场规模持续扩大；产业链协同方面，上下游企业的合作将更加紧密，形成更完善的产业生态。</w:t>
      </w:r>
    </w:p>
    <w:p>
      <w:pPr>
        <w:ind w:firstLine="562"/>
        <w:outlineLvl w:val="2"/>
        <w:rPr>
          <w:rFonts w:ascii="黑体" w:hAnsi="黑体" w:eastAsia="黑体" w:cs="Helvetica"/>
          <w:b/>
          <w:color w:val="000000" w:themeColor="text1"/>
          <w:kern w:val="0"/>
          <w:sz w:val="28"/>
          <w:szCs w:val="28"/>
        </w:rPr>
      </w:pPr>
      <w:bookmarkStart w:id="10" w:name="_Toc203057684"/>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中国一次性环保餐具产业发展概况</w:t>
      </w:r>
      <w:bookmarkEnd w:id="10"/>
    </w:p>
    <w:p>
      <w:pPr>
        <w:ind w:firstLine="480"/>
        <w:rPr>
          <w:rFonts w:asciiTheme="minorEastAsia" w:hAnsiTheme="minorEastAsia" w:eastAsiaTheme="minorEastAsia"/>
        </w:rPr>
      </w:pPr>
      <w:r>
        <w:rPr>
          <w:rFonts w:asciiTheme="minorEastAsia" w:hAnsiTheme="minorEastAsia" w:eastAsiaTheme="minorEastAsia"/>
        </w:rPr>
        <w:t>1.市场规模</w:t>
      </w:r>
    </w:p>
    <w:p>
      <w:pPr>
        <w:ind w:firstLine="480"/>
        <w:rPr>
          <w:rFonts w:asciiTheme="minorEastAsia" w:hAnsiTheme="minorEastAsia" w:eastAsiaTheme="minorEastAsia"/>
        </w:rPr>
      </w:pPr>
      <w:r>
        <w:rPr>
          <w:rFonts w:asciiTheme="minorEastAsia" w:hAnsiTheme="minorEastAsia" w:eastAsiaTheme="minorEastAsia"/>
        </w:rPr>
        <w:t>纸浆模塑餐具市场规模持续扩大。</w:t>
      </w:r>
      <w:r>
        <w:rPr>
          <w:rFonts w:hint="eastAsia" w:asciiTheme="minorEastAsia" w:hAnsiTheme="minorEastAsia" w:eastAsiaTheme="minorEastAsia"/>
        </w:rPr>
        <w:t>统计数据显示，2</w:t>
      </w:r>
      <w:r>
        <w:rPr>
          <w:rFonts w:asciiTheme="minorEastAsia" w:hAnsiTheme="minorEastAsia" w:eastAsiaTheme="minorEastAsia"/>
        </w:rPr>
        <w:t>023</w:t>
      </w:r>
      <w:r>
        <w:rPr>
          <w:rFonts w:hint="eastAsia" w:asciiTheme="minorEastAsia" w:hAnsiTheme="minorEastAsia" w:eastAsiaTheme="minorEastAsia"/>
        </w:rPr>
        <w:t>年，全球纸浆模塑餐具市场规模约8</w:t>
      </w:r>
      <w:r>
        <w:rPr>
          <w:rFonts w:asciiTheme="minorEastAsia" w:hAnsiTheme="minorEastAsia" w:eastAsiaTheme="minorEastAsia"/>
        </w:rPr>
        <w:t>3</w:t>
      </w:r>
      <w:r>
        <w:rPr>
          <w:rFonts w:hint="eastAsia" w:asciiTheme="minorEastAsia" w:hAnsiTheme="minorEastAsia" w:eastAsiaTheme="minorEastAsia"/>
        </w:rPr>
        <w:t>亿元，中国市场规模约4</w:t>
      </w:r>
      <w:r>
        <w:rPr>
          <w:rFonts w:asciiTheme="minorEastAsia" w:hAnsiTheme="minorEastAsia" w:eastAsiaTheme="minorEastAsia"/>
        </w:rPr>
        <w:t>9.5</w:t>
      </w:r>
      <w:r>
        <w:rPr>
          <w:rFonts w:hint="eastAsia" w:asciiTheme="minorEastAsia" w:hAnsiTheme="minorEastAsia" w:eastAsiaTheme="minorEastAsia"/>
        </w:rPr>
        <w:t>亿元。</w:t>
      </w:r>
      <w:r>
        <w:rPr>
          <w:rFonts w:asciiTheme="minorEastAsia" w:hAnsiTheme="minorEastAsia" w:eastAsiaTheme="minorEastAsia"/>
        </w:rPr>
        <w:t>随着“限塑令”“禁塑令”等政策的推行以及消费者环保意识的增强，纸浆模塑餐具作为环保替代品，市场需求不断增长。</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.生产与技术</w:t>
      </w:r>
    </w:p>
    <w:p>
      <w:pPr>
        <w:ind w:firstLine="480"/>
        <w:rPr>
          <w:rFonts w:asciiTheme="minorEastAsia" w:hAnsiTheme="minorEastAsia" w:eastAsiaTheme="minorEastAsia"/>
        </w:rPr>
      </w:pPr>
      <w:r>
        <w:rPr>
          <w:rFonts w:asciiTheme="minorEastAsia" w:hAnsiTheme="minorEastAsia" w:eastAsiaTheme="minorEastAsia"/>
        </w:rPr>
        <w:t>中国在纸浆模塑餐具生产技术上取得显著进展，部分技术处于国际领先水平。“低浓度纸浆真空脱水成型”技术广泛应用，该技术通过湿压工艺结合高温模压技术，实现纸浆模塑餐具的成型。而且，为满足无氟防油的环保需求，国内企业积极研发新的工艺，如喷涂、浸涂和涂布干压等工艺，但这些新工艺目前存在产能低、成本高的问题。生产设备方面，自动化程度不断提高，一些企业的生产线自动化率已超90%，提高了生产效率，降低了人工成本。</w:t>
      </w:r>
    </w:p>
    <w:p>
      <w:pPr>
        <w:ind w:firstLine="48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.企业</w:t>
      </w:r>
      <w:r>
        <w:rPr>
          <w:rFonts w:hint="eastAsia" w:asciiTheme="minorEastAsia" w:hAnsiTheme="minorEastAsia" w:eastAsiaTheme="minorEastAsia"/>
        </w:rPr>
        <w:t>竞争</w:t>
      </w:r>
      <w:r>
        <w:rPr>
          <w:rFonts w:asciiTheme="minorEastAsia" w:hAnsiTheme="minorEastAsia" w:eastAsiaTheme="minorEastAsia"/>
        </w:rPr>
        <w:t>格局</w:t>
      </w:r>
    </w:p>
    <w:p>
      <w:pPr>
        <w:ind w:firstLine="480"/>
        <w:rPr>
          <w:rFonts w:asciiTheme="minorEastAsia" w:hAnsiTheme="minorEastAsia" w:eastAsiaTheme="minorEastAsia"/>
        </w:rPr>
      </w:pPr>
      <w:r>
        <w:rPr>
          <w:rFonts w:asciiTheme="minorEastAsia" w:hAnsiTheme="minorEastAsia" w:eastAsiaTheme="minorEastAsia"/>
        </w:rPr>
        <w:t>纸浆模塑行业内企业数量众多，竞争激烈，市场集中度逐渐提高。在一次性餐具领域，众鑫股份表现突出，2023年其产能和产量市场份额高居行业榜首，分别为21.6%和18.2%。韶能股份、金晟环保等企业也占据一定市场份额。部分企业不断加大研发投入，提升产品质量和性能，像家联科技拥有成熟的生物降解材料改性及制品生产技术，其纸浆餐具占营收超40%。不过，行业内仍存在大量中小企业，产品同质化严重，集中在中低端市场竞争。</w:t>
      </w:r>
    </w:p>
    <w:p>
      <w:pPr>
        <w:ind w:firstLine="48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.产业集群与地域分布</w:t>
      </w:r>
    </w:p>
    <w:p>
      <w:pPr>
        <w:ind w:firstLine="480"/>
        <w:rPr>
          <w:rFonts w:asciiTheme="minorEastAsia" w:hAnsiTheme="minorEastAsia" w:eastAsiaTheme="minorEastAsia"/>
        </w:rPr>
      </w:pPr>
      <w:r>
        <w:rPr>
          <w:rFonts w:hint="eastAsia" w:asciiTheme="minorEastAsia" w:hAnsiTheme="minorEastAsia" w:eastAsiaTheme="minorEastAsia"/>
        </w:rPr>
        <w:t>中国纸浆模塑产业</w:t>
      </w:r>
      <w:r>
        <w:rPr>
          <w:rFonts w:asciiTheme="minorEastAsia" w:hAnsiTheme="minorEastAsia" w:eastAsiaTheme="minorEastAsia"/>
        </w:rPr>
        <w:t>已逐步形成了多个产业集群。广西、广东、浙江、山东等地成为纸浆模塑产业的核心区域。这些地区产业聚集度高，上下游协同发展较好。例如，广西、云南利用甘蔗渣，四川、安徽利用竹纤维，山东、河北利用麦草纤维，形成了以原料集中地为依托的生产企业集群，降低了原料运输成本，提高了产业竞争力。</w:t>
      </w:r>
    </w:p>
    <w:p>
      <w:pPr>
        <w:ind w:firstLine="480"/>
        <w:rPr>
          <w:rFonts w:asciiTheme="minorEastAsia" w:hAnsiTheme="minorEastAsia" w:eastAsiaTheme="minorEastAsia"/>
        </w:rPr>
      </w:pPr>
      <w:r>
        <w:rPr>
          <w:rFonts w:asciiTheme="minorEastAsia" w:hAnsiTheme="minorEastAsia" w:eastAsiaTheme="minorEastAsia"/>
        </w:rPr>
        <w:t>5.政策环境</w:t>
      </w:r>
    </w:p>
    <w:p>
      <w:pPr>
        <w:ind w:firstLine="480"/>
        <w:rPr>
          <w:rFonts w:asciiTheme="minorEastAsia" w:hAnsiTheme="minorEastAsia" w:eastAsiaTheme="minorEastAsia"/>
        </w:rPr>
      </w:pPr>
      <w:r>
        <w:rPr>
          <w:rFonts w:asciiTheme="minorEastAsia" w:hAnsiTheme="minorEastAsia" w:eastAsiaTheme="minorEastAsia"/>
        </w:rPr>
        <w:t>国家和地方出台了一系列政策推动纸浆模塑餐具产业发展。《关于进一步加强塑料污染治理的意见》《关于印发"十四五"塑料污染治理行动方案的通知》等政策，明确限制不可降解塑料餐具的使用，鼓励推广可降解的纸浆模塑餐具。这些政策为纸浆模塑餐具产业提供了良好的发展机遇，促进了产业的快速发展。</w:t>
      </w:r>
    </w:p>
    <w:p>
      <w:pPr>
        <w:ind w:firstLine="562"/>
        <w:outlineLvl w:val="1"/>
        <w:rPr>
          <w:rFonts w:ascii="黑体" w:hAnsi="黑体" w:eastAsia="黑体"/>
          <w:b/>
          <w:bCs/>
          <w:sz w:val="28"/>
          <w:szCs w:val="28"/>
        </w:rPr>
      </w:pPr>
      <w:bookmarkStart w:id="11" w:name="_Toc203057685"/>
      <w:r>
        <w:rPr>
          <w:rFonts w:ascii="黑体" w:hAnsi="黑体" w:eastAsia="黑体"/>
          <w:b/>
          <w:bCs/>
          <w:sz w:val="28"/>
          <w:szCs w:val="28"/>
        </w:rPr>
        <w:t>1</w:t>
      </w:r>
      <w:r>
        <w:rPr>
          <w:rFonts w:hint="eastAsia" w:ascii="黑体" w:hAnsi="黑体" w:eastAsia="黑体"/>
          <w:b/>
          <w:bCs/>
          <w:sz w:val="28"/>
          <w:szCs w:val="28"/>
        </w:rPr>
        <w:t>.2</w:t>
      </w:r>
      <w:r>
        <w:rPr>
          <w:rFonts w:ascii="黑体" w:hAnsi="黑体" w:eastAsia="黑体"/>
          <w:b/>
          <w:bCs/>
          <w:sz w:val="28"/>
          <w:szCs w:val="28"/>
        </w:rPr>
        <w:t xml:space="preserve"> </w:t>
      </w:r>
      <w:r>
        <w:rPr>
          <w:rFonts w:hint="eastAsia" w:ascii="黑体" w:hAnsi="黑体" w:eastAsia="黑体"/>
          <w:b/>
          <w:bCs/>
          <w:sz w:val="28"/>
          <w:szCs w:val="28"/>
        </w:rPr>
        <w:t>聊城市一次性环保餐具产业分析</w:t>
      </w:r>
      <w:bookmarkEnd w:id="11"/>
    </w:p>
    <w:p>
      <w:pPr>
        <w:ind w:firstLine="562"/>
        <w:outlineLvl w:val="2"/>
        <w:rPr>
          <w:rFonts w:ascii="黑体" w:hAnsi="黑体" w:eastAsia="黑体" w:cs="Helvetica"/>
          <w:b/>
          <w:color w:val="000000" w:themeColor="text1"/>
          <w:kern w:val="0"/>
          <w:sz w:val="28"/>
          <w:szCs w:val="28"/>
        </w:rPr>
      </w:pPr>
      <w:bookmarkStart w:id="12" w:name="_Toc203057686"/>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产业发展概况</w:t>
      </w:r>
      <w:bookmarkEnd w:id="12"/>
    </w:p>
    <w:p>
      <w:pPr>
        <w:ind w:firstLine="480"/>
        <w:rPr>
          <w:rFonts w:asciiTheme="minorEastAsia" w:hAnsiTheme="minorEastAsia" w:eastAsiaTheme="minorEastAsia"/>
        </w:rPr>
      </w:pPr>
      <w:r>
        <w:rPr>
          <w:rFonts w:asciiTheme="minorEastAsia" w:hAnsiTheme="minorEastAsia" w:eastAsiaTheme="minorEastAsia"/>
        </w:rPr>
        <w:t>聊城市的一次性环保餐具</w:t>
      </w:r>
      <w:r>
        <w:rPr>
          <w:rFonts w:hint="eastAsia" w:asciiTheme="minorEastAsia" w:hAnsiTheme="minorEastAsia" w:eastAsiaTheme="minorEastAsia"/>
        </w:rPr>
        <w:t>产业</w:t>
      </w:r>
      <w:r>
        <w:rPr>
          <w:rFonts w:asciiTheme="minorEastAsia" w:hAnsiTheme="minorEastAsia" w:eastAsiaTheme="minorEastAsia"/>
        </w:rPr>
        <w:t>具有一定规模和特色</w:t>
      </w:r>
      <w:r>
        <w:rPr>
          <w:rFonts w:hint="eastAsia" w:asciiTheme="minorEastAsia" w:hAnsiTheme="minorEastAsia" w:eastAsiaTheme="minorEastAsia"/>
        </w:rPr>
        <w:t>。</w:t>
      </w:r>
    </w:p>
    <w:p>
      <w:pPr>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.产业规模</w:t>
      </w:r>
    </w:p>
    <w:p>
      <w:pPr>
        <w:ind w:firstLine="480"/>
        <w:rPr>
          <w:rFonts w:asciiTheme="minorEastAsia" w:hAnsiTheme="minorEastAsia" w:eastAsiaTheme="minorEastAsia"/>
        </w:rPr>
      </w:pPr>
      <w:r>
        <w:rPr>
          <w:rFonts w:asciiTheme="minorEastAsia" w:hAnsiTheme="minorEastAsia" w:eastAsiaTheme="minorEastAsia"/>
        </w:rPr>
        <w:t>聊城市一次性餐具产业有一定规模，拥有多家生产企业。如辰骐环保新材料科技公司一次性餐具项目全部达产后，年产一次性环保餐具 200 亿只，将成为长江以北最大的纸浆模塑企业。山东泉林秸秆高科环保股份有限公司占地 300 余亩，拥有员工 500 余人，年产餐具 3 亿只，“十二五” 期间规划生产能力达到 200 亿只标准餐盒。另外，山东弘康包装科技有限公司一次性纸塑环保餐具项目年设计生产 50 亿只纸塑环保餐具。</w:t>
      </w:r>
    </w:p>
    <w:p>
      <w:pPr>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.企业竞争格局</w:t>
      </w:r>
    </w:p>
    <w:p>
      <w:pPr>
        <w:ind w:firstLine="480"/>
        <w:rPr>
          <w:rFonts w:asciiTheme="minorEastAsia" w:hAnsiTheme="minorEastAsia" w:eastAsiaTheme="minorEastAsia"/>
        </w:rPr>
      </w:pPr>
      <w:r>
        <w:rPr>
          <w:rFonts w:hint="eastAsia" w:asciiTheme="minorEastAsia" w:hAnsiTheme="minorEastAsia" w:eastAsiaTheme="minorEastAsia"/>
        </w:rPr>
        <w:t>聊城市一次性餐具产业存在</w:t>
      </w:r>
      <w:r>
        <w:rPr>
          <w:rFonts w:asciiTheme="minorEastAsia" w:hAnsiTheme="minorEastAsia" w:eastAsiaTheme="minorEastAsia"/>
        </w:rPr>
        <w:t>大型企业主导</w:t>
      </w:r>
      <w:r>
        <w:rPr>
          <w:rFonts w:hint="eastAsia" w:asciiTheme="minorEastAsia" w:hAnsiTheme="minorEastAsia" w:eastAsiaTheme="minorEastAsia"/>
        </w:rPr>
        <w:t>、</w:t>
      </w:r>
      <w:r>
        <w:rPr>
          <w:rFonts w:asciiTheme="minorEastAsia" w:hAnsiTheme="minorEastAsia" w:eastAsiaTheme="minorEastAsia"/>
        </w:rPr>
        <w:t>中小企业并存</w:t>
      </w:r>
      <w:r>
        <w:rPr>
          <w:rFonts w:hint="eastAsia" w:asciiTheme="minorEastAsia" w:hAnsiTheme="minorEastAsia" w:eastAsiaTheme="minorEastAsia"/>
        </w:rPr>
        <w:t>的竞争格局。</w:t>
      </w:r>
    </w:p>
    <w:p>
      <w:pPr>
        <w:ind w:firstLine="480"/>
        <w:rPr>
          <w:rFonts w:asciiTheme="minorEastAsia" w:hAnsiTheme="minorEastAsia" w:eastAsiaTheme="minorEastAsia"/>
        </w:rPr>
      </w:pPr>
      <w:bookmarkStart w:id="13" w:name="OLE_LINK1"/>
      <w:r>
        <w:rPr>
          <w:rFonts w:hint="eastAsia" w:asciiTheme="minorEastAsia" w:hAnsiTheme="minorEastAsia" w:eastAsiaTheme="minorEastAsia"/>
        </w:rPr>
        <w:t>聊城市一次性餐具产业</w:t>
      </w:r>
      <w:bookmarkEnd w:id="13"/>
      <w:r>
        <w:rPr>
          <w:rFonts w:asciiTheme="minorEastAsia" w:hAnsiTheme="minorEastAsia" w:eastAsiaTheme="minorEastAsia"/>
        </w:rPr>
        <w:t>有像辰骐环保、泉林秸秆高科、时风集团等大型企业，在资金、技术、规模上具有优势，产品质量和生产能力较强，占据较大市场份额，比如辰骐环保</w:t>
      </w:r>
      <w:r>
        <w:rPr>
          <w:rFonts w:hint="eastAsia" w:asciiTheme="minorEastAsia" w:hAnsiTheme="minorEastAsia" w:eastAsiaTheme="minorEastAsia"/>
        </w:rPr>
        <w:t>新产线</w:t>
      </w:r>
      <w:r>
        <w:rPr>
          <w:rFonts w:asciiTheme="minorEastAsia" w:hAnsiTheme="minorEastAsia" w:eastAsiaTheme="minorEastAsia"/>
        </w:rPr>
        <w:t>投产后产能巨大，泉林秸秆高科产品通过多项国际标准认证。</w:t>
      </w:r>
    </w:p>
    <w:p>
      <w:pPr>
        <w:ind w:firstLine="480"/>
        <w:rPr>
          <w:rFonts w:asciiTheme="minorEastAsia" w:hAnsiTheme="minorEastAsia" w:eastAsiaTheme="minorEastAsia"/>
        </w:rPr>
      </w:pPr>
      <w:r>
        <w:rPr>
          <w:rFonts w:hint="eastAsia" w:asciiTheme="minorEastAsia" w:hAnsiTheme="minorEastAsia" w:eastAsiaTheme="minorEastAsia"/>
        </w:rPr>
        <w:t>同时聊城市一次性餐具产业还</w:t>
      </w:r>
      <w:r>
        <w:rPr>
          <w:rFonts w:asciiTheme="minorEastAsia" w:hAnsiTheme="minorEastAsia" w:eastAsiaTheme="minorEastAsia"/>
        </w:rPr>
        <w:t>存在众多中小企业，如山东天和绿色包装科技有限公司、山东锦康塑料容器制品厂等，这些企业在产品特色、市场定位上各有不同，天和绿色包装专注纸浆模塑环保餐具，锦康塑料则主要生产一次性塑料餐盒等，在细分市场中寻求发展空间。</w:t>
      </w:r>
    </w:p>
    <w:p>
      <w:pPr>
        <w:ind w:firstLine="480"/>
        <w:rPr>
          <w:rFonts w:asciiTheme="minorEastAsia" w:hAnsiTheme="minorEastAsia" w:eastAsiaTheme="minorEastAsia"/>
        </w:rPr>
      </w:pPr>
      <w:r>
        <w:rPr>
          <w:rFonts w:asciiTheme="minorEastAsia" w:hAnsiTheme="minorEastAsia" w:eastAsiaTheme="minorEastAsia"/>
        </w:rPr>
        <w:t>3.产业发展存在的优势</w:t>
      </w:r>
    </w:p>
    <w:p>
      <w:pPr>
        <w:ind w:firstLine="480"/>
        <w:rPr>
          <w:rFonts w:asciiTheme="minorEastAsia" w:hAnsiTheme="minorEastAsia" w:eastAsiaTheme="minorEastAsia"/>
        </w:rPr>
      </w:pPr>
      <w:r>
        <w:rPr>
          <w:rFonts w:asciiTheme="minorEastAsia" w:hAnsiTheme="minorEastAsia" w:eastAsiaTheme="minorEastAsia"/>
        </w:rPr>
        <w:t>原材料丰富：聊城及周边地区是农业产区，像麦草、甘蔗等农作物秸秆资源丰富，为生产纸浆模塑等环保型一次性餐具提供了充足的原材料，降低了原材料采购成本和运输成本。</w:t>
      </w:r>
    </w:p>
    <w:p>
      <w:pPr>
        <w:ind w:firstLine="480"/>
        <w:rPr>
          <w:rFonts w:asciiTheme="minorEastAsia" w:hAnsiTheme="minorEastAsia" w:eastAsiaTheme="minorEastAsia"/>
        </w:rPr>
      </w:pPr>
      <w:r>
        <w:rPr>
          <w:rFonts w:asciiTheme="minorEastAsia" w:hAnsiTheme="minorEastAsia" w:eastAsiaTheme="minorEastAsia"/>
        </w:rPr>
        <w:t>有一定</w:t>
      </w:r>
      <w:r>
        <w:rPr>
          <w:rFonts w:hint="eastAsia" w:asciiTheme="minorEastAsia" w:hAnsiTheme="minorEastAsia" w:eastAsiaTheme="minorEastAsia"/>
        </w:rPr>
        <w:t>技术</w:t>
      </w:r>
      <w:r>
        <w:rPr>
          <w:rFonts w:asciiTheme="minorEastAsia" w:hAnsiTheme="minorEastAsia" w:eastAsiaTheme="minorEastAsia"/>
        </w:rPr>
        <w:t>基础：部分企业技术实力较强，拥有专利技术和先进设备。如山东聊城泰德实业有限公司使用先进精密注塑设备并融合多项专利技术生产一次性水晶餐具；辰骐环保、泉林秸秆高科等在纸浆模塑技术方面较为成熟，产品各项指标符合国家标准和国际标准。</w:t>
      </w:r>
    </w:p>
    <w:p>
      <w:pPr>
        <w:ind w:firstLine="480"/>
        <w:rPr>
          <w:rFonts w:asciiTheme="minorEastAsia" w:hAnsiTheme="minorEastAsia" w:eastAsiaTheme="minorEastAsia"/>
        </w:rPr>
      </w:pPr>
      <w:r>
        <w:rPr>
          <w:rFonts w:asciiTheme="minorEastAsia" w:hAnsiTheme="minorEastAsia" w:eastAsiaTheme="minorEastAsia"/>
        </w:rPr>
        <w:t>政策支持的机遇：国家和地方对环保产业支持力度大，聊城市积极响应国家政策，在税收、补贴等方面可能给予环保型一次性餐具生产企业优惠，有利于企业发展，也促使企业加大在环保材料研发和生产上的投入。</w:t>
      </w:r>
    </w:p>
    <w:p>
      <w:pPr>
        <w:ind w:firstLine="480"/>
        <w:rPr>
          <w:rFonts w:asciiTheme="minorEastAsia" w:hAnsiTheme="minorEastAsia" w:eastAsiaTheme="minorEastAsia"/>
        </w:rPr>
      </w:pPr>
      <w:r>
        <w:rPr>
          <w:rFonts w:asciiTheme="minorEastAsia" w:hAnsiTheme="minorEastAsia" w:eastAsiaTheme="minorEastAsia"/>
        </w:rPr>
        <w:t>4.产业发展面临的挑战</w:t>
      </w:r>
    </w:p>
    <w:p>
      <w:pPr>
        <w:ind w:firstLine="480"/>
        <w:rPr>
          <w:rFonts w:asciiTheme="minorEastAsia" w:hAnsiTheme="minorEastAsia" w:eastAsiaTheme="minorEastAsia"/>
        </w:rPr>
      </w:pPr>
      <w:r>
        <w:rPr>
          <w:rFonts w:asciiTheme="minorEastAsia" w:hAnsiTheme="minorEastAsia" w:eastAsiaTheme="minorEastAsia"/>
        </w:rPr>
        <w:t>环保压力持续增大：虽然聊城市部分企业生产环保型餐具，但仍有一些企业生产传统一次性塑料餐具面临压力。随着环保意识提升和政策趋严，传统塑料餐具被限制或禁止使用，企业需要加快转型升级，加大环保材料研发和应用，这对一些中小企业来说，可能面临资金和技术难题。</w:t>
      </w:r>
    </w:p>
    <w:p>
      <w:pPr>
        <w:ind w:firstLine="480"/>
        <w:rPr>
          <w:rFonts w:asciiTheme="minorEastAsia" w:hAnsiTheme="minorEastAsia" w:eastAsiaTheme="minorEastAsia"/>
        </w:rPr>
      </w:pPr>
      <w:r>
        <w:rPr>
          <w:rFonts w:asciiTheme="minorEastAsia" w:hAnsiTheme="minorEastAsia" w:eastAsiaTheme="minorEastAsia"/>
        </w:rPr>
        <w:t>原材料价格波动：一次性餐具的原材料如塑料、纸张、竹木等价格受市场供需、政策调整等因素影响大。原材料价格上涨会增加企业生产成本，若企业无法将成本完全转嫁给消费者，会压缩利润空间，对企业盈利能力造成压力。</w:t>
      </w:r>
    </w:p>
    <w:p>
      <w:pPr>
        <w:ind w:firstLine="480"/>
        <w:rPr>
          <w:rFonts w:asciiTheme="minorEastAsia" w:hAnsiTheme="minorEastAsia" w:eastAsiaTheme="minorEastAsia"/>
        </w:rPr>
      </w:pPr>
      <w:r>
        <w:rPr>
          <w:rFonts w:asciiTheme="minorEastAsia" w:hAnsiTheme="minorEastAsia" w:eastAsiaTheme="minorEastAsia"/>
        </w:rPr>
        <w:t>市场竞争激烈：从全国范围看，聊城市一次性餐具企业面临各地同行竞争。既要与大型企业竞争市场份额，又要应对小作坊低价竞争。在品牌建设、渠道拓展、产品创新等方面，聊城企业若不能跟上市场变化，可能会在竞争中处于劣势。</w:t>
      </w:r>
    </w:p>
    <w:p>
      <w:pPr>
        <w:ind w:firstLine="480"/>
        <w:rPr>
          <w:rFonts w:asciiTheme="minorEastAsia" w:hAnsiTheme="minorEastAsia" w:eastAsiaTheme="minorEastAsia"/>
        </w:rPr>
      </w:pPr>
      <w:r>
        <w:rPr>
          <w:rFonts w:asciiTheme="minorEastAsia" w:hAnsiTheme="minorEastAsia" w:eastAsiaTheme="minorEastAsia"/>
        </w:rPr>
        <w:t>技术创新压力大：行业技术创新水平参差不齐，部分企业缺乏自主研发能力。随着消费者对产品要求提高，以及环保、安全标准提升，企业需要不断加大研发投入，开发新产品、新工艺，以满足市场多样化需求和政策要求，但一些中小企业可能难以承担研发成本和风险。</w:t>
      </w:r>
    </w:p>
    <w:p>
      <w:pPr>
        <w:ind w:firstLine="480"/>
        <w:rPr>
          <w:rFonts w:asciiTheme="minorEastAsia" w:hAnsiTheme="minorEastAsia" w:eastAsiaTheme="minorEastAsia"/>
        </w:rPr>
      </w:pPr>
      <w:r>
        <w:rPr>
          <w:rFonts w:asciiTheme="minorEastAsia" w:hAnsiTheme="minorEastAsia" w:eastAsiaTheme="minorEastAsia"/>
        </w:rPr>
        <w:t>5.产业政策环境</w:t>
      </w:r>
    </w:p>
    <w:p>
      <w:pPr>
        <w:ind w:firstLine="480"/>
        <w:rPr>
          <w:rFonts w:asciiTheme="minorEastAsia" w:hAnsiTheme="minorEastAsia" w:eastAsiaTheme="minorEastAsia"/>
        </w:rPr>
      </w:pPr>
      <w:r>
        <w:rPr>
          <w:rFonts w:asciiTheme="minorEastAsia" w:hAnsiTheme="minorEastAsia" w:eastAsiaTheme="minorEastAsia"/>
        </w:rPr>
        <w:t>国家政策引导：国家出台《塑料污染治理行动方案》等政策，全面实施塑料污染治理，限制一次性塑料制品使用，推动生物降解塑料等环保材料发展，这为聊城市一次性餐具产业向环保型转型提供了政策指引和动力。</w:t>
      </w:r>
    </w:p>
    <w:p>
      <w:pPr>
        <w:ind w:firstLine="480"/>
        <w:rPr>
          <w:rFonts w:asciiTheme="minorEastAsia" w:hAnsiTheme="minorEastAsia" w:eastAsiaTheme="minorEastAsia"/>
        </w:rPr>
      </w:pPr>
      <w:r>
        <w:rPr>
          <w:rFonts w:asciiTheme="minorEastAsia" w:hAnsiTheme="minorEastAsia" w:eastAsiaTheme="minorEastAsia"/>
        </w:rPr>
        <w:t>地方政策支持：聊城市当地政府在产业升级、环保产业发展方面有相关政策支持，如高唐经济开发区规划建设新旧动能转换示范区，为环保型一次性餐具生产企业提供 “店小二” 式服务，在土地、税收等方面给予优惠，吸引企业入驻，促进产业集聚发展</w:t>
      </w:r>
      <w:r>
        <w:rPr>
          <w:rFonts w:hint="eastAsia" w:asciiTheme="minorEastAsia" w:hAnsiTheme="minorEastAsia" w:eastAsiaTheme="minorEastAsia"/>
        </w:rPr>
        <w:t>。</w:t>
      </w:r>
    </w:p>
    <w:p>
      <w:pPr>
        <w:ind w:firstLine="480"/>
      </w:pPr>
      <w:r>
        <w:t>总体而言，聊城市一次性环保餐具产业在企业发展、技术创新、产业布局等方面都有一定的基础和优势，并且在政府的支持引导下，不断朝着绿色</w:t>
      </w:r>
      <w:r>
        <w:rPr>
          <w:rFonts w:hint="eastAsia"/>
        </w:rPr>
        <w:t>环保</w:t>
      </w:r>
      <w:r>
        <w:t>的方向发展。但同时也面临着市场竞争、技术升级等挑战，需要持续创新和提升，以保持良好的发展态势。</w:t>
      </w:r>
    </w:p>
    <w:p>
      <w:pPr>
        <w:ind w:firstLine="562"/>
        <w:outlineLvl w:val="2"/>
        <w:rPr>
          <w:rFonts w:ascii="黑体" w:hAnsi="黑体" w:eastAsia="黑体" w:cs="Helvetica"/>
          <w:b/>
          <w:color w:val="000000" w:themeColor="text1"/>
          <w:kern w:val="0"/>
          <w:sz w:val="28"/>
          <w:szCs w:val="28"/>
        </w:rPr>
      </w:pPr>
      <w:bookmarkStart w:id="14" w:name="_Toc203057687"/>
      <w:r>
        <w:rPr>
          <w:rFonts w:ascii="黑体" w:hAnsi="黑体" w:eastAsia="黑体" w:cs="Helvetica"/>
          <w:b/>
          <w:color w:val="000000" w:themeColor="text1"/>
          <w:kern w:val="0"/>
          <w:sz w:val="28"/>
          <w:szCs w:val="28"/>
        </w:rPr>
        <w:t>1</w:t>
      </w:r>
      <w:r>
        <w:rPr>
          <w:rFonts w:hint="eastAsia" w:ascii="黑体" w:hAnsi="黑体" w:eastAsia="黑体" w:cs="Helvetica"/>
          <w:b/>
          <w:color w:val="000000" w:themeColor="text1"/>
          <w:kern w:val="0"/>
          <w:sz w:val="28"/>
          <w:szCs w:val="28"/>
        </w:rPr>
        <w:t>.2.2</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重点企业</w:t>
      </w:r>
      <w:bookmarkEnd w:id="14"/>
    </w:p>
    <w:p>
      <w:pPr>
        <w:ind w:firstLine="482"/>
        <w:rPr>
          <w:b/>
          <w:bCs/>
        </w:rPr>
      </w:pPr>
      <w:r>
        <w:rPr>
          <w:b/>
          <w:bCs/>
        </w:rPr>
        <w:t>1.</w:t>
      </w:r>
      <w:r>
        <w:rPr>
          <w:rStyle w:val="24"/>
          <w:rFonts w:ascii="Segoe UI" w:hAnsi="Segoe UI" w:cs="Segoe UI"/>
          <w:shd w:val="clear" w:color="auto" w:fill="FFFFFF"/>
        </w:rPr>
        <w:t>山东泉林秸秆高科环保股份有限公司</w:t>
      </w:r>
    </w:p>
    <w:p>
      <w:pPr>
        <w:ind w:firstLine="480"/>
      </w:pPr>
      <w:r>
        <w:t>山东泉林秸秆高科环保股份有限公司</w:t>
      </w:r>
      <w:r>
        <w:rPr>
          <w:rFonts w:hint="eastAsia"/>
        </w:rPr>
        <w:t>成立于</w:t>
      </w:r>
      <w:r>
        <w:t>2008 年 3 月，位于山东省高唐县，前身是山东天和绿色包装科技有限公司，是泉林集团旗下子公司。公司总投资 4.5 亿元，占地 200 余亩，拥有员工 500 余人，年产纸浆模塑环保餐具 2.4 亿只，约 5000 吨。</w:t>
      </w:r>
    </w:p>
    <w:p>
      <w:pPr>
        <w:ind w:firstLine="480"/>
      </w:pPr>
      <w:r>
        <w:rPr>
          <w:rFonts w:hint="eastAsia"/>
        </w:rPr>
        <w:t>产品</w:t>
      </w:r>
      <w:r>
        <w:t>以一年生植物纤维（如稻草、甘蔗、芦苇等）制浆为原料，主要生产餐盒、盘、碗、碟、打包盒等五大类三十余种产品。产品各项物理性能、卫生指标都通过国家 GB18006.1-1999 标准及美国 FDA、欧洲 SGS、日本厚生省等国际卫生检验机构的标准。产品具有环保卫生、无毒无害、有益健康的特点，可抗 120</w:t>
      </w:r>
      <w:r>
        <w:rPr>
          <w:rFonts w:hint="eastAsia"/>
        </w:rPr>
        <w:t>℃</w:t>
      </w:r>
      <w:r>
        <w:t>热油、100</w:t>
      </w:r>
      <w:r>
        <w:rPr>
          <w:rFonts w:hint="eastAsia"/>
        </w:rPr>
        <w:t>℃</w:t>
      </w:r>
      <w:r>
        <w:t>热水，不变形、不渗漏，有回收价值，可用于再生造纸，循环利用，保护资源。</w:t>
      </w:r>
    </w:p>
    <w:p>
      <w:pPr>
        <w:ind w:firstLine="480"/>
      </w:pPr>
      <w:r>
        <w:t>公司以高新技术为依托，拥有强大的模具开发能力，能根据客户需求开发新的模具，生产不同克重、规格、样式的产品。纸浆模塑绿色环保餐饮用具生产工艺成熟，经疏解、添加食品级抗油抗水剂、科学配浆、真空成型、热压固化、切边整理、消毒、包装等多道工序完成。</w:t>
      </w:r>
    </w:p>
    <w:p>
      <w:pPr>
        <w:pStyle w:val="2"/>
        <w:ind w:firstLine="480"/>
      </w:pPr>
      <w:r>
        <w:rPr>
          <w:rFonts w:hint="eastAsia"/>
        </w:rPr>
        <w:t>当前，</w:t>
      </w:r>
      <w:r>
        <w:rPr>
          <w:rFonts w:cstheme="minorBidi"/>
        </w:rPr>
        <w:t>山东</w:t>
      </w:r>
      <w:bookmarkStart w:id="15" w:name="OLE_LINK8"/>
      <w:r>
        <w:rPr>
          <w:rFonts w:cstheme="minorBidi"/>
        </w:rPr>
        <w:t>泉林秸秆</w:t>
      </w:r>
      <w:bookmarkEnd w:id="15"/>
      <w:r>
        <w:rPr>
          <w:rFonts w:cstheme="minorBidi"/>
        </w:rPr>
        <w:t>高科环保股份有限公司</w:t>
      </w:r>
      <w:r>
        <w:rPr>
          <w:rFonts w:hint="eastAsia"/>
        </w:rPr>
        <w:t>共申请专利</w:t>
      </w:r>
      <w:r>
        <w:t>10</w:t>
      </w:r>
      <w:r>
        <w:rPr>
          <w:rFonts w:hint="eastAsia"/>
        </w:rPr>
        <w:t>件，包括发明专利</w:t>
      </w:r>
      <w:r>
        <w:t>6</w:t>
      </w:r>
      <w:r>
        <w:rPr>
          <w:rFonts w:hint="eastAsia"/>
        </w:rPr>
        <w:t>件，实用新型</w:t>
      </w:r>
      <w:r>
        <w:t>3</w:t>
      </w:r>
      <w:r>
        <w:rPr>
          <w:rFonts w:hint="eastAsia"/>
        </w:rPr>
        <w:t>件，外观设计1件。</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1.2-1 泉林秸秆</w:t>
      </w:r>
      <w:r>
        <w:rPr>
          <w:rFonts w:hint="eastAsia" w:cs="Helvetica" w:asciiTheme="minorEastAsia" w:hAnsiTheme="minorEastAsia" w:eastAsiaTheme="minorEastAsia"/>
          <w:b/>
          <w:color w:val="000000" w:themeColor="text1"/>
        </w:rPr>
        <w:t>专利列表</w:t>
      </w:r>
    </w:p>
    <w:tbl>
      <w:tblPr>
        <w:tblStyle w:val="21"/>
        <w:tblW w:w="5000" w:type="pct"/>
        <w:tblInd w:w="0" w:type="dxa"/>
        <w:tblLayout w:type="autofit"/>
        <w:tblCellMar>
          <w:top w:w="0" w:type="dxa"/>
          <w:left w:w="108" w:type="dxa"/>
          <w:bottom w:w="0" w:type="dxa"/>
          <w:right w:w="108" w:type="dxa"/>
        </w:tblCellMar>
      </w:tblPr>
      <w:tblGrid>
        <w:gridCol w:w="460"/>
        <w:gridCol w:w="1612"/>
        <w:gridCol w:w="1612"/>
        <w:gridCol w:w="1612"/>
        <w:gridCol w:w="1613"/>
        <w:gridCol w:w="1613"/>
      </w:tblGrid>
      <w:tr>
        <w:tblPrEx>
          <w:tblCellMar>
            <w:top w:w="0" w:type="dxa"/>
            <w:left w:w="108" w:type="dxa"/>
            <w:bottom w:w="0" w:type="dxa"/>
            <w:right w:w="108" w:type="dxa"/>
          </w:tblCellMar>
        </w:tblPrEx>
        <w:trPr>
          <w:trHeight w:val="31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序号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公开号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标题</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当前申请人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申请日</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CN106429426B</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一种网模搬运装置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2015-08-07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CN106436489B</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一种纸浆模塑自动生产设备的控制方法</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2015-08-07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CN106436490B</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一种纸浆模塑自动生产设备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2015-08-07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CN108020550A</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电子取像技术在工业产品质量检验中的应用方法</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撤回-视为撤回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CN108020560A</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纸浆制品表面缺陷检测装置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撤回-视为撤回 | 一案双申</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CN108020564A</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纸浆制品表面缺陷检测方法</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撤回-视为撤回</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CN206156373U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一种纸浆制品分离器</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CN206161558U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纸浆制品表面缺陷检测装置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山东天和绿色包装科技有限公司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2016-11-04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 | 一案双申</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CN210525281U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一种半自动切边机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山东泉林秸秆高科环保股份有限公司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2019-07-19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CN306719469S</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勺子</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山东泉林秸秆高科环保股份有限公司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2021-03-26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bl>
    <w:p>
      <w:pPr>
        <w:ind w:firstLine="480"/>
        <w:rPr>
          <w:rFonts w:ascii="Segoe UI" w:hAnsi="Segoe UI" w:cs="Segoe UI"/>
          <w:shd w:val="clear" w:color="auto" w:fill="FFFFFF"/>
        </w:rPr>
      </w:pPr>
    </w:p>
    <w:p>
      <w:pPr>
        <w:ind w:firstLine="482"/>
        <w:rPr>
          <w:rFonts w:cs="Times New Roman" w:asciiTheme="minorEastAsia" w:hAnsiTheme="minorEastAsia" w:eastAsiaTheme="minorEastAsia"/>
          <w:b/>
          <w:bCs/>
        </w:rPr>
      </w:pPr>
      <w:r>
        <w:rPr>
          <w:rFonts w:cs="Times New Roman" w:asciiTheme="minorEastAsia" w:hAnsiTheme="minorEastAsia" w:eastAsiaTheme="minorEastAsia"/>
          <w:b/>
          <w:bCs/>
        </w:rPr>
        <w:t>2.山东</w:t>
      </w:r>
      <w:bookmarkStart w:id="16" w:name="OLE_LINK9"/>
      <w:r>
        <w:rPr>
          <w:rFonts w:cs="Times New Roman" w:asciiTheme="minorEastAsia" w:hAnsiTheme="minorEastAsia" w:eastAsiaTheme="minorEastAsia"/>
          <w:b/>
          <w:bCs/>
        </w:rPr>
        <w:t>辰骐</w:t>
      </w:r>
      <w:bookmarkEnd w:id="16"/>
      <w:r>
        <w:rPr>
          <w:rFonts w:cs="Times New Roman" w:asciiTheme="minorEastAsia" w:hAnsiTheme="minorEastAsia" w:eastAsiaTheme="minorEastAsia"/>
          <w:b/>
          <w:bCs/>
        </w:rPr>
        <w:t>环保新材料科技有限公司</w:t>
      </w:r>
    </w:p>
    <w:p>
      <w:pPr>
        <w:ind w:firstLine="480"/>
      </w:pPr>
      <w:bookmarkStart w:id="17" w:name="OLE_LINK10"/>
      <w:r>
        <w:rPr>
          <w:rFonts w:cs="Times New Roman" w:asciiTheme="minorEastAsia" w:hAnsiTheme="minorEastAsia" w:eastAsiaTheme="minorEastAsia"/>
        </w:rPr>
        <w:t>山东辰骐环保新材料科技有限公司</w:t>
      </w:r>
      <w:bookmarkEnd w:id="17"/>
      <w:r>
        <w:rPr>
          <w:rFonts w:hint="eastAsia" w:cs="Times New Roman" w:asciiTheme="minorEastAsia" w:hAnsiTheme="minorEastAsia" w:eastAsiaTheme="minorEastAsia"/>
        </w:rPr>
        <w:t>成立于</w:t>
      </w:r>
      <w:r>
        <w:t>2018 年 5 月 7 日，位于山东高唐经济开发区，地理位置优越，交通便利。公司占地面积 80 亩，总投资 2.5 亿元，是一家集 “研发、设计、制造、销售、服务” 于一体的现代化一次性环保纸浆餐具生产经营企业。</w:t>
      </w:r>
    </w:p>
    <w:p>
      <w:pPr>
        <w:ind w:firstLine="480"/>
      </w:pPr>
      <w:r>
        <w:rPr>
          <w:rFonts w:cs="Times New Roman" w:asciiTheme="minorEastAsia" w:hAnsiTheme="minorEastAsia" w:eastAsiaTheme="minorEastAsia"/>
        </w:rPr>
        <w:t>辰骐环保</w:t>
      </w:r>
      <w:r>
        <w:t>主要产品包括本色、白色两大系列，涵盖各种类型的纸浆餐盒、餐盘、碗、碟、纸杯、纸吸管等一千余种，并可根据客户需求定制不同克重、规格、样式的产品。产品以甘蔗浆等天然植物纤维为原料，卫生绿色环保无毒无害，100% 自然降解，使用后 31 天内可降解化成有机肥料回归大自然，还原为二氧化碳与水。</w:t>
      </w:r>
    </w:p>
    <w:p>
      <w:pPr>
        <w:ind w:firstLine="480"/>
      </w:pPr>
      <w:r>
        <w:t>公司斥巨资引进先进生产设备，研发实力雄厚，设有辰骐纸浆模塑研发中心，拥有先进的机械加工设备、模具加工设备。还自主研发了机械手、大台面成定型机、自动切边等十余种纸浆模塑装备，大大提高了生产效率和产品质量。</w:t>
      </w:r>
    </w:p>
    <w:p>
      <w:pPr>
        <w:ind w:firstLine="480"/>
      </w:pPr>
      <w:r>
        <w:rPr>
          <w:rFonts w:cs="Times New Roman" w:asciiTheme="minorEastAsia" w:hAnsiTheme="minorEastAsia" w:eastAsiaTheme="minorEastAsia"/>
        </w:rPr>
        <w:t>辰骐环保</w:t>
      </w:r>
      <w:r>
        <w:t>产品远销美洲、欧洲、东南亚等世界各地，出口美国、欧洲、中东等 30 余个国家和地区，深受用户好评。公司通过提升产品自主研发和设计能力，不断丰富主流及定制化产品，积极开展装备改造创新，以及精细化运营与销售管理模式，进一步巩固和扩大了国内国际市场竞争优势。</w:t>
      </w:r>
    </w:p>
    <w:p>
      <w:pPr>
        <w:pStyle w:val="2"/>
        <w:ind w:firstLine="0" w:firstLineChars="0"/>
        <w:jc w:val="cente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1.2-2 辰骐环保</w:t>
      </w:r>
      <w:r>
        <w:rPr>
          <w:rFonts w:hint="eastAsia" w:cs="Helvetica" w:asciiTheme="minorEastAsia" w:hAnsiTheme="minorEastAsia" w:eastAsiaTheme="minorEastAsia"/>
          <w:b/>
          <w:color w:val="000000" w:themeColor="text1"/>
        </w:rPr>
        <w:t>专利列表</w:t>
      </w:r>
    </w:p>
    <w:tbl>
      <w:tblPr>
        <w:tblStyle w:val="21"/>
        <w:tblW w:w="5000" w:type="pct"/>
        <w:tblInd w:w="0" w:type="dxa"/>
        <w:tblLayout w:type="autofit"/>
        <w:tblCellMar>
          <w:top w:w="0" w:type="dxa"/>
          <w:left w:w="108" w:type="dxa"/>
          <w:bottom w:w="0" w:type="dxa"/>
          <w:right w:w="108" w:type="dxa"/>
        </w:tblCellMar>
      </w:tblPr>
      <w:tblGrid>
        <w:gridCol w:w="457"/>
        <w:gridCol w:w="1612"/>
        <w:gridCol w:w="1612"/>
        <w:gridCol w:w="1612"/>
        <w:gridCol w:w="1614"/>
        <w:gridCol w:w="1615"/>
      </w:tblGrid>
      <w:tr>
        <w:tblPrEx>
          <w:tblCellMar>
            <w:top w:w="0" w:type="dxa"/>
            <w:left w:w="108" w:type="dxa"/>
            <w:bottom w:w="0" w:type="dxa"/>
            <w:right w:w="108" w:type="dxa"/>
          </w:tblCellMar>
        </w:tblPrEx>
        <w:trPr>
          <w:trHeight w:val="315"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序号</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公开号</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标题</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当前申请人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申请日</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CN110528337B</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一种半自动纸浆模塑成定型装置及其控制方法</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2019-09-26</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 | 一案双申</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CN117943296B</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一种餐盒生产尺寸自动化测量装置及测量方法</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2024-03-26</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3</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CN213674437U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一种方便固定餐盒的打孔装置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4</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CN213677372U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一次性纸浆餐盒加工用包装输送装置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5</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CN213766187U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一次性纸浆餐盒加工用餐盒裁切模具</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6</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CN213767183U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一次性用纸浆餐盒加工用覆膜模盘</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7</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CN213791184U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一次性用餐盒加工用纸浆成浆装置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8</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CN213796858U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一种一次性餐盒用打孔装置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lang w:val="en-US" w:eastAsia="zh-CN"/>
              </w:rPr>
              <w:t>9</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CN213804648U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一次性用餐盒加工用纸浆模塑切边机</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2020-11-02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0</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CN214732670U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一次性纸浆餐盒生产用转运码垛机械手</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2021-03-18</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1</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CN218476696U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一次性餐盒生产用转移机械手</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2022-09-02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2</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CN218478244U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一次性餐盒生产用可调吸盘装配体</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2022-09-02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3</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CN218965601U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一次性餐盒模具生产用刀具辅助工装</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2022-12-30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4</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CN218966120U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一次性餐盒模具生产用固定工装</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2022-12-30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5</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CN219195498U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一次性餐盒模具生产用成型机缓冲板</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2022-12-30</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6</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CN219762689U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一种可降解纤维餐具</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2023-04-28</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7</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CN220413878U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一种纸质餐具生产用打浆装置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2023-07-12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1</w:t>
            </w:r>
            <w:r>
              <w:rPr>
                <w:rFonts w:hint="eastAsia" w:cs="宋体" w:asciiTheme="minorEastAsia" w:hAnsiTheme="minorEastAsia" w:eastAsiaTheme="minorEastAsia"/>
                <w:color w:val="000000"/>
                <w:kern w:val="0"/>
                <w:sz w:val="21"/>
                <w:szCs w:val="21"/>
                <w:lang w:val="en-US" w:eastAsia="zh-CN"/>
              </w:rPr>
              <w:t>8</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CN220473220U</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一种植物纤维餐具测试装置</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2023-07-12</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19</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CN305771432S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餐盘</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2019-10-25</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0</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CN306137171S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分餐盒（6格）</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2020-06-23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1</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CN306137172S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分餐盒（3格）</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2020-06-23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2</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CN306137175S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分餐盒（5格）</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2020-06-23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3</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CN306137176S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分餐盒（4格）</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2020-06-23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4</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CN306147050S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餐盘（花边）</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2020-06-23</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5</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CN306208478S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盘（网花盘）</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2020-07-29</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6</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CN306214296S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盘（花边）</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2020-07-29</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2</w:t>
            </w:r>
            <w:r>
              <w:rPr>
                <w:rFonts w:hint="eastAsia" w:cs="宋体" w:asciiTheme="minorEastAsia" w:hAnsiTheme="minorEastAsia" w:eastAsiaTheme="minorEastAsia"/>
                <w:color w:val="000000"/>
                <w:kern w:val="0"/>
                <w:sz w:val="21"/>
                <w:szCs w:val="21"/>
                <w:lang w:val="en-US" w:eastAsia="zh-CN"/>
              </w:rPr>
              <w:t>7</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CN306240042S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碗（方形拉面碗）</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2020-07-29</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28</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CN306312537S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分餐盒（2格）</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2020-07-29</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29</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CN306904654S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餐盒（SDCQ-10）</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30</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CN306937921S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餐盒（系列4）</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3</w:t>
            </w:r>
            <w:r>
              <w:rPr>
                <w:rFonts w:hint="eastAsia" w:cs="宋体" w:asciiTheme="minorEastAsia" w:hAnsiTheme="minorEastAsia" w:eastAsiaTheme="minorEastAsia"/>
                <w:color w:val="000000"/>
                <w:kern w:val="0"/>
                <w:sz w:val="21"/>
                <w:szCs w:val="21"/>
                <w:lang w:val="en-US" w:eastAsia="zh-CN"/>
              </w:rPr>
              <w:t>1</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CN306937922S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餐盒（系列3）</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3</w:t>
            </w:r>
            <w:r>
              <w:rPr>
                <w:rFonts w:hint="eastAsia" w:cs="宋体" w:asciiTheme="minorEastAsia" w:hAnsiTheme="minorEastAsia" w:eastAsiaTheme="minorEastAsia"/>
                <w:color w:val="000000"/>
                <w:kern w:val="0"/>
                <w:sz w:val="21"/>
                <w:szCs w:val="21"/>
                <w:lang w:val="en-US" w:eastAsia="zh-CN"/>
              </w:rPr>
              <w:t>2</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CN306976768S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餐盒（系列6）</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3</w:t>
            </w:r>
            <w:r>
              <w:rPr>
                <w:rFonts w:hint="eastAsia" w:cs="宋体" w:asciiTheme="minorEastAsia" w:hAnsiTheme="minorEastAsia" w:eastAsiaTheme="minorEastAsia"/>
                <w:color w:val="000000"/>
                <w:kern w:val="0"/>
                <w:sz w:val="21"/>
                <w:szCs w:val="21"/>
                <w:lang w:val="en-US" w:eastAsia="zh-CN"/>
              </w:rPr>
              <w:t>3</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CN307069579S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餐盒（b-9s）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s="宋体" w:asciiTheme="minorEastAsia" w:hAnsiTheme="minorEastAsia" w:eastAsiaTheme="minorEastAsia"/>
                <w:color w:val="000000"/>
                <w:kern w:val="0"/>
                <w:sz w:val="21"/>
                <w:szCs w:val="21"/>
                <w:lang w:eastAsia="zh-CN"/>
              </w:rPr>
            </w:pPr>
            <w:r>
              <w:rPr>
                <w:rFonts w:hint="eastAsia" w:cs="宋体" w:asciiTheme="minorEastAsia" w:hAnsiTheme="minorEastAsia" w:eastAsiaTheme="minorEastAsia"/>
                <w:color w:val="000000"/>
                <w:kern w:val="0"/>
                <w:sz w:val="21"/>
                <w:szCs w:val="21"/>
              </w:rPr>
              <w:t>3</w:t>
            </w:r>
            <w:r>
              <w:rPr>
                <w:rFonts w:hint="eastAsia" w:cs="宋体" w:asciiTheme="minorEastAsia" w:hAnsiTheme="minorEastAsia" w:eastAsiaTheme="minorEastAsia"/>
                <w:color w:val="000000"/>
                <w:kern w:val="0"/>
                <w:sz w:val="21"/>
                <w:szCs w:val="21"/>
                <w:lang w:val="en-US" w:eastAsia="zh-CN"/>
              </w:rPr>
              <w:t>4</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CN307069580S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餐盒（系列1）</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35</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CN307146525S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餐盒（C7-1）</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s="宋体" w:asciiTheme="minorEastAsia" w:hAnsiTheme="minorEastAsia" w:eastAsiaTheme="minorEastAsia"/>
                <w:color w:val="000000"/>
                <w:kern w:val="0"/>
                <w:sz w:val="21"/>
                <w:szCs w:val="21"/>
                <w:lang w:val="en-US" w:eastAsia="zh-CN"/>
              </w:rPr>
            </w:pPr>
            <w:r>
              <w:rPr>
                <w:rFonts w:hint="eastAsia" w:cs="宋体" w:asciiTheme="minorEastAsia" w:hAnsiTheme="minorEastAsia" w:eastAsiaTheme="minorEastAsia"/>
                <w:color w:val="000000"/>
                <w:kern w:val="0"/>
                <w:sz w:val="21"/>
                <w:szCs w:val="21"/>
                <w:lang w:val="en-US" w:eastAsia="zh-CN"/>
              </w:rPr>
              <w:t>36</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CN307165359S</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餐盒（系列7）</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山东辰骐环保新材料科技有限公司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2021-06-17</w:t>
            </w:r>
          </w:p>
        </w:tc>
        <w:tc>
          <w:tcPr>
            <w:tcW w:w="9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bl>
    <w:p>
      <w:pPr>
        <w:pStyle w:val="2"/>
        <w:ind w:firstLine="480"/>
      </w:pPr>
    </w:p>
    <w:p>
      <w:pPr>
        <w:ind w:firstLine="482"/>
        <w:rPr>
          <w:rFonts w:asciiTheme="majorEastAsia" w:hAnsiTheme="majorEastAsia" w:eastAsiaTheme="majorEastAsia"/>
          <w:b/>
          <w:bCs/>
        </w:rPr>
      </w:pPr>
      <w:r>
        <w:rPr>
          <w:rFonts w:asciiTheme="majorEastAsia" w:hAnsiTheme="majorEastAsia" w:eastAsiaTheme="majorEastAsia"/>
          <w:b/>
          <w:bCs/>
        </w:rPr>
        <w:t>3.山东弘康包装科技有限公司</w:t>
      </w:r>
    </w:p>
    <w:p>
      <w:pPr>
        <w:ind w:firstLine="480"/>
      </w:pPr>
      <w:r>
        <w:t>山东弘康包装科技有限公司</w:t>
      </w:r>
      <w:r>
        <w:rPr>
          <w:rFonts w:hint="eastAsia"/>
        </w:rPr>
        <w:t>成立于</w:t>
      </w:r>
      <w:r>
        <w:t>2011 年 6 月 7 日，位于山东省高唐县经济技术开发区，是山东泉林集团旗下企业。</w:t>
      </w:r>
      <w:r>
        <w:rPr>
          <w:rFonts w:hint="eastAsia"/>
        </w:rPr>
        <w:t>产品</w:t>
      </w:r>
      <w:r>
        <w:t>采用欧洲先进的印刷、复合设备和生产工艺，年产高档食品级淋膜纸 3 万吨，纸杯、纸碗、桶、餐盒等一次性纸塑环保餐具 100 亿只。主营产品涵盖纸杯、纸碗、纸餐盒、纸碟、扇片、淋膜纸和食品包装原纸七大系列上百个品种。设计研发了 “高端商务”“时尚迎宾”“温馨爱童” 健康系列产品和 “本色礼品”“生态环保” 本色系列产品。本色产品具有不漂白更健康、无菌无尘更干净、食品水墨更安全、非木纤维更环保、植物秸秆更低碳等特点。</w:t>
      </w:r>
      <w:r>
        <w:rPr>
          <w:rFonts w:ascii="Segoe UI" w:hAnsi="Segoe UI" w:cs="Segoe UI"/>
          <w:shd w:val="clear" w:color="auto" w:fill="FFFFFF"/>
        </w:rPr>
        <w:t>弘康销售网络覆盖全国各省、市、自治区，部分产品进入国际市场，主要客户包括餐饮业、航空、高铁、银行、连锁酒店等。</w:t>
      </w:r>
    </w:p>
    <w:p>
      <w:pPr>
        <w:ind w:firstLine="482"/>
        <w:rPr>
          <w:rFonts w:asciiTheme="majorEastAsia" w:hAnsiTheme="majorEastAsia" w:eastAsiaTheme="majorEastAsia"/>
          <w:b/>
          <w:bCs/>
        </w:rPr>
      </w:pPr>
      <w:r>
        <w:rPr>
          <w:rFonts w:asciiTheme="majorEastAsia" w:hAnsiTheme="majorEastAsia" w:eastAsiaTheme="majorEastAsia"/>
          <w:b/>
          <w:bCs/>
        </w:rPr>
        <w:t>4.山东聊城泰德实业有限公司</w:t>
      </w:r>
    </w:p>
    <w:p>
      <w:pPr>
        <w:ind w:firstLine="480"/>
        <w:rPr>
          <w:rFonts w:asciiTheme="majorEastAsia" w:hAnsiTheme="majorEastAsia" w:eastAsiaTheme="majorEastAsia"/>
          <w:b/>
          <w:bCs/>
        </w:rPr>
      </w:pPr>
      <w:bookmarkStart w:id="18" w:name="OLE_LINK11"/>
      <w:r>
        <w:t>山东聊城泰德实业有限公司</w:t>
      </w:r>
      <w:bookmarkEnd w:id="18"/>
      <w:r>
        <w:t>成立于 2006 年，是一家集专业化生产与研发塑料化工管材、管件、一次性餐饮具、绝缘板、母料于一体的多元化经营企业。公司注册资金 3000 万元，拥有员工 200 多人，是中国塑料加工工业协会会员单位。</w:t>
      </w:r>
    </w:p>
    <w:p>
      <w:pPr>
        <w:ind w:firstLine="480"/>
      </w:pPr>
      <w:r>
        <w:t>泰德实业以打造中国航空餐具行业一流品牌为目标，使用行业内先进精密注塑设备并融合独自研发 11 项专利技术，生产一次性水晶餐具。公司在同行业中率先通过了 QS 质量体系认证，生产的航空餐具、航空杯系列产品畅销国内 30 多个省市，并打入欧洲市场。2013 年被评为 “消费者最喜爱产品”，2014 年一次性餐饮具被评为中国绿色环保产品和消费者信赖产品。</w:t>
      </w:r>
    </w:p>
    <w:p>
      <w:pPr>
        <w:pStyle w:val="2"/>
        <w:ind w:left="480"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1.2-3 泰德实业</w:t>
      </w:r>
      <w:r>
        <w:rPr>
          <w:rFonts w:hint="eastAsia" w:cs="Helvetica" w:asciiTheme="minorEastAsia" w:hAnsiTheme="minorEastAsia" w:eastAsiaTheme="minorEastAsia"/>
          <w:b/>
          <w:color w:val="000000" w:themeColor="text1"/>
        </w:rPr>
        <w:t>专利列表</w:t>
      </w:r>
    </w:p>
    <w:tbl>
      <w:tblPr>
        <w:tblStyle w:val="21"/>
        <w:tblW w:w="5000" w:type="pct"/>
        <w:tblInd w:w="0" w:type="dxa"/>
        <w:tblLayout w:type="autofit"/>
        <w:tblCellMar>
          <w:top w:w="0" w:type="dxa"/>
          <w:left w:w="108" w:type="dxa"/>
          <w:bottom w:w="0" w:type="dxa"/>
          <w:right w:w="108" w:type="dxa"/>
        </w:tblCellMar>
      </w:tblPr>
      <w:tblGrid>
        <w:gridCol w:w="460"/>
        <w:gridCol w:w="1612"/>
        <w:gridCol w:w="1612"/>
        <w:gridCol w:w="1612"/>
        <w:gridCol w:w="1613"/>
        <w:gridCol w:w="1613"/>
      </w:tblGrid>
      <w:tr>
        <w:tblPrEx>
          <w:tblCellMar>
            <w:top w:w="0" w:type="dxa"/>
            <w:left w:w="108" w:type="dxa"/>
            <w:bottom w:w="0" w:type="dxa"/>
            <w:right w:w="108" w:type="dxa"/>
          </w:tblCellMar>
        </w:tblPrEx>
        <w:trPr>
          <w:trHeight w:val="31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序号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公开号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标题</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当前申请人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申请日</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法律状态/事件</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CN119529405A</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一种抗拉伸防断裂电缆保护管及其制备方法</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2024-11-29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实质审查</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CN204294107U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一种净化系统</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2014-12-16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CN204487211U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一种自动夹具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2015-03-26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CN204503653U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一种清洗设备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2015-03-26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CN206373914U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一种可回收环保餐具生产用吸盘机械手</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2017-01-13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CN206374242U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一种一次性餐具成型装置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2017-01-13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CN206375042U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一种一次性餐具自动下料机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2017-01-13</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CN206483821U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一种用于管材加工的移管装置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2017-02-24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CN206484102U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一种管件的管口加工结构</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2017-02-24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CN206484457U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一种管材加工定位工装</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2017-02-24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CN206484639U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一种管件生产加工用切割设备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2017-02-24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CN206484799U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一种管材用加工模具</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2017-02-24</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CN210413914U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一种PPR管加工装置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2019-06-27</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CN210414664U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一种PP管材切割加工装置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2019-08-01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CN210415477U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一种塑料管材冷却成型装置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2019-08-01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CN210651801U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一种塑料管生产用挤塑机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2019-09-05</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未缴年费</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CN217833898U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适用于MPP电缆保护管切割机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CN217859034U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一种电缆保护管生产加工用切割机</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2022-08-11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19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CN217901508U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基于MPP电缆保护管用环境模拟耐腐蚀检测装置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CN217903922U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具有防电缆扭曲堆积功能的MPP电缆保护管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CN217944279U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一种PPR管材生产用冷却设备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2022-08-11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22</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CN217952428U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一种低水阻系数的PE-RT地暖管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2022-08-11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23</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CN217991182U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基于MPP电力电缆保护管螺纹加工装置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24</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CN218018763U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用于MPP电缆保护管生产加工用切割设备</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25</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CN218040590U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基于MPP电力电缆保护管封堵装置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2022-07-26</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26</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CN218329147U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一种电缆保护管生产用烘干装置</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2022-09-21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27</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CN218526020U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一种防破皮的电缆保护管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2022-09-21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28</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CN218719606U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一种耐低温的PPR管材安装弯头</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2022-10-29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29</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CN218732937U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一种耐热性能好的电缆保护管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2022-10-29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30</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CN218838693U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一种抗菌自清洁PPR管材固定结构</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2022-09-21</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r>
        <w:tblPrEx>
          <w:tblCellMar>
            <w:top w:w="0" w:type="dxa"/>
            <w:left w:w="108" w:type="dxa"/>
            <w:bottom w:w="0" w:type="dxa"/>
            <w:right w:w="108" w:type="dxa"/>
          </w:tblCellMar>
        </w:tblPrEx>
        <w:trPr>
          <w:trHeight w:val="5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31</w:t>
            </w:r>
          </w:p>
        </w:tc>
        <w:tc>
          <w:tcPr>
            <w:tcW w:w="9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宋体" w:asciiTheme="minorEastAsia" w:hAnsiTheme="minorEastAsia" w:eastAsiaTheme="minorEastAsia"/>
                <w:color w:val="000000"/>
                <w:kern w:val="0"/>
                <w:sz w:val="21"/>
                <w:szCs w:val="21"/>
              </w:rPr>
            </w:pPr>
            <w:r>
              <w:rPr>
                <w:rFonts w:hint="eastAsia" w:cs="宋体" w:asciiTheme="minorEastAsia" w:hAnsiTheme="minorEastAsia" w:eastAsiaTheme="minorEastAsia"/>
                <w:color w:val="000000"/>
                <w:kern w:val="0"/>
                <w:sz w:val="21"/>
                <w:szCs w:val="21"/>
              </w:rPr>
              <w:t>CN218850352U</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一种抗压耐寒的地下电缆保护管</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山东聊城泰德实业有限公司</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2022-10-29</w:t>
            </w:r>
          </w:p>
        </w:tc>
        <w:tc>
          <w:tcPr>
            <w:tcW w:w="9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Calibri" w:asciiTheme="minorEastAsia" w:hAnsiTheme="minorEastAsia" w:eastAsiaTheme="minorEastAsia"/>
                <w:color w:val="000000"/>
                <w:kern w:val="0"/>
                <w:sz w:val="21"/>
                <w:szCs w:val="21"/>
              </w:rPr>
            </w:pPr>
            <w:r>
              <w:rPr>
                <w:rFonts w:cs="Calibri" w:asciiTheme="minorEastAsia" w:hAnsiTheme="minorEastAsia" w:eastAsiaTheme="minorEastAsia"/>
                <w:color w:val="000000"/>
                <w:kern w:val="0"/>
                <w:sz w:val="21"/>
                <w:szCs w:val="21"/>
              </w:rPr>
              <w:t>授权</w:t>
            </w:r>
          </w:p>
        </w:tc>
      </w:tr>
    </w:tbl>
    <w:p>
      <w:pPr>
        <w:ind w:firstLine="480"/>
      </w:pPr>
    </w:p>
    <w:p>
      <w:pPr>
        <w:ind w:firstLine="482"/>
        <w:rPr>
          <w:rFonts w:asciiTheme="minorEastAsia" w:hAnsiTheme="minorEastAsia" w:eastAsiaTheme="minorEastAsia"/>
          <w:b/>
          <w:bCs/>
        </w:rPr>
      </w:pPr>
      <w:r>
        <w:rPr>
          <w:rFonts w:hint="eastAsia" w:asciiTheme="minorEastAsia" w:hAnsiTheme="minorEastAsia" w:eastAsiaTheme="minorEastAsia"/>
          <w:b/>
          <w:bCs/>
        </w:rPr>
        <w:t>5</w:t>
      </w:r>
      <w:r>
        <w:rPr>
          <w:rFonts w:asciiTheme="minorEastAsia" w:hAnsiTheme="minorEastAsia" w:eastAsiaTheme="minorEastAsia"/>
          <w:b/>
          <w:bCs/>
        </w:rPr>
        <w:t>.山东天和绿色包装科技有限公司</w:t>
      </w:r>
    </w:p>
    <w:p>
      <w:pPr>
        <w:ind w:firstLine="480"/>
        <w:rPr>
          <w:rFonts w:asciiTheme="minorEastAsia" w:hAnsiTheme="minorEastAsia" w:eastAsiaTheme="minorEastAsia"/>
        </w:rPr>
      </w:pPr>
      <w:r>
        <w:rPr>
          <w:rFonts w:asciiTheme="minorEastAsia" w:hAnsiTheme="minorEastAsia" w:eastAsiaTheme="minorEastAsia"/>
        </w:rPr>
        <w:t>山东天和绿色包装科技有限公司</w:t>
      </w:r>
      <w:r>
        <w:rPr>
          <w:rFonts w:hint="eastAsia" w:asciiTheme="minorEastAsia" w:hAnsiTheme="minorEastAsia" w:eastAsiaTheme="minorEastAsia"/>
        </w:rPr>
        <w:t>是</w:t>
      </w:r>
      <w:r>
        <w:rPr>
          <w:rFonts w:asciiTheme="minorEastAsia" w:hAnsiTheme="minorEastAsia" w:eastAsiaTheme="minorEastAsia"/>
        </w:rPr>
        <w:t>专业的纸浆模塑环保餐具及医疗、包装制品的生产企业，为泉林集团旗下子公司，总投资 4.5 亿元，占地 200 余亩，分三期进行投资建设。公司现有员工 500 余人，年产 3.6 亿只纸浆模塑环保餐具及医疗、包装制品。</w:t>
      </w:r>
    </w:p>
    <w:p>
      <w:pPr>
        <w:ind w:firstLine="480"/>
        <w:rPr>
          <w:rFonts w:asciiTheme="minorEastAsia" w:hAnsiTheme="minorEastAsia" w:eastAsiaTheme="minorEastAsia"/>
        </w:rPr>
      </w:pPr>
      <w:r>
        <w:rPr>
          <w:rFonts w:hint="eastAsia" w:asciiTheme="minorEastAsia" w:hAnsiTheme="minorEastAsia" w:eastAsiaTheme="minorEastAsia"/>
        </w:rPr>
        <w:t>产品</w:t>
      </w:r>
      <w:r>
        <w:rPr>
          <w:rFonts w:asciiTheme="minorEastAsia" w:hAnsiTheme="minorEastAsia" w:eastAsiaTheme="minorEastAsia"/>
        </w:rPr>
        <w:t>主要分为本色产品和白色产品，主打产品有蛋糕类底托、小分食餐盘等。以天然麦草浆为原料，经科学技术处理，施加食品级防水、防油剂，产品具有环保卫生、无害、有益健康，可抗 120</w:t>
      </w:r>
      <w:r>
        <w:rPr>
          <w:rFonts w:hint="eastAsia" w:asciiTheme="minorEastAsia" w:hAnsiTheme="minorEastAsia" w:eastAsiaTheme="minorEastAsia"/>
        </w:rPr>
        <w:t>℃</w:t>
      </w:r>
      <w:r>
        <w:rPr>
          <w:rFonts w:asciiTheme="minorEastAsia" w:hAnsiTheme="minorEastAsia" w:eastAsiaTheme="minorEastAsia"/>
        </w:rPr>
        <w:t>热油、抗 100</w:t>
      </w:r>
      <w:r>
        <w:rPr>
          <w:rFonts w:hint="eastAsia" w:asciiTheme="minorEastAsia" w:hAnsiTheme="minorEastAsia" w:eastAsiaTheme="minorEastAsia"/>
        </w:rPr>
        <w:t>℃</w:t>
      </w:r>
      <w:r>
        <w:rPr>
          <w:rFonts w:asciiTheme="minorEastAsia" w:hAnsiTheme="minorEastAsia" w:eastAsiaTheme="minorEastAsia"/>
        </w:rPr>
        <w:t>热水，不变形不渗漏等优良特性。</w:t>
      </w:r>
    </w:p>
    <w:p>
      <w:pPr>
        <w:widowControl/>
        <w:spacing w:line="240" w:lineRule="auto"/>
        <w:ind w:firstLine="0" w:firstLineChars="0"/>
        <w:jc w:val="left"/>
      </w:pPr>
      <w:r>
        <w:br w:type="page"/>
      </w:r>
    </w:p>
    <w:p>
      <w:pPr>
        <w:pStyle w:val="3"/>
        <w:spacing w:before="312" w:after="312"/>
      </w:pPr>
      <w:bookmarkStart w:id="19" w:name="_Toc203057688"/>
      <w:r>
        <w:rPr>
          <w:rFonts w:hint="eastAsia"/>
        </w:rPr>
        <w:t xml:space="preserve">第二章 </w:t>
      </w:r>
      <w:r>
        <w:t>专利检索、产业专利竞争态势及风险识别</w:t>
      </w:r>
      <w:bookmarkEnd w:id="19"/>
    </w:p>
    <w:p>
      <w:pPr>
        <w:ind w:firstLine="562"/>
        <w:outlineLvl w:val="1"/>
        <w:rPr>
          <w:rFonts w:ascii="黑体" w:hAnsi="黑体" w:eastAsia="黑体"/>
          <w:b/>
          <w:bCs/>
          <w:sz w:val="28"/>
          <w:szCs w:val="28"/>
        </w:rPr>
      </w:pPr>
      <w:bookmarkStart w:id="20" w:name="_Toc203057689"/>
      <w:r>
        <w:rPr>
          <w:rFonts w:ascii="黑体" w:hAnsi="黑体" w:eastAsia="黑体"/>
          <w:b/>
          <w:bCs/>
          <w:sz w:val="28"/>
          <w:szCs w:val="28"/>
        </w:rPr>
        <w:t>2</w:t>
      </w:r>
      <w:r>
        <w:rPr>
          <w:rFonts w:hint="eastAsia" w:ascii="黑体" w:hAnsi="黑体" w:eastAsia="黑体"/>
          <w:b/>
          <w:bCs/>
          <w:sz w:val="28"/>
          <w:szCs w:val="28"/>
        </w:rPr>
        <w:t>.1 技术分解及专利检索</w:t>
      </w:r>
      <w:bookmarkEnd w:id="20"/>
    </w:p>
    <w:p>
      <w:pPr>
        <w:shd w:val="clear" w:color="auto" w:fill="FFFFFF"/>
        <w:ind w:firstLine="482"/>
        <w:rPr>
          <w:rFonts w:cs="Helvetica" w:asciiTheme="minorEastAsia" w:hAnsiTheme="minorEastAsia"/>
          <w:b/>
          <w:bCs/>
          <w:color w:val="000000" w:themeColor="text1"/>
          <w:kern w:val="0"/>
        </w:rPr>
      </w:pPr>
      <w:r>
        <w:rPr>
          <w:rFonts w:hint="eastAsia" w:cs="Helvetica" w:asciiTheme="minorEastAsia" w:hAnsiTheme="minorEastAsia"/>
          <w:b/>
          <w:bCs/>
          <w:color w:val="000000" w:themeColor="text1"/>
          <w:kern w:val="0"/>
        </w:rPr>
        <w:t>一、技术边界</w:t>
      </w:r>
    </w:p>
    <w:p>
      <w:pPr>
        <w:ind w:firstLine="480"/>
        <w:rPr>
          <w:rFonts w:ascii="Segoe UI" w:hAnsi="Segoe UI" w:cs="Segoe UI"/>
          <w:shd w:val="clear" w:color="auto" w:fill="FFFFFF"/>
        </w:rPr>
      </w:pPr>
      <w:r>
        <w:rPr>
          <w:rFonts w:ascii="Segoe UI" w:hAnsi="Segoe UI" w:cs="Segoe UI"/>
          <w:shd w:val="clear" w:color="auto" w:fill="FFFFFF"/>
        </w:rPr>
        <w:t>纸浆模塑餐具是以</w:t>
      </w:r>
      <w:r>
        <w:t>一年生植物纤维</w:t>
      </w:r>
      <w:r>
        <w:rPr>
          <w:rFonts w:ascii="Segoe UI" w:hAnsi="Segoe UI" w:cs="Segoe UI"/>
          <w:shd w:val="clear" w:color="auto" w:fill="FFFFFF"/>
        </w:rPr>
        <w:t>（如甘蔗浆、竹浆、木浆、稻草浆、芦苇浆等）为原料，经制浆、调配、模塑成型、干燥等工序制成的餐具。其核心原理是利用植物纤维的天然结构，通过物理成型和化学处理（如添加食品级防水防油剂），赋予餐具一定的强度、耐水性和实用性。</w:t>
      </w:r>
    </w:p>
    <w:p>
      <w:pPr>
        <w:pStyle w:val="2"/>
        <w:ind w:firstLine="480"/>
      </w:pPr>
      <w:r>
        <w:rPr>
          <w:rFonts w:hint="eastAsia"/>
        </w:rPr>
        <w:t>纸浆模塑餐具领域的技术主要涉及餐具制造设备和餐具制造工艺两个方面的技术。餐具制造设备主要包括原材料预处理设备、制浆设备、模塑成型设备、干燥设备、餐具整形与切割设备、表面处理设备、污水处理设备、废料回收设备、浆料输送与控制设备、自动化生产线设备等。餐具制造工艺主要包括原料准备与制浆工艺、干燥工艺、表面处理工艺、整形与切割工艺、废水处理工艺、废料回收工艺、质量检测与包装工艺等。下面对部分制造设备和制造工艺进行介绍。</w:t>
      </w:r>
    </w:p>
    <w:p>
      <w:pPr>
        <w:ind w:firstLine="480"/>
        <w:rPr>
          <w:rFonts w:cs="Segoe UI" w:asciiTheme="majorEastAsia" w:hAnsiTheme="majorEastAsia" w:eastAsiaTheme="majorEastAsia"/>
          <w:shd w:val="clear" w:color="auto" w:fill="FFFFFF"/>
        </w:rPr>
      </w:pPr>
      <w:r>
        <w:rPr>
          <w:rFonts w:hint="eastAsia" w:asciiTheme="majorEastAsia" w:hAnsiTheme="majorEastAsia" w:eastAsiaTheme="majorEastAsia"/>
          <w:shd w:val="clear" w:color="auto" w:fill="FFFFFF"/>
        </w:rPr>
        <w:t>（一）</w:t>
      </w:r>
      <w:r>
        <w:rPr>
          <w:rFonts w:asciiTheme="majorEastAsia" w:hAnsiTheme="majorEastAsia" w:eastAsiaTheme="majorEastAsia"/>
          <w:shd w:val="clear" w:color="auto" w:fill="FFFFFF"/>
        </w:rPr>
        <w:t>制造设备</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1.</w:t>
      </w:r>
      <w:r>
        <w:rPr>
          <w:rFonts w:asciiTheme="majorEastAsia" w:hAnsiTheme="majorEastAsia" w:eastAsiaTheme="majorEastAsia"/>
          <w:shd w:val="clear" w:color="auto" w:fill="FFFFFF"/>
        </w:rPr>
        <w:t>原材料预处理设备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：将植物纤维原料（如竹浆、木浆、甘蔗渣等）进行初步处理，去除杂质（如泥沙、金属碎屑）并软化纤维。</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：碎浆机、筛选机、磨浆机、除渣器。</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作用</w:t>
      </w:r>
      <w:r>
        <w:rPr>
          <w:rFonts w:cs="Segoe UI" w:asciiTheme="majorEastAsia" w:hAnsiTheme="majorEastAsia" w:eastAsiaTheme="majorEastAsia"/>
          <w:shd w:val="clear" w:color="auto" w:fill="FFFFFF"/>
        </w:rPr>
        <w:t>：确保后续制浆环节的纤维质量均匀，减少设备磨损。</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2.</w:t>
      </w:r>
      <w:r>
        <w:rPr>
          <w:rFonts w:asciiTheme="majorEastAsia" w:hAnsiTheme="majorEastAsia" w:eastAsiaTheme="majorEastAsia"/>
          <w:shd w:val="clear" w:color="auto" w:fill="FFFFFF"/>
        </w:rPr>
        <w:t>制浆设备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：将预处理后的纤维原料制成符合模塑要求的浆料（控制浓度、粘度和纤维分散度）。</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：水力碎浆机、磨浆机、配浆池、浓度调节器。</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技术要点</w:t>
      </w:r>
      <w:r>
        <w:rPr>
          <w:rFonts w:cs="Segoe UI" w:asciiTheme="majorEastAsia" w:hAnsiTheme="majorEastAsia" w:eastAsiaTheme="majorEastAsia"/>
          <w:shd w:val="clear" w:color="auto" w:fill="FFFFFF"/>
        </w:rPr>
        <w:t>：通过磨浆工艺调整纤维长度，影响餐具的强度和成型效果。</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3.</w:t>
      </w:r>
      <w:r>
        <w:rPr>
          <w:rFonts w:asciiTheme="majorEastAsia" w:hAnsiTheme="majorEastAsia" w:eastAsiaTheme="majorEastAsia"/>
          <w:shd w:val="clear" w:color="auto" w:fill="FFFFFF"/>
        </w:rPr>
        <w:t>模塑成型设备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：利用模具将浆料吸附成型为餐具雏形（如碗、盘、杯等）。</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：真空吸附成型机、压力成型机、旋转式多工位成型机。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技术特点</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真空吸附：适合薄壁餐具，成本较低；</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压力成型：可制造厚壁、高强度餐具，效率更高。</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4.</w:t>
      </w:r>
      <w:r>
        <w:rPr>
          <w:rFonts w:asciiTheme="majorEastAsia" w:hAnsiTheme="majorEastAsia" w:eastAsiaTheme="majorEastAsia"/>
          <w:shd w:val="clear" w:color="auto" w:fill="FFFFFF"/>
        </w:rPr>
        <w:t>干燥设备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：去除成型餐具中的水分，使其达到安全储存和使用的湿度标准（通常含水率＜8%）。</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：热风干燥机、微波干燥机、真空干燥机、隧道式烘干线。</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技术差异</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热风干燥：成本低但耗时较长；</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微波干燥：效率高，适合大规模生产。</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5.</w:t>
      </w:r>
      <w:r>
        <w:rPr>
          <w:rFonts w:asciiTheme="majorEastAsia" w:hAnsiTheme="majorEastAsia" w:eastAsiaTheme="majorEastAsia"/>
          <w:shd w:val="clear" w:color="auto" w:fill="FFFFFF"/>
        </w:rPr>
        <w:t>整形与切割设备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：对干燥后的餐具进行边缘修整、切割多余毛边，并按设计形状整形（如杯口圆滑处理）。</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：冲切机、整形模具、修边机。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精度要求</w:t>
      </w:r>
      <w:r>
        <w:rPr>
          <w:rFonts w:cs="Segoe UI" w:asciiTheme="majorEastAsia" w:hAnsiTheme="majorEastAsia" w:eastAsiaTheme="majorEastAsia"/>
          <w:shd w:val="clear" w:color="auto" w:fill="FFFFFF"/>
        </w:rPr>
        <w:t>：确保餐具尺寸统一，边缘光滑无毛刺，符合食品安全标准。</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6.</w:t>
      </w:r>
      <w:r>
        <w:rPr>
          <w:rFonts w:asciiTheme="majorEastAsia" w:hAnsiTheme="majorEastAsia" w:eastAsiaTheme="majorEastAsia"/>
          <w:shd w:val="clear" w:color="auto" w:fill="FFFFFF"/>
        </w:rPr>
        <w:t>表面处理设备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：提升餐具的防水、防油性能或外观质感（如涂布可食用涂层）。</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：喷涂机、浸渍涂布机、淋膜机。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技术方向</w:t>
      </w:r>
      <w:r>
        <w:rPr>
          <w:rFonts w:cs="Segoe UI" w:asciiTheme="majorEastAsia" w:hAnsiTheme="majorEastAsia" w:eastAsiaTheme="majorEastAsia"/>
          <w:shd w:val="clear" w:color="auto" w:fill="FFFFFF"/>
        </w:rPr>
        <w:t>：使用生物基涂层（如植物蜡、淀粉基涂料）替代传统化学涂层，符合环保趋势。</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7.</w:t>
      </w:r>
      <w:r>
        <w:rPr>
          <w:rFonts w:asciiTheme="majorEastAsia" w:hAnsiTheme="majorEastAsia" w:eastAsiaTheme="majorEastAsia"/>
          <w:shd w:val="clear" w:color="auto" w:fill="FFFFFF"/>
        </w:rPr>
        <w:t>污水处理设备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：处理生产过程中产生的废水，去除悬浮物、有机物和色度，达到排放标准。</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：沉淀池、气浮机、生物处理池（如活性污泥法设备）、过滤装置。</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环保意义</w:t>
      </w:r>
      <w:r>
        <w:rPr>
          <w:rFonts w:cs="Segoe UI" w:asciiTheme="majorEastAsia" w:hAnsiTheme="majorEastAsia" w:eastAsiaTheme="majorEastAsia"/>
          <w:shd w:val="clear" w:color="auto" w:fill="FFFFFF"/>
        </w:rPr>
        <w:t>：减少水污染，符合国家环保法规要求。</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8.</w:t>
      </w:r>
      <w:r>
        <w:rPr>
          <w:rFonts w:asciiTheme="majorEastAsia" w:hAnsiTheme="majorEastAsia" w:eastAsiaTheme="majorEastAsia"/>
          <w:shd w:val="clear" w:color="auto" w:fill="FFFFFF"/>
        </w:rPr>
        <w:t>废料回收设备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：回收生产过程中的边角料、不合格品，重新碎浆后循环利用。</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：碎浆机、回收浆池、筛选设备。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优势</w:t>
      </w:r>
      <w:r>
        <w:rPr>
          <w:rFonts w:cs="Segoe UI" w:asciiTheme="majorEastAsia" w:hAnsiTheme="majorEastAsia" w:eastAsiaTheme="majorEastAsia"/>
          <w:shd w:val="clear" w:color="auto" w:fill="FFFFFF"/>
        </w:rPr>
        <w:t>：降低原料浪费，符合循环经济理念。</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9.</w:t>
      </w:r>
      <w:r>
        <w:rPr>
          <w:rFonts w:asciiTheme="majorEastAsia" w:hAnsiTheme="majorEastAsia" w:eastAsiaTheme="majorEastAsia"/>
          <w:shd w:val="clear" w:color="auto" w:fill="FFFFFF"/>
        </w:rPr>
        <w:t>浆料输送与控制设备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：实现浆料在各环节的稳定输送，并精准控制浆料浓度、流量等参数。</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常见设备</w:t>
      </w:r>
      <w:r>
        <w:rPr>
          <w:rFonts w:cs="Segoe UI" w:asciiTheme="majorEastAsia" w:hAnsiTheme="majorEastAsia" w:eastAsiaTheme="majorEastAsia"/>
          <w:shd w:val="clear" w:color="auto" w:fill="FFFFFF"/>
        </w:rPr>
        <w:t>：浆泵、管道系统、流量计、浓度传感器、自动化控制系统（如PLC控制柜）。</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作用</w:t>
      </w:r>
      <w:r>
        <w:rPr>
          <w:rFonts w:cs="Segoe UI" w:asciiTheme="majorEastAsia" w:hAnsiTheme="majorEastAsia" w:eastAsiaTheme="majorEastAsia"/>
          <w:shd w:val="clear" w:color="auto" w:fill="FFFFFF"/>
        </w:rPr>
        <w:t>：保障生产线连续运行，提升工艺稳定性。</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10.</w:t>
      </w:r>
      <w:r>
        <w:rPr>
          <w:rFonts w:asciiTheme="majorEastAsia" w:hAnsiTheme="majorEastAsia" w:eastAsiaTheme="majorEastAsia"/>
          <w:shd w:val="clear" w:color="auto" w:fill="FFFFFF"/>
        </w:rPr>
        <w:t>自动化生产线设备</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功能</w:t>
      </w:r>
      <w:r>
        <w:rPr>
          <w:rFonts w:cs="Segoe UI" w:asciiTheme="majorEastAsia" w:hAnsiTheme="majorEastAsia" w:eastAsiaTheme="majorEastAsia"/>
          <w:shd w:val="clear" w:color="auto" w:fill="FFFFFF"/>
        </w:rPr>
        <w:t>：将各工序设备联动，实现从原料到成品的全流程自动化控制。</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常见配置</w:t>
      </w:r>
      <w:r>
        <w:rPr>
          <w:rFonts w:cs="Segoe UI" w:asciiTheme="majorEastAsia" w:hAnsiTheme="majorEastAsia" w:eastAsiaTheme="majorEastAsia"/>
          <w:shd w:val="clear" w:color="auto" w:fill="FFFFFF"/>
        </w:rPr>
        <w:t>：传送带、机械臂、视觉检测系统、智能控制系统。</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优势</w:t>
      </w:r>
      <w:r>
        <w:rPr>
          <w:rFonts w:cs="Segoe UI" w:asciiTheme="majorEastAsia" w:hAnsiTheme="majorEastAsia" w:eastAsiaTheme="majorEastAsia"/>
          <w:shd w:val="clear" w:color="auto" w:fill="FFFFFF"/>
        </w:rPr>
        <w:t>：提高生产效率（如每分钟成型数十件餐具），减少人工干预，降低误差。</w:t>
      </w:r>
    </w:p>
    <w:p>
      <w:pPr>
        <w:ind w:firstLine="480"/>
        <w:rPr>
          <w:rFonts w:cs="Segoe UI" w:asciiTheme="majorEastAsia" w:hAnsiTheme="majorEastAsia" w:eastAsiaTheme="majorEastAsia"/>
          <w:shd w:val="clear" w:color="auto" w:fill="FFFFFF"/>
        </w:rPr>
      </w:pPr>
      <w:r>
        <w:rPr>
          <w:rFonts w:hint="eastAsia" w:asciiTheme="majorEastAsia" w:hAnsiTheme="majorEastAsia" w:eastAsiaTheme="majorEastAsia"/>
          <w:shd w:val="clear" w:color="auto" w:fill="FFFFFF"/>
        </w:rPr>
        <w:t>（二）</w:t>
      </w:r>
      <w:r>
        <w:rPr>
          <w:rFonts w:asciiTheme="majorEastAsia" w:hAnsiTheme="majorEastAsia" w:eastAsiaTheme="majorEastAsia"/>
          <w:shd w:val="clear" w:color="auto" w:fill="FFFFFF"/>
        </w:rPr>
        <w:t>制造工艺简介</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1.</w:t>
      </w:r>
      <w:r>
        <w:rPr>
          <w:rFonts w:asciiTheme="majorEastAsia" w:hAnsiTheme="majorEastAsia" w:eastAsiaTheme="majorEastAsia"/>
          <w:shd w:val="clear" w:color="auto" w:fill="FFFFFF"/>
        </w:rPr>
        <w:t>原料准备与制浆工艺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流程</w:t>
      </w:r>
      <w:r>
        <w:rPr>
          <w:rFonts w:cs="Segoe UI" w:asciiTheme="majorEastAsia" w:hAnsiTheme="majorEastAsia" w:eastAsiaTheme="majorEastAsia"/>
          <w:shd w:val="clear" w:color="auto" w:fill="FFFFFF"/>
        </w:rPr>
        <w:t>：原料（竹/木浆等）→碎浆（破碎成纤维）→筛选（去除杂质）→磨浆（细化纤维）→配浆（调整浓度和纤维配比）。</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关键参数</w:t>
      </w:r>
      <w:r>
        <w:rPr>
          <w:rFonts w:cs="Segoe UI" w:asciiTheme="majorEastAsia" w:hAnsiTheme="majorEastAsia" w:eastAsiaTheme="majorEastAsia"/>
          <w:shd w:val="clear" w:color="auto" w:fill="FFFFFF"/>
        </w:rPr>
        <w:t>：浆料浓度（通常2%-5%）、打浆度（反映纤维分丝帚化程度）。</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2.</w:t>
      </w:r>
      <w:r>
        <w:rPr>
          <w:rFonts w:asciiTheme="majorEastAsia" w:hAnsiTheme="majorEastAsia" w:eastAsiaTheme="majorEastAsia"/>
          <w:shd w:val="clear" w:color="auto" w:fill="FFFFFF"/>
        </w:rPr>
        <w:t>模塑成型工艺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原理</w:t>
      </w:r>
      <w:r>
        <w:rPr>
          <w:rFonts w:cs="Segoe UI" w:asciiTheme="majorEastAsia" w:hAnsiTheme="majorEastAsia" w:eastAsiaTheme="majorEastAsia"/>
          <w:shd w:val="clear" w:color="auto" w:fill="FFFFFF"/>
        </w:rPr>
        <w:t>：通过真空或压力作用，使浆料吸附在模具表面，形成具有特定形状的湿坯。</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工艺类型</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常压成型</w:t>
      </w:r>
      <w:r>
        <w:rPr>
          <w:rFonts w:cs="Segoe UI" w:asciiTheme="majorEastAsia" w:hAnsiTheme="majorEastAsia" w:eastAsiaTheme="majorEastAsia"/>
          <w:shd w:val="clear" w:color="auto" w:fill="FFFFFF"/>
        </w:rPr>
        <w:t>：适合简单形状，成本低；</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加压成型</w:t>
      </w:r>
      <w:r>
        <w:rPr>
          <w:rFonts w:cs="Segoe UI" w:asciiTheme="majorEastAsia" w:hAnsiTheme="majorEastAsia" w:eastAsiaTheme="majorEastAsia"/>
          <w:shd w:val="clear" w:color="auto" w:fill="FFFFFF"/>
        </w:rPr>
        <w:t>：适合复杂结构（如带纹路的餐具），强度更高。</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3.</w:t>
      </w:r>
      <w:r>
        <w:rPr>
          <w:rFonts w:asciiTheme="majorEastAsia" w:hAnsiTheme="majorEastAsia" w:eastAsiaTheme="majorEastAsia"/>
          <w:shd w:val="clear" w:color="auto" w:fill="FFFFFF"/>
        </w:rPr>
        <w:t>干燥工艺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目的</w:t>
      </w:r>
      <w:r>
        <w:rPr>
          <w:rFonts w:cs="Segoe UI" w:asciiTheme="majorEastAsia" w:hAnsiTheme="majorEastAsia" w:eastAsiaTheme="majorEastAsia"/>
          <w:shd w:val="clear" w:color="auto" w:fill="FFFFFF"/>
        </w:rPr>
        <w:t>：通过热传导或辐射去除水分，固化餐具形状。</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工艺特点</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低温长时干燥：保留纤维韧性，减少变形；</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高温快速干燥：提高效率，但需控制温度避免碳化。</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4.</w:t>
      </w:r>
      <w:r>
        <w:rPr>
          <w:rFonts w:asciiTheme="majorEastAsia" w:hAnsiTheme="majorEastAsia" w:eastAsiaTheme="majorEastAsia"/>
          <w:shd w:val="clear" w:color="auto" w:fill="FFFFFF"/>
        </w:rPr>
        <w:t>表面处理工艺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作用</w:t>
      </w:r>
      <w:r>
        <w:rPr>
          <w:rFonts w:cs="Segoe UI" w:asciiTheme="majorEastAsia" w:hAnsiTheme="majorEastAsia" w:eastAsiaTheme="majorEastAsia"/>
          <w:shd w:val="clear" w:color="auto" w:fill="FFFFFF"/>
        </w:rPr>
        <w:t>：赋予餐具防水、防油、耐温性能（如可承受120</w:t>
      </w:r>
      <w:r>
        <w:rPr>
          <w:rFonts w:hint="eastAsia" w:cs="Segoe UI" w:asciiTheme="majorEastAsia" w:hAnsiTheme="majorEastAsia" w:eastAsiaTheme="majorEastAsia"/>
          <w:shd w:val="clear" w:color="auto" w:fill="FFFFFF"/>
        </w:rPr>
        <w:t>℃</w:t>
      </w:r>
      <w:r>
        <w:rPr>
          <w:rFonts w:cs="Segoe UI" w:asciiTheme="majorEastAsia" w:hAnsiTheme="majorEastAsia" w:eastAsiaTheme="majorEastAsia"/>
          <w:shd w:val="clear" w:color="auto" w:fill="FFFFFF"/>
        </w:rPr>
        <w:t>热饮或-20</w:t>
      </w:r>
      <w:r>
        <w:rPr>
          <w:rFonts w:hint="eastAsia" w:cs="Segoe UI" w:asciiTheme="majorEastAsia" w:hAnsiTheme="majorEastAsia" w:eastAsiaTheme="majorEastAsia"/>
          <w:shd w:val="clear" w:color="auto" w:fill="FFFFFF"/>
        </w:rPr>
        <w:t>℃</w:t>
      </w:r>
      <w:r>
        <w:rPr>
          <w:rFonts w:cs="Segoe UI" w:asciiTheme="majorEastAsia" w:hAnsiTheme="majorEastAsia" w:eastAsiaTheme="majorEastAsia"/>
          <w:shd w:val="clear" w:color="auto" w:fill="FFFFFF"/>
        </w:rPr>
        <w:t>冷藏）。</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常见工艺</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涂布：喷涂可食用防水剂（如聚乳酸PLA）；</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覆膜：复合生物基薄膜（如玉米淀粉膜）。</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5.</w:t>
      </w:r>
      <w:r>
        <w:rPr>
          <w:rFonts w:asciiTheme="majorEastAsia" w:hAnsiTheme="majorEastAsia" w:eastAsiaTheme="majorEastAsia"/>
          <w:shd w:val="clear" w:color="auto" w:fill="FFFFFF"/>
        </w:rPr>
        <w:t>整形与切割工艺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流程</w:t>
      </w:r>
      <w:r>
        <w:rPr>
          <w:rFonts w:cs="Segoe UI" w:asciiTheme="majorEastAsia" w:hAnsiTheme="majorEastAsia" w:eastAsiaTheme="majorEastAsia"/>
          <w:shd w:val="clear" w:color="auto" w:fill="FFFFFF"/>
        </w:rPr>
        <w:t>：干燥后的餐具→模具冲压整形（如杯身弧度定型）→切割毛边→质量初检。</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技术要求</w:t>
      </w:r>
      <w:r>
        <w:rPr>
          <w:rFonts w:cs="Segoe UI" w:asciiTheme="majorEastAsia" w:hAnsiTheme="majorEastAsia" w:eastAsiaTheme="majorEastAsia"/>
          <w:shd w:val="clear" w:color="auto" w:fill="FFFFFF"/>
        </w:rPr>
        <w:t>：切口平整，无飞边，尺寸误差≤±1mm。</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6.</w:t>
      </w:r>
      <w:r>
        <w:rPr>
          <w:rFonts w:asciiTheme="majorEastAsia" w:hAnsiTheme="majorEastAsia" w:eastAsiaTheme="majorEastAsia"/>
          <w:shd w:val="clear" w:color="auto" w:fill="FFFFFF"/>
        </w:rPr>
        <w:t>废水处理工艺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流程</w:t>
      </w:r>
      <w:r>
        <w:rPr>
          <w:rFonts w:cs="Segoe UI" w:asciiTheme="majorEastAsia" w:hAnsiTheme="majorEastAsia" w:eastAsiaTheme="majorEastAsia"/>
          <w:shd w:val="clear" w:color="auto" w:fill="FFFFFF"/>
        </w:rPr>
        <w:t>：生产废水→预处理（沉淀大颗粒）→生化处理（降解有机物）→深度处理（过滤、吸附）→达标排放或回用。</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目标</w:t>
      </w:r>
      <w:r>
        <w:rPr>
          <w:rFonts w:cs="Segoe UI" w:asciiTheme="majorEastAsia" w:hAnsiTheme="majorEastAsia" w:eastAsiaTheme="majorEastAsia"/>
          <w:shd w:val="clear" w:color="auto" w:fill="FFFFFF"/>
        </w:rPr>
        <w:t>：使废水COD（化学需氧量）、SS（悬浮物）等指标符合国家标准。</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7.</w:t>
      </w:r>
      <w:r>
        <w:rPr>
          <w:rFonts w:asciiTheme="majorEastAsia" w:hAnsiTheme="majorEastAsia" w:eastAsiaTheme="majorEastAsia"/>
          <w:shd w:val="clear" w:color="auto" w:fill="FFFFFF"/>
        </w:rPr>
        <w:t>废料回收工艺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循环流程</w:t>
      </w:r>
      <w:r>
        <w:rPr>
          <w:rFonts w:cs="Segoe UI" w:asciiTheme="majorEastAsia" w:hAnsiTheme="majorEastAsia" w:eastAsiaTheme="majorEastAsia"/>
          <w:shd w:val="clear" w:color="auto" w:fill="FFFFFF"/>
        </w:rPr>
        <w:t>：废料→碎浆→筛选→回用到配浆环节，实现原料利用率＞95%。</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环保效益</w:t>
      </w:r>
      <w:r>
        <w:rPr>
          <w:rFonts w:cs="Segoe UI" w:asciiTheme="majorEastAsia" w:hAnsiTheme="majorEastAsia" w:eastAsiaTheme="majorEastAsia"/>
          <w:shd w:val="clear" w:color="auto" w:fill="FFFFFF"/>
        </w:rPr>
        <w:t>：减少固体废弃物排放，降低生产成本。</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8.</w:t>
      </w:r>
      <w:r>
        <w:rPr>
          <w:rFonts w:asciiTheme="majorEastAsia" w:hAnsiTheme="majorEastAsia" w:eastAsiaTheme="majorEastAsia"/>
          <w:shd w:val="clear" w:color="auto" w:fill="FFFFFF"/>
        </w:rPr>
        <w:t>质量检测与包装工艺</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检测内容</w:t>
      </w:r>
      <w:r>
        <w:rPr>
          <w:rFonts w:cs="Segoe UI" w:asciiTheme="majorEastAsia" w:hAnsiTheme="majorEastAsia" w:eastAsiaTheme="majorEastAsia"/>
          <w:shd w:val="clear" w:color="auto" w:fill="FFFFFF"/>
        </w:rPr>
        <w:t>：</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物理性能：抗压强度、耐水性、耐热性；</w:t>
      </w:r>
    </w:p>
    <w:p>
      <w:pPr>
        <w:ind w:firstLine="480"/>
        <w:rPr>
          <w:rFonts w:cs="Segoe UI" w:asciiTheme="majorEastAsia" w:hAnsiTheme="majorEastAsia" w:eastAsiaTheme="majorEastAsia"/>
          <w:shd w:val="clear" w:color="auto" w:fill="FFFFFF"/>
        </w:rPr>
      </w:pPr>
      <w:r>
        <w:rPr>
          <w:rFonts w:cs="Segoe UI" w:asciiTheme="majorEastAsia" w:hAnsiTheme="majorEastAsia" w:eastAsiaTheme="majorEastAsia"/>
          <w:shd w:val="clear" w:color="auto" w:fill="FFFFFF"/>
        </w:rPr>
        <w:t>卫生指标：微生物、重金属迁移量（符合GB18006.1等标准）。</w:t>
      </w:r>
    </w:p>
    <w:p>
      <w:pPr>
        <w:ind w:firstLine="480"/>
        <w:rPr>
          <w:rFonts w:cs="Segoe UI" w:asciiTheme="majorEastAsia" w:hAnsiTheme="majorEastAsia" w:eastAsiaTheme="majorEastAsia"/>
          <w:shd w:val="clear" w:color="auto" w:fill="FFFFFF"/>
        </w:rPr>
      </w:pPr>
      <w:r>
        <w:rPr>
          <w:rFonts w:asciiTheme="majorEastAsia" w:hAnsiTheme="majorEastAsia" w:eastAsiaTheme="majorEastAsia"/>
          <w:shd w:val="clear" w:color="auto" w:fill="FFFFFF"/>
        </w:rPr>
        <w:t>包装工艺</w:t>
      </w:r>
      <w:r>
        <w:rPr>
          <w:rFonts w:cs="Segoe UI" w:asciiTheme="majorEastAsia" w:hAnsiTheme="majorEastAsia" w:eastAsiaTheme="majorEastAsia"/>
          <w:shd w:val="clear" w:color="auto" w:fill="FFFFFF"/>
        </w:rPr>
        <w:t>：自动计数、塑封包装、装箱，部分产品需进行无菌包装（如医疗餐具）。</w:t>
      </w:r>
    </w:p>
    <w:p>
      <w:pPr>
        <w:pStyle w:val="2"/>
        <w:ind w:firstLine="482"/>
        <w:rPr>
          <w:b/>
          <w:bCs/>
        </w:rPr>
      </w:pPr>
      <w:r>
        <w:rPr>
          <w:rFonts w:hint="eastAsia"/>
          <w:b/>
          <w:bCs/>
        </w:rPr>
        <w:t>二、技术分解</w:t>
      </w:r>
    </w:p>
    <w:p>
      <w:pPr>
        <w:ind w:firstLine="0" w:firstLineChars="0"/>
        <w:jc w:val="center"/>
        <w:rPr>
          <w:rFonts w:ascii="宋体" w:hAnsi="宋体"/>
          <w:b/>
          <w:bCs/>
        </w:rPr>
      </w:pPr>
      <w:r>
        <w:rPr>
          <w:rFonts w:hint="eastAsia" w:ascii="宋体" w:hAnsi="宋体"/>
          <w:b/>
          <w:bCs/>
        </w:rPr>
        <w:t>表</w:t>
      </w:r>
      <w:r>
        <w:rPr>
          <w:rFonts w:ascii="宋体" w:hAnsi="宋体"/>
          <w:b/>
          <w:bCs/>
        </w:rPr>
        <w:t xml:space="preserve">2.1-1 </w:t>
      </w:r>
      <w:r>
        <w:rPr>
          <w:rFonts w:hint="eastAsia" w:ascii="宋体" w:hAnsi="宋体"/>
          <w:b/>
          <w:bCs/>
        </w:rPr>
        <w:t>一次性环保餐具技术分解表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2783"/>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Align w:val="center"/>
          </w:tcPr>
          <w:p>
            <w:pPr>
              <w:ind w:firstLine="0" w:firstLineChars="0"/>
              <w:jc w:val="center"/>
              <w:rPr>
                <w:rFonts w:ascii="宋体" w:hAnsi="宋体"/>
                <w:b/>
                <w:bCs/>
              </w:rPr>
            </w:pPr>
            <w:r>
              <w:rPr>
                <w:rFonts w:hint="eastAsia" w:ascii="宋体" w:hAnsi="宋体"/>
                <w:b/>
                <w:bCs/>
              </w:rPr>
              <w:t>一级分支</w:t>
            </w:r>
          </w:p>
        </w:tc>
        <w:tc>
          <w:tcPr>
            <w:tcW w:w="1633" w:type="pct"/>
            <w:vAlign w:val="center"/>
          </w:tcPr>
          <w:p>
            <w:pPr>
              <w:ind w:firstLine="0" w:firstLineChars="0"/>
              <w:jc w:val="center"/>
              <w:rPr>
                <w:rFonts w:ascii="宋体" w:hAnsi="宋体"/>
                <w:b/>
                <w:bCs/>
              </w:rPr>
            </w:pPr>
            <w:r>
              <w:rPr>
                <w:rFonts w:hint="eastAsia" w:ascii="宋体" w:hAnsi="宋体"/>
                <w:b/>
                <w:bCs/>
              </w:rPr>
              <w:t>二级分支</w:t>
            </w:r>
          </w:p>
        </w:tc>
        <w:tc>
          <w:tcPr>
            <w:tcW w:w="1633" w:type="pct"/>
          </w:tcPr>
          <w:p>
            <w:pPr>
              <w:ind w:firstLine="0" w:firstLineChars="0"/>
              <w:jc w:val="center"/>
              <w:rPr>
                <w:rFonts w:ascii="宋体" w:hAnsi="宋体"/>
                <w:b/>
                <w:bCs/>
              </w:rPr>
            </w:pPr>
            <w:r>
              <w:rPr>
                <w:rFonts w:hint="eastAsia" w:ascii="宋体" w:hAnsi="宋体"/>
                <w:b/>
                <w:bCs/>
              </w:rPr>
              <w:t>三级分支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restart"/>
            <w:vAlign w:val="center"/>
          </w:tcPr>
          <w:p>
            <w:pPr>
              <w:ind w:firstLine="0" w:firstLineChars="0"/>
              <w:jc w:val="center"/>
              <w:rPr>
                <w:rFonts w:ascii="宋体" w:hAnsi="宋体"/>
              </w:rPr>
            </w:pPr>
            <w:bookmarkStart w:id="21" w:name="_Hlk200120072"/>
            <w:r>
              <w:rPr>
                <w:rFonts w:hint="eastAsia" w:ascii="宋体" w:hAnsi="宋体"/>
              </w:rPr>
              <w:t>一次性环保餐具</w:t>
            </w:r>
          </w:p>
        </w:tc>
        <w:tc>
          <w:tcPr>
            <w:tcW w:w="1633" w:type="pct"/>
            <w:vMerge w:val="restart"/>
            <w:vAlign w:val="center"/>
          </w:tcPr>
          <w:p>
            <w:pPr>
              <w:ind w:firstLine="0" w:firstLineChars="0"/>
              <w:jc w:val="center"/>
              <w:rPr>
                <w:rFonts w:ascii="宋体" w:hAnsi="宋体"/>
              </w:rPr>
            </w:pPr>
            <w:r>
              <w:rPr>
                <w:rFonts w:hint="eastAsia" w:ascii="宋体" w:hAnsi="宋体"/>
              </w:rPr>
              <w:t>制造设备</w:t>
            </w:r>
          </w:p>
        </w:tc>
        <w:tc>
          <w:tcPr>
            <w:tcW w:w="1633" w:type="pct"/>
          </w:tcPr>
          <w:p>
            <w:pPr>
              <w:ind w:firstLine="0" w:firstLineChars="0"/>
              <w:jc w:val="center"/>
            </w:pPr>
            <w:r>
              <w:rPr>
                <w:rFonts w:hint="eastAsia"/>
              </w:rPr>
              <w:t>原材料预处理设备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rPr>
                <w:rStyle w:val="24"/>
                <w:rFonts w:ascii="Segoe UI" w:hAnsi="Segoe UI" w:cs="Segoe UI"/>
                <w:b w:val="0"/>
                <w:bCs w:val="0"/>
                <w:shd w:val="clear" w:color="auto" w:fill="FFFFFF"/>
              </w:rPr>
            </w:pPr>
          </w:p>
        </w:tc>
        <w:tc>
          <w:tcPr>
            <w:tcW w:w="1633" w:type="pct"/>
          </w:tcPr>
          <w:p>
            <w:pPr>
              <w:ind w:firstLine="0" w:firstLineChars="0"/>
              <w:jc w:val="center"/>
            </w:pPr>
            <w:r>
              <w:rPr>
                <w:rFonts w:hint="eastAsia"/>
              </w:rPr>
              <w:t>制浆设备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模塑成型设备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干燥设备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rPr>
                <w:rStyle w:val="24"/>
                <w:rFonts w:ascii="Segoe UI" w:hAnsi="Segoe UI" w:cs="Segoe UI"/>
                <w:b w:val="0"/>
                <w:bCs w:val="0"/>
                <w:shd w:val="clear" w:color="auto" w:fill="FFFFFF"/>
              </w:rPr>
            </w:pPr>
          </w:p>
        </w:tc>
        <w:tc>
          <w:tcPr>
            <w:tcW w:w="1633" w:type="pct"/>
          </w:tcPr>
          <w:p>
            <w:pPr>
              <w:ind w:firstLine="0" w:firstLineChars="0"/>
              <w:jc w:val="center"/>
            </w:pPr>
            <w:r>
              <w:t>餐具整形与切割设备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表面处理设备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污水处理设备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废料回收设备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浆料输送与控制设备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0" w:firstLineChars="0"/>
              <w:jc w:val="center"/>
            </w:pPr>
          </w:p>
        </w:tc>
        <w:tc>
          <w:tcPr>
            <w:tcW w:w="1633" w:type="pct"/>
          </w:tcPr>
          <w:p>
            <w:pPr>
              <w:ind w:firstLine="0" w:firstLineChars="0"/>
              <w:jc w:val="center"/>
            </w:pPr>
            <w:r>
              <w:t>自动化生产线设备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4" w:type="pct"/>
            <w:vMerge w:val="continue"/>
            <w:vAlign w:val="center"/>
          </w:tcPr>
          <w:p>
            <w:pPr>
              <w:ind w:firstLine="0" w:firstLineChars="0"/>
              <w:jc w:val="center"/>
              <w:rPr>
                <w:rFonts w:ascii="宋体" w:hAnsi="宋体"/>
              </w:rPr>
            </w:pPr>
          </w:p>
        </w:tc>
        <w:tc>
          <w:tcPr>
            <w:tcW w:w="1633" w:type="pct"/>
            <w:vMerge w:val="restart"/>
            <w:vAlign w:val="center"/>
          </w:tcPr>
          <w:p>
            <w:pPr>
              <w:ind w:firstLine="0" w:firstLineChars="0"/>
              <w:jc w:val="center"/>
            </w:pPr>
            <w:r>
              <w:rPr>
                <w:rFonts w:hint="eastAsia"/>
              </w:rPr>
              <w:t>制造工艺</w:t>
            </w:r>
          </w:p>
        </w:tc>
        <w:tc>
          <w:tcPr>
            <w:tcW w:w="1633" w:type="pct"/>
          </w:tcPr>
          <w:p>
            <w:pPr>
              <w:ind w:firstLine="0" w:firstLineChars="0"/>
              <w:jc w:val="center"/>
            </w:pPr>
            <w:r>
              <w:t>原料准备与制浆工艺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干燥工艺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表面处理工艺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整形与切割工艺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废水处理工艺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废料回收工艺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pct"/>
            <w:vMerge w:val="continue"/>
            <w:vAlign w:val="center"/>
          </w:tcPr>
          <w:p>
            <w:pPr>
              <w:ind w:firstLine="0" w:firstLineChars="0"/>
              <w:jc w:val="center"/>
              <w:rPr>
                <w:rFonts w:ascii="宋体" w:hAnsi="宋体"/>
              </w:rPr>
            </w:pPr>
          </w:p>
        </w:tc>
        <w:tc>
          <w:tcPr>
            <w:tcW w:w="1633" w:type="pct"/>
            <w:vMerge w:val="continue"/>
            <w:vAlign w:val="center"/>
          </w:tcPr>
          <w:p>
            <w:pPr>
              <w:ind w:firstLine="480"/>
              <w:jc w:val="center"/>
            </w:pPr>
          </w:p>
        </w:tc>
        <w:tc>
          <w:tcPr>
            <w:tcW w:w="1633" w:type="pct"/>
          </w:tcPr>
          <w:p>
            <w:pPr>
              <w:ind w:firstLine="0" w:firstLineChars="0"/>
              <w:jc w:val="center"/>
            </w:pPr>
            <w:r>
              <w:rPr>
                <w:rFonts w:hint="eastAsia"/>
              </w:rPr>
              <w:t>质量检测与包装工艺</w:t>
            </w:r>
          </w:p>
        </w:tc>
      </w:tr>
      <w:bookmarkEnd w:id="21"/>
    </w:tbl>
    <w:p>
      <w:pPr>
        <w:ind w:firstLine="482"/>
        <w:rPr>
          <w:b/>
          <w:bCs/>
        </w:rPr>
      </w:pPr>
    </w:p>
    <w:p>
      <w:pPr>
        <w:pStyle w:val="2"/>
        <w:ind w:firstLine="482"/>
        <w:rPr>
          <w:b/>
          <w:bCs/>
        </w:rPr>
      </w:pPr>
      <w:r>
        <w:rPr>
          <w:rFonts w:hint="eastAsia"/>
          <w:b/>
          <w:bCs/>
        </w:rPr>
        <w:t>三、检索范围</w:t>
      </w:r>
    </w:p>
    <w:p>
      <w:pPr>
        <w:ind w:firstLine="480"/>
        <w:rPr>
          <w:rFonts w:ascii="宋体" w:hAnsi="宋体" w:cs="楷体"/>
          <w:color w:val="000000" w:themeColor="text1"/>
        </w:rPr>
      </w:pPr>
      <w:r>
        <w:rPr>
          <w:rFonts w:hint="eastAsia" w:ascii="宋体" w:hAnsi="宋体" w:cs="楷体"/>
          <w:color w:val="000000" w:themeColor="text1"/>
        </w:rPr>
        <w:t>本次</w:t>
      </w:r>
      <w:r>
        <w:rPr>
          <w:rFonts w:ascii="宋体" w:hAnsi="宋体" w:cs="楷体"/>
          <w:color w:val="000000" w:themeColor="text1"/>
        </w:rPr>
        <w:t>分析报告综合了分类号检索策略、关键词检索策略以及申请人或发明人追踪检索策略。</w:t>
      </w:r>
    </w:p>
    <w:p>
      <w:pPr>
        <w:ind w:firstLine="480"/>
        <w:rPr>
          <w:rFonts w:ascii="宋体" w:hAnsi="宋体" w:cs="楷体"/>
          <w:color w:val="000000" w:themeColor="text1"/>
        </w:rPr>
      </w:pPr>
      <w:r>
        <w:rPr>
          <w:rFonts w:ascii="宋体" w:hAnsi="宋体" w:cs="楷体"/>
          <w:color w:val="000000" w:themeColor="text1"/>
        </w:rPr>
        <w:t>分类号检索策略</w:t>
      </w:r>
      <w:r>
        <w:rPr>
          <w:rFonts w:hint="eastAsia" w:ascii="宋体" w:hAnsi="宋体" w:cs="楷体"/>
          <w:color w:val="000000" w:themeColor="text1"/>
        </w:rPr>
        <w:t>：采用</w:t>
      </w:r>
      <w:r>
        <w:rPr>
          <w:rFonts w:ascii="宋体" w:hAnsi="宋体" w:cs="楷体"/>
          <w:color w:val="000000" w:themeColor="text1"/>
        </w:rPr>
        <w:t>国际上通用的专利文献分类规</w:t>
      </w:r>
      <w:r>
        <w:rPr>
          <w:rFonts w:hint="eastAsia" w:ascii="宋体" w:hAnsi="宋体" w:cs="楷体"/>
          <w:color w:val="000000" w:themeColor="text1"/>
        </w:rPr>
        <w:t>--</w:t>
      </w:r>
      <w:r>
        <w:rPr>
          <w:rFonts w:ascii="宋体" w:hAnsi="宋体" w:cs="楷体"/>
          <w:color w:val="000000" w:themeColor="text1"/>
        </w:rPr>
        <w:t>IPC分类规则</w:t>
      </w:r>
      <w:r>
        <w:rPr>
          <w:rFonts w:hint="eastAsia" w:ascii="宋体" w:hAnsi="宋体" w:cs="楷体"/>
          <w:color w:val="000000" w:themeColor="text1"/>
        </w:rPr>
        <w:t>，</w:t>
      </w:r>
      <w:r>
        <w:rPr>
          <w:rFonts w:ascii="宋体" w:hAnsi="宋体" w:cs="楷体"/>
          <w:color w:val="000000" w:themeColor="text1"/>
        </w:rPr>
        <w:t>另外，针对EPO、USPTO以及JPO</w:t>
      </w:r>
      <w:r>
        <w:rPr>
          <w:rFonts w:hint="eastAsia" w:ascii="宋体" w:hAnsi="宋体" w:cs="楷体"/>
          <w:color w:val="000000" w:themeColor="text1"/>
        </w:rPr>
        <w:t>，</w:t>
      </w:r>
      <w:r>
        <w:rPr>
          <w:rFonts w:ascii="宋体" w:hAnsi="宋体" w:cs="楷体"/>
          <w:color w:val="000000" w:themeColor="text1"/>
        </w:rPr>
        <w:t>分别采用ECLA、UC、FI/FT等分类体系，对其公布的文献、部分外国专利文献和一些非专利文献进行分类检索。在本报告中根据</w:t>
      </w:r>
      <w:r>
        <w:rPr>
          <w:rFonts w:hint="eastAsia" w:ascii="宋体" w:hAnsi="宋体" w:cs="楷体"/>
          <w:color w:val="000000" w:themeColor="text1"/>
        </w:rPr>
        <w:t>达宝文</w:t>
      </w:r>
      <w:r>
        <w:rPr>
          <w:rFonts w:ascii="宋体" w:hAnsi="宋体" w:cs="楷体"/>
          <w:color w:val="000000" w:themeColor="text1"/>
        </w:rPr>
        <w:t>公司提供的相关技术资料进行技术分解，重点选择IPC分类体系进行检索。</w:t>
      </w:r>
    </w:p>
    <w:p>
      <w:pPr>
        <w:ind w:firstLine="480"/>
        <w:rPr>
          <w:rFonts w:ascii="宋体" w:hAnsi="宋体" w:cs="楷体"/>
          <w:color w:val="000000" w:themeColor="text1"/>
        </w:rPr>
      </w:pPr>
      <w:r>
        <w:rPr>
          <w:rFonts w:ascii="宋体" w:hAnsi="宋体" w:cs="楷体"/>
          <w:color w:val="000000" w:themeColor="text1"/>
        </w:rPr>
        <w:t>关键词检索策略</w:t>
      </w:r>
      <w:r>
        <w:rPr>
          <w:rFonts w:hint="eastAsia" w:ascii="宋体" w:hAnsi="宋体" w:cs="楷体"/>
          <w:color w:val="000000" w:themeColor="text1"/>
        </w:rPr>
        <w:t>：</w:t>
      </w:r>
      <w:r>
        <w:rPr>
          <w:rFonts w:ascii="宋体" w:hAnsi="宋体" w:cs="楷体"/>
          <w:color w:val="000000" w:themeColor="text1"/>
        </w:rPr>
        <w:t>本报告针对关键词在标题</w:t>
      </w:r>
      <w:r>
        <w:rPr>
          <w:rFonts w:hint="eastAsia" w:ascii="宋体" w:hAnsi="宋体" w:cs="楷体"/>
          <w:color w:val="000000" w:themeColor="text1"/>
        </w:rPr>
        <w:t>、</w:t>
      </w:r>
      <w:r>
        <w:rPr>
          <w:rFonts w:ascii="宋体" w:hAnsi="宋体" w:cs="楷体"/>
          <w:color w:val="000000" w:themeColor="text1"/>
        </w:rPr>
        <w:t>摘要</w:t>
      </w:r>
      <w:r>
        <w:rPr>
          <w:rFonts w:hint="eastAsia" w:ascii="宋体" w:hAnsi="宋体" w:cs="楷体"/>
          <w:color w:val="000000" w:themeColor="text1"/>
        </w:rPr>
        <w:t>、</w:t>
      </w:r>
      <w:r>
        <w:rPr>
          <w:rFonts w:ascii="宋体" w:hAnsi="宋体" w:cs="楷体"/>
          <w:color w:val="000000" w:themeColor="text1"/>
        </w:rPr>
        <w:t>权利要求书</w:t>
      </w:r>
      <w:r>
        <w:rPr>
          <w:rFonts w:hint="eastAsia" w:ascii="宋体" w:hAnsi="宋体" w:cs="楷体"/>
          <w:color w:val="000000" w:themeColor="text1"/>
        </w:rPr>
        <w:t>、</w:t>
      </w:r>
      <w:r>
        <w:rPr>
          <w:rFonts w:ascii="宋体" w:hAnsi="宋体" w:cs="楷体"/>
          <w:color w:val="000000" w:themeColor="text1"/>
        </w:rPr>
        <w:t>和全文中进行检索</w:t>
      </w:r>
      <w:r>
        <w:rPr>
          <w:rFonts w:hint="eastAsia" w:ascii="宋体" w:hAnsi="宋体" w:cs="楷体"/>
          <w:color w:val="000000" w:themeColor="text1"/>
        </w:rPr>
        <w:t>，</w:t>
      </w:r>
      <w:r>
        <w:rPr>
          <w:rFonts w:ascii="宋体" w:hAnsi="宋体" w:cs="楷体"/>
          <w:color w:val="000000" w:themeColor="text1"/>
        </w:rPr>
        <w:t>着重在权利要求书中进行检索</w:t>
      </w:r>
      <w:r>
        <w:rPr>
          <w:rFonts w:hint="eastAsia" w:ascii="宋体" w:hAnsi="宋体" w:cs="楷体"/>
          <w:color w:val="000000" w:themeColor="text1"/>
        </w:rPr>
        <w:t>。</w:t>
      </w:r>
    </w:p>
    <w:p>
      <w:pPr>
        <w:ind w:firstLine="480"/>
        <w:rPr>
          <w:rFonts w:ascii="宋体" w:hAnsi="宋体" w:cs="楷体"/>
          <w:color w:val="000000" w:themeColor="text1"/>
        </w:rPr>
      </w:pPr>
      <w:r>
        <w:rPr>
          <w:rFonts w:ascii="宋体" w:hAnsi="宋体" w:cs="楷体"/>
          <w:color w:val="000000" w:themeColor="text1"/>
        </w:rPr>
        <w:t>1.</w:t>
      </w:r>
      <w:r>
        <w:rPr>
          <w:rFonts w:ascii="宋体" w:hAnsi="宋体"/>
          <w:color w:val="000000" w:themeColor="text1"/>
        </w:rPr>
        <w:t>摘要检索</w:t>
      </w:r>
      <w:r>
        <w:rPr>
          <w:rFonts w:hint="eastAsia" w:ascii="宋体" w:hAnsi="宋体"/>
          <w:color w:val="000000" w:themeColor="text1"/>
        </w:rPr>
        <w:t>：</w:t>
      </w:r>
      <w:r>
        <w:rPr>
          <w:rFonts w:ascii="宋体" w:hAnsi="宋体"/>
          <w:color w:val="000000" w:themeColor="text1"/>
        </w:rPr>
        <w:t>摘要是说明书、</w:t>
      </w:r>
      <w:r>
        <w:rPr>
          <w:rFonts w:ascii="宋体" w:hAnsi="宋体" w:cs="楷体"/>
          <w:color w:val="000000" w:themeColor="text1"/>
        </w:rPr>
        <w:t>权利要求书和附图中所包含的公开内容的概要，其一般</w:t>
      </w:r>
      <w:r>
        <w:rPr>
          <w:rFonts w:hint="eastAsia" w:ascii="宋体" w:hAnsi="宋体" w:cs="楷体"/>
          <w:color w:val="000000" w:themeColor="text1"/>
        </w:rPr>
        <w:t>涵盖</w:t>
      </w:r>
      <w:r>
        <w:rPr>
          <w:rFonts w:ascii="宋体" w:hAnsi="宋体" w:cs="楷体"/>
          <w:color w:val="000000" w:themeColor="text1"/>
        </w:rPr>
        <w:t>发明所属技术领域</w:t>
      </w:r>
      <w:r>
        <w:rPr>
          <w:rFonts w:hint="eastAsia" w:ascii="宋体" w:hAnsi="宋体" w:cs="楷体"/>
          <w:color w:val="000000" w:themeColor="text1"/>
        </w:rPr>
        <w:t>、</w:t>
      </w:r>
      <w:r>
        <w:rPr>
          <w:rFonts w:ascii="宋体" w:hAnsi="宋体" w:cs="楷体"/>
          <w:color w:val="000000" w:themeColor="text1"/>
        </w:rPr>
        <w:t>要解决的技术问题、通过发明解决该技术问题的方案的要点和发明的用途。</w:t>
      </w:r>
    </w:p>
    <w:p>
      <w:pPr>
        <w:ind w:firstLine="480"/>
        <w:rPr>
          <w:rFonts w:ascii="宋体" w:hAnsi="宋体" w:cs="楷体"/>
          <w:color w:val="000000" w:themeColor="text1"/>
        </w:rPr>
      </w:pPr>
      <w:r>
        <w:rPr>
          <w:rFonts w:hint="eastAsia" w:ascii="宋体" w:hAnsi="宋体" w:cs="楷体"/>
          <w:color w:val="000000" w:themeColor="text1"/>
        </w:rPr>
        <w:t>2</w:t>
      </w:r>
      <w:r>
        <w:rPr>
          <w:rFonts w:ascii="宋体" w:hAnsi="宋体" w:cs="楷体"/>
          <w:color w:val="000000" w:themeColor="text1"/>
        </w:rPr>
        <w:t>.</w:t>
      </w:r>
      <w:r>
        <w:rPr>
          <w:rFonts w:hint="eastAsia" w:ascii="宋体" w:hAnsi="宋体" w:cs="楷体"/>
          <w:color w:val="000000" w:themeColor="text1"/>
        </w:rPr>
        <w:t>权利要求检索：</w:t>
      </w:r>
      <w:r>
        <w:rPr>
          <w:rFonts w:ascii="宋体" w:hAnsi="宋体" w:cs="楷体"/>
          <w:color w:val="000000" w:themeColor="text1"/>
        </w:rPr>
        <w:t>权利要求书是专利文件中限定专利保护范围的文件部分。权利要求书记载发明或者实用新型的技术特征。权利要求具有独立权利要求，也可以有从属权利要求。独立权利要求从整体上反映发明或者实用新型的技术方案，记载解决技术问题所需的必要技术特征。从属权利要求用附加的技术特征，对引用的权利要求做进一步限定。</w:t>
      </w:r>
    </w:p>
    <w:p>
      <w:pPr>
        <w:ind w:firstLine="480"/>
        <w:rPr>
          <w:rFonts w:ascii="宋体" w:hAnsi="宋体" w:cs="楷体"/>
          <w:color w:val="000000" w:themeColor="text1"/>
        </w:rPr>
      </w:pPr>
      <w:r>
        <w:rPr>
          <w:rFonts w:ascii="宋体" w:hAnsi="宋体" w:cs="楷体"/>
          <w:color w:val="000000" w:themeColor="text1"/>
        </w:rPr>
        <w:t>3.全文检索</w:t>
      </w:r>
      <w:r>
        <w:rPr>
          <w:rFonts w:hint="eastAsia" w:ascii="宋体" w:hAnsi="宋体" w:cs="楷体"/>
          <w:color w:val="000000" w:themeColor="text1"/>
        </w:rPr>
        <w:t>：</w:t>
      </w:r>
      <w:r>
        <w:rPr>
          <w:rFonts w:ascii="宋体" w:hAnsi="宋体"/>
          <w:color w:val="000000" w:themeColor="text1"/>
        </w:rPr>
        <w:t>对于全文库的检索，更关注一些技术细节，或者技术参数等等。在进行全文检索时对关键词进行选择与对文摘库进行检索时侧重点有所不同，对于全文库的检索，更多的关注关键词的“全”。</w:t>
      </w:r>
      <w:r>
        <w:rPr>
          <w:rFonts w:hint="eastAsia" w:ascii="宋体" w:hAnsi="宋体" w:cs="楷体"/>
          <w:color w:val="000000" w:themeColor="text1"/>
        </w:rPr>
        <w:t>通过对</w:t>
      </w:r>
      <w:r>
        <w:rPr>
          <w:rFonts w:ascii="宋体" w:hAnsi="宋体" w:cs="楷体"/>
          <w:color w:val="000000" w:themeColor="text1"/>
        </w:rPr>
        <w:t>全文库的检索，</w:t>
      </w:r>
      <w:r>
        <w:rPr>
          <w:rFonts w:hint="eastAsia" w:ascii="宋体" w:hAnsi="宋体" w:cs="楷体"/>
          <w:color w:val="000000" w:themeColor="text1"/>
        </w:rPr>
        <w:t>可以</w:t>
      </w:r>
      <w:r>
        <w:rPr>
          <w:rFonts w:ascii="宋体" w:hAnsi="宋体" w:cs="楷体"/>
          <w:color w:val="000000" w:themeColor="text1"/>
        </w:rPr>
        <w:t>保证检索的查全率。</w:t>
      </w:r>
    </w:p>
    <w:p>
      <w:pPr>
        <w:ind w:firstLine="480"/>
        <w:rPr>
          <w:rFonts w:ascii="宋体" w:hAnsi="宋体"/>
        </w:rPr>
      </w:pPr>
      <w:r>
        <w:rPr>
          <w:rFonts w:hint="eastAsia" w:ascii="宋体" w:hAnsi="宋体"/>
        </w:rPr>
        <w:t>应当声明，受专利审查进度的影响，2</w:t>
      </w:r>
      <w:r>
        <w:rPr>
          <w:rFonts w:ascii="宋体" w:hAnsi="宋体"/>
        </w:rPr>
        <w:t>024</w:t>
      </w:r>
      <w:r>
        <w:rPr>
          <w:rFonts w:hint="eastAsia" w:ascii="宋体" w:hAnsi="宋体"/>
        </w:rPr>
        <w:t>年与2</w:t>
      </w:r>
      <w:r>
        <w:rPr>
          <w:rFonts w:ascii="宋体" w:hAnsi="宋体"/>
        </w:rPr>
        <w:t>025</w:t>
      </w:r>
      <w:r>
        <w:rPr>
          <w:rFonts w:hint="eastAsia" w:ascii="宋体" w:hAnsi="宋体"/>
        </w:rPr>
        <w:t>年的部分专利仍未公开，所以本报告中2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年的专利数量只包含了已经公开的专利数量，所以2</w:t>
      </w:r>
      <w:r>
        <w:rPr>
          <w:rFonts w:ascii="宋体" w:hAnsi="宋体"/>
        </w:rPr>
        <w:t>024</w:t>
      </w:r>
      <w:r>
        <w:rPr>
          <w:rFonts w:hint="eastAsia" w:ascii="宋体" w:hAnsi="宋体"/>
        </w:rPr>
        <w:t>年与2</w:t>
      </w:r>
      <w:r>
        <w:rPr>
          <w:rFonts w:ascii="宋体" w:hAnsi="宋体"/>
        </w:rPr>
        <w:t>025</w:t>
      </w:r>
      <w:r>
        <w:rPr>
          <w:rFonts w:hint="eastAsia" w:ascii="宋体" w:hAnsi="宋体"/>
        </w:rPr>
        <w:t>年的专利数量不具备参考价值，下文中将不再赘述。</w:t>
      </w:r>
    </w:p>
    <w:p>
      <w:pPr>
        <w:ind w:firstLine="482"/>
        <w:rPr>
          <w:rFonts w:ascii="宋体" w:hAnsi="宋体"/>
          <w:b/>
          <w:bCs/>
        </w:rPr>
      </w:pPr>
      <w:r>
        <w:rPr>
          <w:rFonts w:hint="eastAsia" w:ascii="宋体" w:hAnsi="宋体"/>
          <w:b/>
          <w:bCs/>
        </w:rPr>
        <w:t>四、主要检索式</w:t>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表</w:t>
      </w:r>
      <w:r>
        <w:rPr>
          <w:rFonts w:cs="Helvetica" w:asciiTheme="minorEastAsia" w:hAnsiTheme="minorEastAsia" w:eastAsiaTheme="minorEastAsia"/>
          <w:b/>
          <w:color w:val="000000" w:themeColor="text1"/>
        </w:rPr>
        <w:t>2.1-2</w:t>
      </w:r>
      <w:r>
        <w:rPr>
          <w:rFonts w:hint="eastAsia" w:cs="Helvetica" w:asciiTheme="minorEastAsia" w:hAnsiTheme="minorEastAsia" w:eastAsiaTheme="minorEastAsia"/>
          <w:b/>
          <w:color w:val="000000" w:themeColor="text1"/>
        </w:rPr>
        <w:t xml:space="preserve"> 专利检索式</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ind w:firstLine="0" w:firstLineChars="0"/>
              <w:jc w:val="center"/>
              <w:rPr>
                <w:rFonts w:ascii="宋体" w:hAnsi="宋体"/>
                <w:b/>
                <w:bCs/>
              </w:rPr>
            </w:pPr>
            <w:r>
              <w:rPr>
                <w:rFonts w:hint="eastAsia" w:ascii="宋体" w:hAnsi="宋体"/>
                <w:b/>
                <w:bCs/>
              </w:rPr>
              <w:t>检索式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TAC_ALL:(餐具 OR 餐盒 OR 餐盘 OR 饭盒 OR 纸杯 OR 纸盘 OR打包盒) AND TAC_ALL:(植物 OR 纤维 OR 甘蔗 OR 秸秆 OR 麦 OR 稻 OR 玉米 OR 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 xml:space="preserve">TAC_ALL:(tableware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plate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cup</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plate</w:t>
            </w:r>
            <w:r>
              <w:rPr>
                <w:rFonts w:hint="eastAsia" w:asciiTheme="minorEastAsia" w:hAnsiTheme="minorEastAsia" w:eastAsiaTheme="minorEastAsia"/>
              </w:rPr>
              <w:t>”</w:t>
            </w:r>
            <w:r>
              <w:rPr>
                <w:rFonts w:asciiTheme="minorEastAsia" w:hAnsiTheme="minorEastAsia" w:eastAsiaTheme="minorEastAsia"/>
              </w:rPr>
              <w:t xml:space="preserve">) AND TAC_ALL:(fiber OR </w:t>
            </w:r>
            <w:r>
              <w:rPr>
                <w:rFonts w:hint="eastAsia" w:asciiTheme="minorEastAsia" w:hAnsiTheme="minorEastAsia" w:eastAsiaTheme="minorEastAsia"/>
              </w:rPr>
              <w:t>“</w:t>
            </w:r>
            <w:r>
              <w:rPr>
                <w:rFonts w:asciiTheme="minorEastAsia" w:hAnsiTheme="minorEastAsia" w:eastAsiaTheme="minorEastAsia"/>
              </w:rPr>
              <w:t>sugar cane</w:t>
            </w:r>
            <w:r>
              <w:rPr>
                <w:rFonts w:hint="eastAsia" w:asciiTheme="minorEastAsia" w:hAnsiTheme="minorEastAsia" w:eastAsiaTheme="minorEastAsia"/>
              </w:rPr>
              <w:t xml:space="preserve">” </w:t>
            </w:r>
            <w:r>
              <w:rPr>
                <w:rFonts w:asciiTheme="minorEastAsia" w:hAnsiTheme="minorEastAsia" w:eastAsiaTheme="minorEastAsia"/>
              </w:rPr>
              <w:t>OR straw OR wheat OR rice OR corn OR bamboo)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TAC_ALL:(纸浆模塑)) AND TAC_ALL:(餐具 OR 餐盒 OR 餐盘 OR 饭盒 OR 纸杯 OR 纸盘 OR打包盒)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TAC_ALL: (</w:t>
            </w:r>
            <w:r>
              <w:rPr>
                <w:rFonts w:hint="eastAsia" w:asciiTheme="minorEastAsia" w:hAnsiTheme="minorEastAsia" w:eastAsiaTheme="minorEastAsia"/>
              </w:rPr>
              <w:t>“</w:t>
            </w:r>
            <w:r>
              <w:rPr>
                <w:rFonts w:asciiTheme="minorEastAsia" w:hAnsiTheme="minorEastAsia" w:eastAsiaTheme="minorEastAsia"/>
              </w:rPr>
              <w:t>Pulp molding</w:t>
            </w:r>
            <w:r>
              <w:rPr>
                <w:rFonts w:hint="eastAsia" w:asciiTheme="minorEastAsia" w:hAnsiTheme="minorEastAsia" w:eastAsiaTheme="minorEastAsia"/>
              </w:rPr>
              <w:t>”</w:t>
            </w:r>
            <w:r>
              <w:rPr>
                <w:rFonts w:asciiTheme="minorEastAsia" w:hAnsiTheme="minorEastAsia" w:eastAsiaTheme="minorEastAsia"/>
              </w:rPr>
              <w:t xml:space="preserve">) AND TAC_ALL:(tableware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plate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cup</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plate</w:t>
            </w:r>
            <w:r>
              <w:rPr>
                <w:rFonts w:hint="eastAsia" w:asciiTheme="minorEastAsia" w:hAnsiTheme="minorEastAsia" w:eastAsiaTheme="minorEastAsia"/>
              </w:rPr>
              <w:t>”</w:t>
            </w:r>
            <w:r>
              <w:rPr>
                <w:rFonts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TAC_ALL:(餐具 OR 餐盒 OR 餐盘 OR 饭盒 OR 打包盒) AND TAC_ALL:(环保 OR 降解 OR 绿色 OR 污染) AND TAC_ALL:(纸浆 OR 纤维 OR 植物 OR 纤维 OR 甘蔗 OR 秸秆 OR 麦 OR 稻 OR 玉米 OR 竹)</w:t>
            </w:r>
            <w:r>
              <w:rPr>
                <w:rFonts w:ascii="Segoe UI" w:hAnsi="Segoe UI" w:cs="Segoe UI"/>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5000" w:type="pct"/>
            <w:vAlign w:val="center"/>
          </w:tcPr>
          <w:p>
            <w:pPr>
              <w:ind w:firstLine="0" w:firstLineChars="0"/>
              <w:rPr>
                <w:rFonts w:asciiTheme="minorEastAsia" w:hAnsiTheme="minorEastAsia" w:eastAsiaTheme="minorEastAsia"/>
              </w:rPr>
            </w:pPr>
            <w:r>
              <w:rPr>
                <w:rFonts w:asciiTheme="minorEastAsia" w:hAnsiTheme="minorEastAsia" w:eastAsiaTheme="minorEastAsia"/>
              </w:rPr>
              <w:t xml:space="preserve">TAC_ALL:(tableware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plate OR </w:t>
            </w:r>
            <w:r>
              <w:rPr>
                <w:rFonts w:hint="eastAsia" w:asciiTheme="minorEastAsia" w:hAnsiTheme="minorEastAsia" w:eastAsiaTheme="minorEastAsia"/>
              </w:rPr>
              <w:t>“</w:t>
            </w:r>
            <w:r>
              <w:rPr>
                <w:rFonts w:asciiTheme="minorEastAsia" w:hAnsiTheme="minorEastAsia" w:eastAsiaTheme="minorEastAsia"/>
              </w:rPr>
              <w:t>lunch box</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cup</w:t>
            </w:r>
            <w:r>
              <w:rPr>
                <w:rFonts w:hint="eastAsia" w:asciiTheme="minorEastAsia" w:hAnsiTheme="minorEastAsia" w:eastAsiaTheme="minorEastAsia"/>
              </w:rPr>
              <w:t xml:space="preserve">” </w:t>
            </w:r>
            <w:r>
              <w:rPr>
                <w:rFonts w:asciiTheme="minorEastAsia" w:hAnsiTheme="minorEastAsia" w:eastAsiaTheme="minorEastAsia"/>
              </w:rPr>
              <w:t xml:space="preserve">OR </w:t>
            </w:r>
            <w:r>
              <w:rPr>
                <w:rFonts w:hint="eastAsia" w:asciiTheme="minorEastAsia" w:hAnsiTheme="minorEastAsia" w:eastAsiaTheme="minorEastAsia"/>
              </w:rPr>
              <w:t>“</w:t>
            </w:r>
            <w:r>
              <w:rPr>
                <w:rFonts w:asciiTheme="minorEastAsia" w:hAnsiTheme="minorEastAsia" w:eastAsiaTheme="minorEastAsia"/>
              </w:rPr>
              <w:t>paper plate</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AND TAC_ALL:(</w:t>
            </w:r>
            <w:r>
              <w:rPr>
                <w:rFonts w:asciiTheme="minorEastAsia" w:hAnsiTheme="minorEastAsia" w:eastAsiaTheme="minorEastAsia"/>
              </w:rPr>
              <w:t xml:space="preserve"> </w:t>
            </w:r>
            <w:r>
              <w:rPr>
                <w:rFonts w:hint="eastAsia" w:asciiTheme="minorEastAsia" w:hAnsiTheme="minorEastAsia" w:eastAsiaTheme="minorEastAsia"/>
              </w:rPr>
              <w:t>“</w:t>
            </w:r>
            <w:r>
              <w:rPr>
                <w:rFonts w:asciiTheme="minorEastAsia" w:hAnsiTheme="minorEastAsia" w:eastAsiaTheme="minorEastAsia"/>
              </w:rPr>
              <w:t>Environmental protection</w:t>
            </w:r>
            <w:r>
              <w:rPr>
                <w:rFonts w:hint="eastAsia" w:asciiTheme="minorEastAsia" w:hAnsiTheme="minorEastAsia" w:eastAsiaTheme="minorEastAsia"/>
              </w:rPr>
              <w:t xml:space="preserve">” </w:t>
            </w:r>
            <w:r>
              <w:rPr>
                <w:rFonts w:asciiTheme="minorEastAsia" w:hAnsiTheme="minorEastAsia" w:eastAsiaTheme="minorEastAsia"/>
              </w:rPr>
              <w:t>or degradation or green or pollution</w:t>
            </w:r>
            <w:r>
              <w:rPr>
                <w:rFonts w:hint="eastAsia" w:asciiTheme="minorEastAsia" w:hAnsiTheme="minorEastAsia" w:eastAsiaTheme="minorEastAsia"/>
              </w:rPr>
              <w:t>)</w:t>
            </w:r>
            <w:r>
              <w:rPr>
                <w:rFonts w:asciiTheme="minorEastAsia" w:hAnsiTheme="minorEastAsia" w:eastAsiaTheme="minorEastAsia"/>
              </w:rPr>
              <w:t xml:space="preserve"> AND TAC_ALL:(fiber OR </w:t>
            </w:r>
            <w:r>
              <w:rPr>
                <w:rFonts w:hint="eastAsia" w:asciiTheme="minorEastAsia" w:hAnsiTheme="minorEastAsia" w:eastAsiaTheme="minorEastAsia"/>
              </w:rPr>
              <w:t>“</w:t>
            </w:r>
            <w:r>
              <w:rPr>
                <w:rFonts w:asciiTheme="minorEastAsia" w:hAnsiTheme="minorEastAsia" w:eastAsiaTheme="minorEastAsia"/>
              </w:rPr>
              <w:t>sugar cane</w:t>
            </w:r>
            <w:r>
              <w:rPr>
                <w:rFonts w:hint="eastAsia" w:asciiTheme="minorEastAsia" w:hAnsiTheme="minorEastAsia" w:eastAsiaTheme="minorEastAsia"/>
              </w:rPr>
              <w:t xml:space="preserve">” </w:t>
            </w:r>
            <w:r>
              <w:rPr>
                <w:rFonts w:asciiTheme="minorEastAsia" w:hAnsiTheme="minorEastAsia" w:eastAsiaTheme="minorEastAsia"/>
              </w:rPr>
              <w:t>OR straw OR wheat OR rice OR corn OR bamboo)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trPr>
        <w:tc>
          <w:tcPr>
            <w:tcW w:w="5000" w:type="pct"/>
            <w:vAlign w:val="center"/>
          </w:tcPr>
          <w:p>
            <w:pPr>
              <w:ind w:firstLine="0" w:firstLineChars="0"/>
              <w:rPr>
                <w:rFonts w:asciiTheme="minorEastAsia" w:hAnsiTheme="minorEastAsia" w:eastAsiaTheme="minorEastAsia"/>
              </w:rPr>
            </w:pPr>
            <w:r>
              <w:rPr>
                <w:rFonts w:hint="eastAsia" w:asciiTheme="minorEastAsia" w:hAnsiTheme="minorEastAsia" w:eastAsiaTheme="minorEastAsia"/>
              </w:rPr>
              <w:t>TTL_ALL:(餐具 OR 餐盒 OR 餐盘 OR 饭盒 OR 纸杯 OR 纸盘 OR打包盒) AND IPC:(A47G OR D21J OR C08L OR B65D OR C08K OR A45C OR D21H)</w:t>
            </w:r>
          </w:p>
        </w:tc>
      </w:tr>
    </w:tbl>
    <w:p>
      <w:pPr>
        <w:pStyle w:val="2"/>
        <w:ind w:firstLine="480"/>
      </w:pPr>
    </w:p>
    <w:p>
      <w:pPr>
        <w:ind w:firstLine="480"/>
        <w:rPr>
          <w:rFonts w:ascii="宋体" w:hAnsi="宋体"/>
        </w:rPr>
      </w:pPr>
      <w:r>
        <w:rPr>
          <w:rFonts w:hint="eastAsia" w:ascii="宋体" w:hAnsi="宋体"/>
        </w:rPr>
        <w:t>在专利数据库</w:t>
      </w:r>
      <w:r>
        <w:rPr>
          <w:rFonts w:ascii="宋体" w:hAnsi="宋体"/>
        </w:rPr>
        <w:t>(</w:t>
      </w:r>
      <w:r>
        <w:rPr>
          <w:rFonts w:hint="eastAsia" w:ascii="宋体" w:hAnsi="宋体"/>
        </w:rPr>
        <w:t>智慧芽</w:t>
      </w:r>
      <w:r>
        <w:rPr>
          <w:rFonts w:ascii="宋体" w:hAnsi="宋体"/>
        </w:rPr>
        <w:t>)</w:t>
      </w:r>
      <w:r>
        <w:rPr>
          <w:rFonts w:hint="eastAsia" w:ascii="宋体" w:hAnsi="宋体"/>
        </w:rPr>
        <w:t>中检索得到全球与一次性环保餐具直接相关的专利</w:t>
      </w:r>
      <w:r>
        <w:rPr>
          <w:rFonts w:ascii="宋体" w:hAnsi="宋体"/>
        </w:rPr>
        <w:t>5159</w:t>
      </w:r>
      <w:r>
        <w:rPr>
          <w:rFonts w:hint="eastAsia" w:ascii="宋体" w:hAnsi="宋体"/>
        </w:rPr>
        <w:t>件，其中中国专利</w:t>
      </w:r>
      <w:r>
        <w:rPr>
          <w:rFonts w:ascii="宋体" w:hAnsi="宋体"/>
        </w:rPr>
        <w:t>4003</w:t>
      </w:r>
      <w:r>
        <w:rPr>
          <w:rFonts w:hint="eastAsia" w:ascii="宋体" w:hAnsi="宋体"/>
        </w:rPr>
        <w:t>件，国外专利</w:t>
      </w:r>
      <w:r>
        <w:rPr>
          <w:rFonts w:ascii="宋体" w:hAnsi="宋体"/>
        </w:rPr>
        <w:t>1156</w:t>
      </w:r>
      <w:r>
        <w:rPr>
          <w:rFonts w:hint="eastAsia" w:ascii="宋体" w:hAnsi="宋体"/>
        </w:rPr>
        <w:t>件。本项目后续将基于该</w:t>
      </w:r>
      <w:r>
        <w:rPr>
          <w:rFonts w:ascii="宋体" w:hAnsi="宋体"/>
        </w:rPr>
        <w:t>5159</w:t>
      </w:r>
      <w:r>
        <w:rPr>
          <w:rFonts w:hint="eastAsia" w:ascii="宋体" w:hAnsi="宋体"/>
        </w:rPr>
        <w:t>件专利形成专利数据池，并对其进行专利分析。</w:t>
      </w:r>
    </w:p>
    <w:p>
      <w:pPr>
        <w:ind w:firstLine="562"/>
        <w:outlineLvl w:val="1"/>
        <w:rPr>
          <w:rFonts w:ascii="黑体" w:hAnsi="黑体" w:eastAsia="黑体"/>
          <w:b/>
          <w:bCs/>
          <w:sz w:val="28"/>
          <w:szCs w:val="28"/>
        </w:rPr>
      </w:pPr>
      <w:bookmarkStart w:id="22" w:name="_Toc203057690"/>
      <w:r>
        <w:rPr>
          <w:rFonts w:ascii="黑体" w:hAnsi="黑体" w:eastAsia="黑体"/>
          <w:b/>
          <w:bCs/>
          <w:sz w:val="28"/>
          <w:szCs w:val="28"/>
        </w:rPr>
        <w:t>2</w:t>
      </w:r>
      <w:r>
        <w:rPr>
          <w:rFonts w:hint="eastAsia" w:ascii="黑体" w:hAnsi="黑体" w:eastAsia="黑体"/>
          <w:b/>
          <w:bCs/>
          <w:sz w:val="28"/>
          <w:szCs w:val="28"/>
        </w:rPr>
        <w:t>.2 聊城市一次性环保餐具产业知识产权保护现状</w:t>
      </w:r>
      <w:bookmarkEnd w:id="22"/>
    </w:p>
    <w:p>
      <w:pPr>
        <w:ind w:firstLine="482"/>
        <w:rPr>
          <w:rFonts w:ascii="宋体" w:hAnsi="宋体"/>
          <w:b/>
          <w:bCs/>
        </w:rPr>
      </w:pPr>
      <w:r>
        <w:rPr>
          <w:rFonts w:hint="eastAsia" w:ascii="宋体" w:hAnsi="宋体"/>
          <w:b/>
          <w:bCs/>
        </w:rPr>
        <w:t>1</w:t>
      </w:r>
      <w:r>
        <w:rPr>
          <w:rFonts w:ascii="宋体" w:hAnsi="宋体"/>
          <w:b/>
          <w:bCs/>
        </w:rPr>
        <w:t>.</w:t>
      </w:r>
      <w:r>
        <w:rPr>
          <w:rFonts w:hint="eastAsia" w:ascii="宋体" w:hAnsi="宋体"/>
          <w:b/>
          <w:bCs/>
        </w:rPr>
        <w:t>专利申请趋势</w:t>
      </w:r>
    </w:p>
    <w:p>
      <w:pPr>
        <w:ind w:firstLine="0" w:firstLineChars="0"/>
        <w:jc w:val="center"/>
      </w:pPr>
      <w:r>
        <w:drawing>
          <wp:inline distT="0" distB="0" distL="0" distR="0">
            <wp:extent cx="5274310" cy="2549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4310" cy="2549525"/>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2.2-1 </w:t>
      </w:r>
      <w:r>
        <w:rPr>
          <w:rFonts w:hint="eastAsia" w:cs="Helvetica" w:asciiTheme="minorEastAsia" w:hAnsiTheme="minorEastAsia" w:eastAsiaTheme="minorEastAsia"/>
          <w:b/>
          <w:color w:val="000000" w:themeColor="text1"/>
        </w:rPr>
        <w:t>聊城市相关专利申请趋势</w:t>
      </w:r>
    </w:p>
    <w:p>
      <w:pPr>
        <w:ind w:firstLine="480"/>
      </w:pPr>
      <w:r>
        <w:t>共检索到</w:t>
      </w:r>
      <w:r>
        <w:rPr>
          <w:rFonts w:hint="eastAsia"/>
        </w:rPr>
        <w:t>聊城市一次性环保餐具领域</w:t>
      </w:r>
      <w:r>
        <w:t>相关专利文献55</w:t>
      </w:r>
      <w:r>
        <w:rPr>
          <w:rFonts w:hint="eastAsia"/>
        </w:rPr>
        <w:t>件，总体数量是较少的。从专利年申请量来看，聊城市在一次性环保餐具领域的专利申请大多数都是近几年申请的，尤其是2</w:t>
      </w:r>
      <w:r>
        <w:t>020</w:t>
      </w:r>
      <w:r>
        <w:rPr>
          <w:rFonts w:hint="eastAsia"/>
        </w:rPr>
        <w:t>年，年专利申请量达到了2</w:t>
      </w:r>
      <w:r>
        <w:t>1</w:t>
      </w:r>
      <w:r>
        <w:rPr>
          <w:rFonts w:hint="eastAsia"/>
        </w:rPr>
        <w:t>件。2</w:t>
      </w:r>
      <w:r>
        <w:t>020</w:t>
      </w:r>
      <w:r>
        <w:rPr>
          <w:rFonts w:hint="eastAsia"/>
        </w:rPr>
        <w:t>年以后，受经济发展环境的影响，聊城市在一次性环保餐具领域的年专利申请数量出现了较大幅度的下降。</w:t>
      </w:r>
    </w:p>
    <w:p>
      <w:pPr>
        <w:ind w:firstLine="482"/>
        <w:rPr>
          <w:rFonts w:asciiTheme="minorEastAsia" w:hAnsiTheme="minorEastAsia" w:eastAsiaTheme="minorEastAsia"/>
          <w:b/>
          <w:bCs/>
          <w:color w:val="191919"/>
          <w:shd w:val="clear" w:color="auto" w:fill="FFFFFF"/>
        </w:rPr>
      </w:pPr>
      <w:r>
        <w:rPr>
          <w:rFonts w:hint="eastAsia" w:asciiTheme="minorEastAsia" w:hAnsiTheme="minorEastAsia" w:eastAsiaTheme="minorEastAsia"/>
          <w:b/>
          <w:bCs/>
          <w:color w:val="191919"/>
          <w:shd w:val="clear" w:color="auto" w:fill="FFFFFF"/>
        </w:rPr>
        <w:t>2</w:t>
      </w:r>
      <w:r>
        <w:rPr>
          <w:rFonts w:asciiTheme="minorEastAsia" w:hAnsiTheme="minorEastAsia" w:eastAsiaTheme="minorEastAsia"/>
          <w:b/>
          <w:bCs/>
          <w:color w:val="191919"/>
          <w:shd w:val="clear" w:color="auto" w:fill="FFFFFF"/>
        </w:rPr>
        <w:t>.</w:t>
      </w:r>
      <w:r>
        <w:rPr>
          <w:rFonts w:hint="eastAsia" w:asciiTheme="minorEastAsia" w:hAnsiTheme="minorEastAsia" w:eastAsiaTheme="minorEastAsia"/>
          <w:b/>
          <w:bCs/>
          <w:color w:val="191919"/>
          <w:shd w:val="clear" w:color="auto" w:fill="FFFFFF"/>
        </w:rPr>
        <w:t>专利类型</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5274310" cy="2846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2846705"/>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2.2-2 </w:t>
      </w:r>
      <w:r>
        <w:rPr>
          <w:rFonts w:hint="eastAsia" w:cs="Helvetica" w:asciiTheme="minorEastAsia" w:hAnsiTheme="minorEastAsia" w:eastAsiaTheme="minorEastAsia"/>
          <w:b/>
          <w:color w:val="000000" w:themeColor="text1"/>
        </w:rPr>
        <w:t>聊城市一次性环保餐具领域相关专利类型占比</w:t>
      </w:r>
    </w:p>
    <w:p>
      <w:pPr>
        <w:ind w:firstLine="480"/>
      </w:pPr>
      <w:r>
        <w:t>由图2.2-2可以看出，目前</w:t>
      </w:r>
      <w:r>
        <w:rPr>
          <w:rFonts w:hint="eastAsia"/>
        </w:rPr>
        <w:t>聊城市在一次性环保餐具领域专利申请类型主要为外观设计和实用新型专利</w:t>
      </w:r>
      <w:r>
        <w:t>，</w:t>
      </w:r>
      <w:r>
        <w:rPr>
          <w:rFonts w:hint="eastAsia"/>
        </w:rPr>
        <w:t>其中外观设计专利占比为4</w:t>
      </w:r>
      <w:r>
        <w:t>1.81%</w:t>
      </w:r>
      <w:r>
        <w:rPr>
          <w:rFonts w:hint="eastAsia"/>
        </w:rPr>
        <w:t>，实用新型专利占比为4</w:t>
      </w:r>
      <w:r>
        <w:t>0%</w:t>
      </w:r>
      <w:r>
        <w:rPr>
          <w:rFonts w:hint="eastAsia"/>
        </w:rPr>
        <w:t>，发明专利占比较低，仅为1</w:t>
      </w:r>
      <w:r>
        <w:t>8.17%。</w:t>
      </w:r>
      <w:r>
        <w:rPr>
          <w:rFonts w:hint="eastAsia"/>
        </w:rPr>
        <w:t>通常来说，专利申请人为了获得专利授权证书，会将创新性较低的技术申请实用新型专利，而将创新性较高的专利申请发明专利，所以相对而言，发明专利的创新性或者说技术先进性要明显高于实用新型专利。所以，聊城市当前在一次性环保餐具领域的专利技术先进性相对较低，专利总体质量仍有较大的提升空间。</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color w:val="191919"/>
          <w:shd w:val="clear" w:color="auto" w:fill="FFFFFF"/>
        </w:rPr>
      </w:pPr>
      <w:r>
        <w:rPr>
          <w:rFonts w:asciiTheme="minorEastAsia" w:hAnsiTheme="minorEastAsia" w:eastAsiaTheme="minorEastAsia"/>
          <w:color w:val="191919"/>
          <w:shd w:val="clear" w:color="auto" w:fill="FFFFFF"/>
        </w:rPr>
        <w:drawing>
          <wp:inline distT="0" distB="0" distL="0" distR="0">
            <wp:extent cx="5274310" cy="3159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3159760"/>
                    </a:xfrm>
                    <a:prstGeom prst="rect">
                      <a:avLst/>
                    </a:prstGeom>
                  </pic:spPr>
                </pic:pic>
              </a:graphicData>
            </a:graphic>
          </wp:inline>
        </w:drawing>
      </w:r>
    </w:p>
    <w:p>
      <w:pPr>
        <w:pStyle w:val="20"/>
        <w:shd w:val="clear" w:color="auto" w:fill="FFFFFF"/>
        <w:ind w:firstLine="0" w:firstLineChars="0"/>
        <w:jc w:val="center"/>
        <w:rPr>
          <w:rFonts w:cs="Helvetica" w:asciiTheme="minorEastAsia" w:hAnsiTheme="minorEastAsia" w:eastAsiaTheme="minorEastAsia"/>
          <w:b/>
          <w:color w:val="000000" w:themeColor="text1"/>
        </w:rPr>
      </w:pPr>
      <w:r>
        <w:rPr>
          <w:rFonts w:hint="eastAsia" w:cs="Helvetica" w:asciiTheme="minorEastAsia" w:hAnsiTheme="minorEastAsia" w:eastAsiaTheme="minorEastAsia"/>
          <w:b/>
          <w:color w:val="000000" w:themeColor="text1"/>
        </w:rPr>
        <w:t>图</w:t>
      </w:r>
      <w:r>
        <w:rPr>
          <w:rFonts w:cs="Helvetica" w:asciiTheme="minorEastAsia" w:hAnsiTheme="minorEastAsia" w:eastAsiaTheme="minorEastAsia"/>
          <w:b/>
          <w:color w:val="000000" w:themeColor="text1"/>
        </w:rPr>
        <w:t xml:space="preserve">2.2-3 </w:t>
      </w:r>
      <w:r>
        <w:rPr>
          <w:rFonts w:hint="eastAsia" w:cs="Helvetica" w:asciiTheme="minorEastAsia" w:hAnsiTheme="minorEastAsia" w:eastAsiaTheme="minorEastAsia"/>
          <w:b/>
          <w:color w:val="000000" w:themeColor="text1"/>
        </w:rPr>
        <w:t>聊城市一次性环保餐具领域相关专利法律状态</w:t>
      </w:r>
    </w:p>
    <w:p>
      <w:pPr>
        <w:ind w:firstLine="480"/>
      </w:pPr>
      <w:r>
        <w:rPr>
          <w:rFonts w:hint="eastAsia"/>
        </w:rPr>
        <w:t>通过分析当前专利法律状态的分布情况，可以了解分析目标中专利的权利状态及失效原因，以作为专利价值或管理能力评估、风险分析、技术引进或专利运营等决策行动的参考依据。从图</w:t>
      </w:r>
      <w:r>
        <w:t>2.2-3</w:t>
      </w:r>
      <w:r>
        <w:rPr>
          <w:rFonts w:hint="eastAsia"/>
        </w:rPr>
        <w:t>可以看出，聊城市目前专利健康状态较好，有</w:t>
      </w:r>
      <w:r>
        <w:t>74.54%</w:t>
      </w:r>
      <w:r>
        <w:rPr>
          <w:rFonts w:hint="eastAsia"/>
        </w:rPr>
        <w:t>的专利处于有效状态，有</w:t>
      </w:r>
      <w:r>
        <w:t>25.45%</w:t>
      </w:r>
      <w:r>
        <w:rPr>
          <w:rFonts w:hint="eastAsia"/>
        </w:rPr>
        <w:t>的专利处于失效状态，有效专利的占比是较高的。</w:t>
      </w:r>
    </w:p>
    <w:p>
      <w:pPr>
        <w:ind w:firstLine="562"/>
        <w:outlineLvl w:val="1"/>
        <w:rPr>
          <w:rFonts w:ascii="黑体" w:hAnsi="黑体" w:eastAsia="黑体"/>
          <w:b/>
          <w:bCs/>
          <w:sz w:val="28"/>
          <w:szCs w:val="28"/>
        </w:rPr>
      </w:pPr>
      <w:bookmarkStart w:id="23" w:name="_Toc203057691"/>
      <w:r>
        <w:rPr>
          <w:rFonts w:ascii="黑体" w:hAnsi="黑体" w:eastAsia="黑体"/>
          <w:b/>
          <w:bCs/>
          <w:sz w:val="28"/>
          <w:szCs w:val="28"/>
        </w:rPr>
        <w:t>2</w:t>
      </w:r>
      <w:r>
        <w:rPr>
          <w:rFonts w:hint="eastAsia" w:ascii="黑体" w:hAnsi="黑体" w:eastAsia="黑体"/>
          <w:b/>
          <w:bCs/>
          <w:sz w:val="28"/>
          <w:szCs w:val="28"/>
        </w:rPr>
        <w:t>.3 产业重点布局区域知识产权竞争态势</w:t>
      </w:r>
      <w:bookmarkEnd w:id="23"/>
    </w:p>
    <w:p>
      <w:pPr>
        <w:ind w:firstLine="562"/>
        <w:outlineLvl w:val="2"/>
        <w:rPr>
          <w:rFonts w:ascii="黑体" w:hAnsi="黑体" w:eastAsia="黑体" w:cs="Helvetica"/>
          <w:b/>
          <w:color w:val="000000" w:themeColor="text1"/>
          <w:kern w:val="0"/>
          <w:sz w:val="28"/>
          <w:szCs w:val="28"/>
        </w:rPr>
      </w:pPr>
      <w:bookmarkStart w:id="24" w:name="_Toc203057692"/>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.1</w:t>
      </w:r>
      <w:r>
        <w:rPr>
          <w:rFonts w:ascii="黑体" w:hAnsi="黑体" w:eastAsia="黑体" w:cs="Helvetica"/>
          <w:b/>
          <w:color w:val="000000" w:themeColor="text1"/>
          <w:kern w:val="0"/>
          <w:sz w:val="28"/>
          <w:szCs w:val="28"/>
        </w:rPr>
        <w:t xml:space="preserve"> </w:t>
      </w:r>
      <w:r>
        <w:rPr>
          <w:rFonts w:hint="eastAsia" w:ascii="黑体" w:hAnsi="黑体" w:eastAsia="黑体" w:cs="Helvetica"/>
          <w:b/>
          <w:color w:val="000000" w:themeColor="text1"/>
          <w:kern w:val="0"/>
          <w:sz w:val="28"/>
          <w:szCs w:val="28"/>
        </w:rPr>
        <w:t>日本</w:t>
      </w:r>
      <w:bookmarkEnd w:id="24"/>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612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4310" cy="246126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2.3-1日本</w:t>
      </w:r>
      <w:r>
        <w:rPr>
          <w:rFonts w:hint="eastAsia" w:asciiTheme="minorEastAsia" w:hAnsiTheme="minorEastAsia" w:eastAsiaTheme="minorEastAsia"/>
          <w:b/>
          <w:bCs/>
          <w:sz w:val="24"/>
        </w:rPr>
        <w:t>一次性环保餐具领域相关专利申请趋势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日本一次性环保餐具领域</w:t>
      </w:r>
      <w:r>
        <w:rPr>
          <w:rFonts w:asciiTheme="minorEastAsia" w:hAnsiTheme="minorEastAsia" w:eastAsiaTheme="minorEastAsia"/>
        </w:rPr>
        <w:t>相关专利文献234</w:t>
      </w:r>
      <w:r>
        <w:rPr>
          <w:rFonts w:hint="eastAsia" w:asciiTheme="minorEastAsia" w:hAnsiTheme="minorEastAsia" w:eastAsiaTheme="minorEastAsia"/>
        </w:rPr>
        <w:t>件</w:t>
      </w:r>
      <w:r>
        <w:rPr>
          <w:rFonts w:asciiTheme="minorEastAsia" w:hAnsiTheme="minorEastAsia" w:eastAsiaTheme="minorEastAsia"/>
        </w:rPr>
        <w:t>，</w:t>
      </w:r>
      <w:r>
        <w:rPr>
          <w:rFonts w:hint="eastAsia" w:asciiTheme="minorEastAsia" w:hAnsiTheme="minorEastAsia" w:eastAsiaTheme="minorEastAsia"/>
        </w:rPr>
        <w:t>日本在一次性环保餐具领域的专利申请开始较早，在2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世纪初就在该领域申请了一定数量的专利。过去十年，受人们环保意识以及相关环保政策的影响，日本在一次性环保餐具领域的专利申请数量呈现出逐渐增加的趋势，</w:t>
      </w:r>
      <w:r>
        <w:rPr>
          <w:rFonts w:asciiTheme="minorEastAsia" w:hAnsiTheme="minorEastAsia" w:eastAsiaTheme="minorEastAsia"/>
        </w:rPr>
        <w:t>2020</w:t>
      </w:r>
      <w:r>
        <w:rPr>
          <w:rFonts w:hint="eastAsia" w:asciiTheme="minorEastAsia" w:hAnsiTheme="minorEastAsia" w:eastAsiaTheme="minorEastAsia"/>
        </w:rPr>
        <w:t>年年专利申请数量达到最大值1</w:t>
      </w:r>
      <w:r>
        <w:rPr>
          <w:rFonts w:asciiTheme="minorEastAsia" w:hAnsiTheme="minorEastAsia" w:eastAsiaTheme="minorEastAsia"/>
        </w:rPr>
        <w:t>8</w:t>
      </w:r>
      <w:r>
        <w:rPr>
          <w:rFonts w:hint="eastAsia" w:asciiTheme="minorEastAsia" w:hAnsiTheme="minorEastAsia" w:eastAsiaTheme="minorEastAsia"/>
        </w:rPr>
        <w:t>件，此后受经济环境的影响，年专利申请数量出现了一定的下降</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9387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293878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2.3-2日本</w:t>
      </w:r>
      <w:r>
        <w:rPr>
          <w:rFonts w:hint="eastAsia" w:asciiTheme="minorEastAsia" w:hAnsiTheme="minorEastAsia" w:eastAsiaTheme="minorEastAsia"/>
          <w:b/>
          <w:bCs/>
          <w:sz w:val="24"/>
        </w:rPr>
        <w:t>一次性环保餐具领域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由图2.3-2可以看出，目前</w:t>
      </w:r>
      <w:r>
        <w:rPr>
          <w:rFonts w:hint="eastAsia" w:asciiTheme="minorEastAsia" w:hAnsiTheme="minorEastAsia" w:eastAsiaTheme="minorEastAsia"/>
        </w:rPr>
        <w:t>日本在一次性环保餐具领域的专利申请类型中，发明专利</w:t>
      </w:r>
      <w:r>
        <w:rPr>
          <w:rFonts w:asciiTheme="minorEastAsia" w:hAnsiTheme="minorEastAsia" w:eastAsiaTheme="minorEastAsia"/>
        </w:rPr>
        <w:t>占比</w:t>
      </w:r>
      <w:r>
        <w:rPr>
          <w:rFonts w:hint="eastAsia" w:asciiTheme="minorEastAsia" w:hAnsiTheme="minorEastAsia" w:eastAsiaTheme="minorEastAsia"/>
        </w:rPr>
        <w:t>高达</w:t>
      </w:r>
      <w:r>
        <w:rPr>
          <w:rFonts w:asciiTheme="minorEastAsia" w:hAnsiTheme="minorEastAsia" w:eastAsiaTheme="minorEastAsia"/>
        </w:rPr>
        <w:t>74.77</w:t>
      </w:r>
      <w:r>
        <w:rPr>
          <w:rFonts w:hint="eastAsia" w:asciiTheme="minorEastAsia" w:hAnsiTheme="minorEastAsia" w:eastAsiaTheme="minorEastAsia"/>
        </w:rPr>
        <w:t>%。其中授权发明专利占比为</w:t>
      </w:r>
      <w:r>
        <w:rPr>
          <w:rFonts w:asciiTheme="minorEastAsia" w:hAnsiTheme="minorEastAsia" w:eastAsiaTheme="minorEastAsia"/>
        </w:rPr>
        <w:t>22.64</w:t>
      </w:r>
      <w:r>
        <w:rPr>
          <w:rFonts w:hint="eastAsia" w:asciiTheme="minorEastAsia" w:hAnsiTheme="minorEastAsia" w:eastAsiaTheme="minorEastAsia"/>
        </w:rPr>
        <w:t>%，发明申请占比为</w:t>
      </w:r>
      <w:r>
        <w:rPr>
          <w:rFonts w:asciiTheme="minorEastAsia" w:hAnsiTheme="minorEastAsia" w:eastAsiaTheme="minorEastAsia"/>
        </w:rPr>
        <w:t>52.13%</w:t>
      </w:r>
      <w:r>
        <w:rPr>
          <w:rFonts w:hint="eastAsia" w:asciiTheme="minorEastAsia" w:hAnsiTheme="minorEastAsia" w:eastAsiaTheme="minorEastAsia"/>
        </w:rPr>
        <w:t>。可见，日本在一次性环保餐具领域的专利申请技术创新性较高。</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1870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4310" cy="318706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2.3-3日本</w:t>
      </w:r>
      <w:r>
        <w:rPr>
          <w:rFonts w:hint="eastAsia" w:asciiTheme="minorEastAsia" w:hAnsiTheme="minorEastAsia" w:eastAsiaTheme="minorEastAsia"/>
          <w:b/>
          <w:bCs/>
          <w:sz w:val="24"/>
        </w:rPr>
        <w:t>一次性环保餐具领域相关专利法律状态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2.3-3</w:t>
      </w:r>
      <w:r>
        <w:rPr>
          <w:rFonts w:hint="eastAsia" w:asciiTheme="minorEastAsia" w:hAnsiTheme="minorEastAsia" w:eastAsiaTheme="minorEastAsia"/>
        </w:rPr>
        <w:t>可以看出，日本一次性环保餐具领域的专利申请中，有</w:t>
      </w:r>
      <w:r>
        <w:rPr>
          <w:rFonts w:asciiTheme="minorEastAsia" w:hAnsiTheme="minorEastAsia" w:eastAsiaTheme="minorEastAsia"/>
        </w:rPr>
        <w:t>25.21%</w:t>
      </w:r>
      <w:r>
        <w:rPr>
          <w:rFonts w:hint="eastAsia" w:asciiTheme="minorEastAsia" w:hAnsiTheme="minorEastAsia" w:eastAsiaTheme="minorEastAsia"/>
        </w:rPr>
        <w:t>的专利撤回，有</w:t>
      </w:r>
      <w:r>
        <w:rPr>
          <w:rFonts w:asciiTheme="minorEastAsia" w:hAnsiTheme="minorEastAsia" w:eastAsiaTheme="minorEastAsia"/>
        </w:rPr>
        <w:t>24.78%</w:t>
      </w:r>
      <w:r>
        <w:rPr>
          <w:rFonts w:hint="eastAsia" w:asciiTheme="minorEastAsia" w:hAnsiTheme="minorEastAsia" w:eastAsiaTheme="minorEastAsia"/>
        </w:rPr>
        <w:t>的专利未缴年费，有1</w:t>
      </w:r>
      <w:r>
        <w:rPr>
          <w:rFonts w:asciiTheme="minorEastAsia" w:hAnsiTheme="minorEastAsia" w:eastAsiaTheme="minorEastAsia"/>
        </w:rPr>
        <w:t>8.37</w:t>
      </w:r>
      <w:r>
        <w:rPr>
          <w:rFonts w:hint="eastAsia" w:asciiTheme="minorEastAsia" w:hAnsiTheme="minorEastAsia" w:eastAsiaTheme="minorEastAsia"/>
        </w:rPr>
        <w:t>的专利驳回，有2</w:t>
      </w:r>
      <w:r>
        <w:rPr>
          <w:rFonts w:asciiTheme="minorEastAsia" w:hAnsiTheme="minorEastAsia" w:eastAsiaTheme="minorEastAsia"/>
        </w:rPr>
        <w:t>0.94%</w:t>
      </w:r>
      <w:r>
        <w:rPr>
          <w:rFonts w:hint="eastAsia" w:asciiTheme="minorEastAsia" w:hAnsiTheme="minorEastAsia" w:eastAsiaTheme="minorEastAsia"/>
        </w:rPr>
        <w:t>的专利授权。可见，日本在一次性环保餐具领域的专利大多都已经失效，失效的原因主要是撤回和未缴年费。</w:t>
      </w:r>
    </w:p>
    <w:p>
      <w:pPr>
        <w:ind w:firstLine="562"/>
        <w:outlineLvl w:val="2"/>
        <w:rPr>
          <w:rFonts w:ascii="黑体" w:hAnsi="黑体" w:eastAsia="黑体" w:cs="Helvetica"/>
          <w:b/>
          <w:color w:val="000000" w:themeColor="text1"/>
          <w:kern w:val="0"/>
          <w:sz w:val="28"/>
          <w:szCs w:val="28"/>
        </w:rPr>
      </w:pPr>
      <w:bookmarkStart w:id="25" w:name="_Toc203057693"/>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2 </w:t>
      </w:r>
      <w:r>
        <w:rPr>
          <w:rFonts w:hint="eastAsia" w:ascii="黑体" w:hAnsi="黑体" w:eastAsia="黑体" w:cs="Helvetica"/>
          <w:b/>
          <w:color w:val="000000" w:themeColor="text1"/>
          <w:kern w:val="0"/>
          <w:sz w:val="28"/>
          <w:szCs w:val="28"/>
        </w:rPr>
        <w:t>韩国</w:t>
      </w:r>
      <w:bookmarkEnd w:id="25"/>
    </w:p>
    <w:p>
      <w:pPr>
        <w:ind w:firstLine="482"/>
        <w:rPr>
          <w:rFonts w:asciiTheme="minorEastAsia" w:hAnsiTheme="minorEastAsia" w:eastAsiaTheme="minorEastAsia"/>
          <w:b/>
          <w:bCs/>
          <w:color w:val="000000" w:themeColor="text1"/>
        </w:rPr>
      </w:pPr>
      <w:r>
        <w:rPr>
          <w:rFonts w:asciiTheme="minorEastAsia" w:hAnsiTheme="minorEastAsia" w:eastAsiaTheme="minorEastAsia"/>
          <w:b/>
          <w:bCs/>
          <w:color w:val="000000" w:themeColor="text1"/>
        </w:rPr>
        <w:t>1.</w:t>
      </w:r>
      <w:r>
        <w:rPr>
          <w:rFonts w:hint="eastAsia" w:asciiTheme="minorEastAsia" w:hAnsiTheme="minorEastAsia" w:eastAsiaTheme="minorEastAsia"/>
          <w:b/>
          <w:bCs/>
          <w:color w:val="000000" w:themeColor="text1"/>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377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274310" cy="243776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2.3-4韩国</w:t>
      </w:r>
      <w:r>
        <w:rPr>
          <w:rFonts w:hint="eastAsia" w:asciiTheme="minorEastAsia" w:hAnsiTheme="minorEastAsia" w:eastAsiaTheme="minorEastAsia"/>
          <w:b/>
          <w:bCs/>
          <w:sz w:val="24"/>
        </w:rPr>
        <w:t>一次性环保餐具领域相关专利申请趋势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韩国一次性环保餐具领域</w:t>
      </w:r>
      <w:r>
        <w:rPr>
          <w:rFonts w:asciiTheme="minorEastAsia" w:hAnsiTheme="minorEastAsia" w:eastAsiaTheme="minorEastAsia"/>
        </w:rPr>
        <w:t>相关专利文献166</w:t>
      </w:r>
      <w:r>
        <w:rPr>
          <w:rFonts w:hint="eastAsia" w:asciiTheme="minorEastAsia" w:hAnsiTheme="minorEastAsia" w:eastAsiaTheme="minorEastAsia"/>
        </w:rPr>
        <w:t>件</w:t>
      </w:r>
      <w:r>
        <w:rPr>
          <w:rFonts w:asciiTheme="minorEastAsia" w:hAnsiTheme="minorEastAsia" w:eastAsiaTheme="minorEastAsia"/>
        </w:rPr>
        <w:t>，</w:t>
      </w:r>
      <w:r>
        <w:rPr>
          <w:rFonts w:hint="eastAsia" w:asciiTheme="minorEastAsia" w:hAnsiTheme="minorEastAsia" w:eastAsiaTheme="minorEastAsia"/>
        </w:rPr>
        <w:t>韩国在一次性环保餐具领域的专利申请开始较早，在2</w:t>
      </w:r>
      <w:r>
        <w:rPr>
          <w:rFonts w:asciiTheme="minorEastAsia" w:hAnsiTheme="minorEastAsia" w:eastAsiaTheme="minorEastAsia"/>
        </w:rPr>
        <w:t>1</w:t>
      </w:r>
      <w:r>
        <w:rPr>
          <w:rFonts w:hint="eastAsia" w:asciiTheme="minorEastAsia" w:hAnsiTheme="minorEastAsia" w:eastAsiaTheme="minorEastAsia"/>
        </w:rPr>
        <w:t>世纪初就在该领域申请了较多的专利。近几年，韩国在一次性环保餐具领域的年专利申请数量总体比较稳定，年专利申请数量维持在7件左右</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0232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4310" cy="302323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2.3-5 </w:t>
      </w:r>
      <w:r>
        <w:rPr>
          <w:rFonts w:hint="eastAsia" w:asciiTheme="minorEastAsia" w:hAnsiTheme="minorEastAsia" w:eastAsiaTheme="minorEastAsia"/>
          <w:b/>
          <w:bCs/>
          <w:sz w:val="24"/>
        </w:rPr>
        <w:t>韩国一次性环保餐具领域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由图2.3-5可以看出，目前</w:t>
      </w:r>
      <w:r>
        <w:rPr>
          <w:rFonts w:hint="eastAsia" w:asciiTheme="minorEastAsia" w:hAnsiTheme="minorEastAsia" w:eastAsiaTheme="minorEastAsia"/>
        </w:rPr>
        <w:t>，韩国在一次性环保餐具领域的专利申请类型主要以发明专利为主</w:t>
      </w:r>
      <w:r>
        <w:rPr>
          <w:rFonts w:asciiTheme="minorEastAsia" w:hAnsiTheme="minorEastAsia" w:eastAsiaTheme="minorEastAsia"/>
        </w:rPr>
        <w:t>，占比</w:t>
      </w:r>
      <w:r>
        <w:rPr>
          <w:rFonts w:hint="eastAsia" w:asciiTheme="minorEastAsia" w:hAnsiTheme="minorEastAsia" w:eastAsiaTheme="minorEastAsia"/>
        </w:rPr>
        <w:t>高达</w:t>
      </w:r>
      <w:r>
        <w:rPr>
          <w:rFonts w:asciiTheme="minorEastAsia" w:hAnsiTheme="minorEastAsia" w:eastAsiaTheme="minorEastAsia"/>
        </w:rPr>
        <w:t>72.28</w:t>
      </w:r>
      <w:r>
        <w:rPr>
          <w:rFonts w:hint="eastAsia" w:asciiTheme="minorEastAsia" w:hAnsiTheme="minorEastAsia" w:eastAsiaTheme="minorEastAsia"/>
        </w:rPr>
        <w:t>%，其中授权发明专利占比为</w:t>
      </w:r>
      <w:r>
        <w:rPr>
          <w:rFonts w:asciiTheme="minorEastAsia" w:hAnsiTheme="minorEastAsia" w:eastAsiaTheme="minorEastAsia"/>
        </w:rPr>
        <w:t>29.51</w:t>
      </w:r>
      <w:r>
        <w:rPr>
          <w:rFonts w:hint="eastAsia" w:asciiTheme="minorEastAsia" w:hAnsiTheme="minorEastAsia" w:eastAsiaTheme="minorEastAsia"/>
        </w:rPr>
        <w:t>%。可见韩国在一次性环保餐具领域专利申请的技术先进性是比较高的。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1076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274310" cy="310769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2.3-6 </w:t>
      </w:r>
      <w:r>
        <w:rPr>
          <w:rFonts w:hint="eastAsia" w:asciiTheme="minorEastAsia" w:hAnsiTheme="minorEastAsia" w:eastAsiaTheme="minorEastAsia"/>
          <w:b/>
          <w:bCs/>
          <w:sz w:val="24"/>
        </w:rPr>
        <w:t>韩国一次性环保餐具领域相关专利法律状态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2.3-6</w:t>
      </w:r>
      <w:r>
        <w:rPr>
          <w:rFonts w:hint="eastAsia" w:asciiTheme="minorEastAsia" w:hAnsiTheme="minorEastAsia" w:eastAsiaTheme="minorEastAsia"/>
        </w:rPr>
        <w:t>可以看出，韩国一次性环保餐具领域的专利申请中，</w:t>
      </w:r>
      <w:bookmarkStart w:id="26" w:name="OLE_LINK5"/>
      <w:r>
        <w:rPr>
          <w:rFonts w:hint="eastAsia" w:asciiTheme="minorEastAsia" w:hAnsiTheme="minorEastAsia" w:eastAsiaTheme="minorEastAsia"/>
        </w:rPr>
        <w:t>有</w:t>
      </w:r>
      <w:r>
        <w:rPr>
          <w:rFonts w:asciiTheme="minorEastAsia" w:hAnsiTheme="minorEastAsia" w:eastAsiaTheme="minorEastAsia"/>
        </w:rPr>
        <w:t>29.51%</w:t>
      </w:r>
      <w:r>
        <w:rPr>
          <w:rFonts w:hint="eastAsia" w:asciiTheme="minorEastAsia" w:hAnsiTheme="minorEastAsia" w:eastAsiaTheme="minorEastAsia"/>
        </w:rPr>
        <w:t>的专利未缴年费，有</w:t>
      </w:r>
      <w:r>
        <w:rPr>
          <w:rFonts w:asciiTheme="minorEastAsia" w:hAnsiTheme="minorEastAsia" w:eastAsiaTheme="minorEastAsia"/>
        </w:rPr>
        <w:t>12.04%</w:t>
      </w:r>
      <w:r>
        <w:rPr>
          <w:rFonts w:hint="eastAsia" w:asciiTheme="minorEastAsia" w:hAnsiTheme="minorEastAsia" w:eastAsiaTheme="minorEastAsia"/>
        </w:rPr>
        <w:t>的专利被撤回，有</w:t>
      </w:r>
      <w:r>
        <w:rPr>
          <w:rFonts w:asciiTheme="minorEastAsia" w:hAnsiTheme="minorEastAsia" w:eastAsiaTheme="minorEastAsia"/>
        </w:rPr>
        <w:t>21.08%</w:t>
      </w:r>
      <w:r>
        <w:rPr>
          <w:rFonts w:hint="eastAsia" w:asciiTheme="minorEastAsia" w:hAnsiTheme="minorEastAsia" w:eastAsiaTheme="minorEastAsia"/>
        </w:rPr>
        <w:t>的专利被驳回，有</w:t>
      </w:r>
      <w:r>
        <w:rPr>
          <w:rFonts w:asciiTheme="minorEastAsia" w:hAnsiTheme="minorEastAsia" w:eastAsiaTheme="minorEastAsia"/>
        </w:rPr>
        <w:t>15.06%</w:t>
      </w:r>
      <w:r>
        <w:rPr>
          <w:rFonts w:hint="eastAsia" w:asciiTheme="minorEastAsia" w:hAnsiTheme="minorEastAsia" w:eastAsiaTheme="minorEastAsia"/>
        </w:rPr>
        <w:t>的专利维持授权状态。</w:t>
      </w:r>
      <w:bookmarkEnd w:id="26"/>
      <w:r>
        <w:rPr>
          <w:rFonts w:hint="eastAsia" w:asciiTheme="minorEastAsia" w:hAnsiTheme="minorEastAsia" w:eastAsiaTheme="minorEastAsia"/>
        </w:rPr>
        <w:t>可见，韩国在一次性环保餐具领域的专利大多都已经失效，失效的原因主要是撤回、未缴年费、驳回等。</w:t>
      </w:r>
    </w:p>
    <w:p>
      <w:pPr>
        <w:ind w:firstLine="562"/>
        <w:outlineLvl w:val="2"/>
        <w:rPr>
          <w:rFonts w:ascii="黑体" w:hAnsi="黑体" w:eastAsia="黑体" w:cs="Helvetica"/>
          <w:b/>
          <w:color w:val="000000" w:themeColor="text1"/>
          <w:kern w:val="0"/>
          <w:sz w:val="28"/>
          <w:szCs w:val="28"/>
        </w:rPr>
      </w:pPr>
      <w:bookmarkStart w:id="27" w:name="_Toc203057694"/>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3 </w:t>
      </w:r>
      <w:r>
        <w:rPr>
          <w:rFonts w:hint="eastAsia" w:ascii="黑体" w:hAnsi="黑体" w:eastAsia="黑体" w:cs="Helvetica"/>
          <w:b/>
          <w:color w:val="000000" w:themeColor="text1"/>
          <w:kern w:val="0"/>
          <w:sz w:val="28"/>
          <w:szCs w:val="28"/>
        </w:rPr>
        <w:t>美国</w:t>
      </w:r>
      <w:bookmarkEnd w:id="27"/>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5361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253619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2.3-7 </w:t>
      </w:r>
      <w:r>
        <w:rPr>
          <w:rFonts w:hint="eastAsia" w:asciiTheme="minorEastAsia" w:hAnsiTheme="minorEastAsia" w:eastAsiaTheme="minorEastAsia"/>
          <w:b/>
          <w:bCs/>
          <w:sz w:val="24"/>
        </w:rPr>
        <w:t>美国一次性环保餐具领域相关专利申请趋势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美国一次性环保餐具领域</w:t>
      </w:r>
      <w:r>
        <w:rPr>
          <w:rFonts w:asciiTheme="minorEastAsia" w:hAnsiTheme="minorEastAsia" w:eastAsiaTheme="minorEastAsia"/>
        </w:rPr>
        <w:t>相关专利文献141</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美国在一次性环保餐具领域的年专利申请数量虽然呈现出一定的起伏波动，但总体上呈现出缓慢增加的趋势，2</w:t>
      </w:r>
      <w:r>
        <w:rPr>
          <w:rFonts w:asciiTheme="minorEastAsia" w:hAnsiTheme="minorEastAsia" w:eastAsiaTheme="minorEastAsia"/>
        </w:rPr>
        <w:t>019</w:t>
      </w:r>
      <w:r>
        <w:rPr>
          <w:rFonts w:hint="eastAsia" w:asciiTheme="minorEastAsia" w:hAnsiTheme="minorEastAsia" w:eastAsiaTheme="minorEastAsia"/>
        </w:rPr>
        <w:t>年达到历史最大值</w:t>
      </w:r>
      <w:r>
        <w:rPr>
          <w:rFonts w:asciiTheme="minorEastAsia" w:hAnsiTheme="minorEastAsia" w:eastAsiaTheme="minorEastAsia"/>
        </w:rPr>
        <w:t>10</w:t>
      </w:r>
      <w:r>
        <w:rPr>
          <w:rFonts w:hint="eastAsia" w:asciiTheme="minorEastAsia" w:hAnsiTheme="minorEastAsia" w:eastAsiaTheme="minorEastAsia"/>
        </w:rPr>
        <w:t>件。</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7920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274310" cy="2792095"/>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2.3-8 </w:t>
      </w:r>
      <w:r>
        <w:rPr>
          <w:rFonts w:hint="eastAsia" w:asciiTheme="minorEastAsia" w:hAnsiTheme="minorEastAsia" w:eastAsiaTheme="minorEastAsia"/>
          <w:b/>
          <w:bCs/>
          <w:sz w:val="24"/>
        </w:rPr>
        <w:t>美国一次性环保餐具领域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由图2.3-8可以看出，目前</w:t>
      </w:r>
      <w:r>
        <w:rPr>
          <w:rFonts w:hint="eastAsia" w:asciiTheme="minorEastAsia" w:hAnsiTheme="minorEastAsia" w:eastAsiaTheme="minorEastAsia"/>
        </w:rPr>
        <w:t>美国在一次性环保餐具领域的专利申请类型主要以发明专利为主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发明专利</w:t>
      </w:r>
      <w:r>
        <w:rPr>
          <w:rFonts w:asciiTheme="minorEastAsia" w:hAnsiTheme="minorEastAsia" w:eastAsiaTheme="minorEastAsia"/>
        </w:rPr>
        <w:t>占比</w:t>
      </w:r>
      <w:r>
        <w:rPr>
          <w:rFonts w:hint="eastAsia" w:asciiTheme="minorEastAsia" w:hAnsiTheme="minorEastAsia" w:eastAsiaTheme="minorEastAsia"/>
        </w:rPr>
        <w:t>约为</w:t>
      </w:r>
      <w:r>
        <w:rPr>
          <w:rFonts w:asciiTheme="minorEastAsia" w:hAnsiTheme="minorEastAsia" w:eastAsiaTheme="minorEastAsia"/>
        </w:rPr>
        <w:t>90.08</w:t>
      </w:r>
      <w:r>
        <w:rPr>
          <w:rFonts w:hint="eastAsia" w:asciiTheme="minorEastAsia" w:hAnsiTheme="minorEastAsia" w:eastAsiaTheme="minorEastAsia"/>
        </w:rPr>
        <w:t>%，其中授权发明专利占比为</w:t>
      </w:r>
      <w:r>
        <w:rPr>
          <w:rFonts w:asciiTheme="minorEastAsia" w:hAnsiTheme="minorEastAsia" w:eastAsiaTheme="minorEastAsia"/>
        </w:rPr>
        <w:t>53.9</w:t>
      </w:r>
      <w:r>
        <w:rPr>
          <w:rFonts w:hint="eastAsia" w:asciiTheme="minorEastAsia" w:hAnsiTheme="minorEastAsia" w:eastAsiaTheme="minorEastAsia"/>
        </w:rPr>
        <w:t>%。可以看出，美国在一次性环保餐具领域专利的技术先进性是相对较高的。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157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5274310" cy="3157220"/>
                    </a:xfrm>
                    <a:prstGeom prst="rect">
                      <a:avLst/>
                    </a:prstGeom>
                  </pic:spPr>
                </pic:pic>
              </a:graphicData>
            </a:graphic>
          </wp:inline>
        </w:drawing>
      </w:r>
    </w:p>
    <w:p>
      <w:pPr>
        <w:pStyle w:val="17"/>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2.3-9 </w:t>
      </w:r>
      <w:r>
        <w:rPr>
          <w:rFonts w:hint="eastAsia" w:asciiTheme="minorEastAsia" w:hAnsiTheme="minorEastAsia" w:eastAsiaTheme="minorEastAsia"/>
          <w:b/>
          <w:bCs/>
          <w:sz w:val="24"/>
        </w:rPr>
        <w:t>美国一次性环保餐具领域相关专利法律状态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2.3-9</w:t>
      </w:r>
      <w:r>
        <w:rPr>
          <w:rFonts w:hint="eastAsia" w:asciiTheme="minorEastAsia" w:hAnsiTheme="minorEastAsia" w:eastAsiaTheme="minorEastAsia"/>
        </w:rPr>
        <w:t>可以看出，美国一次性环保餐具领域的专利申请中，有3</w:t>
      </w:r>
      <w:r>
        <w:rPr>
          <w:rFonts w:asciiTheme="minorEastAsia" w:hAnsiTheme="minorEastAsia" w:eastAsiaTheme="minorEastAsia"/>
        </w:rPr>
        <w:t>0.49%</w:t>
      </w:r>
      <w:r>
        <w:rPr>
          <w:rFonts w:hint="eastAsia" w:asciiTheme="minorEastAsia" w:hAnsiTheme="minorEastAsia" w:eastAsiaTheme="minorEastAsia"/>
        </w:rPr>
        <w:t>的专利授权，有</w:t>
      </w:r>
      <w:r>
        <w:rPr>
          <w:rFonts w:asciiTheme="minorEastAsia" w:hAnsiTheme="minorEastAsia" w:eastAsiaTheme="minorEastAsia"/>
        </w:rPr>
        <w:t>19.14%</w:t>
      </w:r>
      <w:r>
        <w:rPr>
          <w:rFonts w:hint="eastAsia" w:asciiTheme="minorEastAsia" w:hAnsiTheme="minorEastAsia" w:eastAsiaTheme="minorEastAsia"/>
        </w:rPr>
        <w:t>的专利撤回，有</w:t>
      </w:r>
      <w:r>
        <w:rPr>
          <w:rFonts w:asciiTheme="minorEastAsia" w:hAnsiTheme="minorEastAsia" w:eastAsiaTheme="minorEastAsia"/>
        </w:rPr>
        <w:t>17.73%</w:t>
      </w:r>
      <w:r>
        <w:rPr>
          <w:rFonts w:hint="eastAsia" w:asciiTheme="minorEastAsia" w:hAnsiTheme="minorEastAsia" w:eastAsiaTheme="minorEastAsia"/>
        </w:rPr>
        <w:t>的专利期限届满，有</w:t>
      </w:r>
      <w:r>
        <w:rPr>
          <w:rFonts w:asciiTheme="minorEastAsia" w:hAnsiTheme="minorEastAsia" w:eastAsiaTheme="minorEastAsia"/>
        </w:rPr>
        <w:t>14.18%</w:t>
      </w:r>
      <w:r>
        <w:rPr>
          <w:rFonts w:hint="eastAsia" w:asciiTheme="minorEastAsia" w:hAnsiTheme="minorEastAsia" w:eastAsiaTheme="minorEastAsia"/>
        </w:rPr>
        <w:t>的专利未缴年费。可见，美国在一次性环保餐具领域的专利大多都处于失效状态。</w:t>
      </w:r>
    </w:p>
    <w:p>
      <w:pPr>
        <w:ind w:firstLine="562"/>
        <w:outlineLvl w:val="2"/>
        <w:rPr>
          <w:rFonts w:ascii="黑体" w:hAnsi="黑体" w:eastAsia="黑体" w:cs="Helvetica"/>
          <w:b/>
          <w:color w:val="000000" w:themeColor="text1"/>
          <w:kern w:val="0"/>
          <w:sz w:val="28"/>
          <w:szCs w:val="28"/>
        </w:rPr>
      </w:pPr>
      <w:bookmarkStart w:id="28" w:name="_Toc203057695"/>
      <w:r>
        <w:rPr>
          <w:rFonts w:ascii="黑体" w:hAnsi="黑体" w:eastAsia="黑体" w:cs="Helvetica"/>
          <w:b/>
          <w:color w:val="000000" w:themeColor="text1"/>
          <w:kern w:val="0"/>
          <w:sz w:val="28"/>
          <w:szCs w:val="28"/>
        </w:rPr>
        <w:t>2.3</w:t>
      </w:r>
      <w:r>
        <w:rPr>
          <w:rFonts w:hint="eastAsia" w:ascii="黑体" w:hAnsi="黑体" w:eastAsia="黑体" w:cs="Helvetica"/>
          <w:b/>
          <w:color w:val="000000" w:themeColor="text1"/>
          <w:kern w:val="0"/>
          <w:sz w:val="28"/>
          <w:szCs w:val="28"/>
        </w:rPr>
        <w:t>.</w:t>
      </w:r>
      <w:r>
        <w:rPr>
          <w:rFonts w:ascii="黑体" w:hAnsi="黑体" w:eastAsia="黑体" w:cs="Helvetica"/>
          <w:b/>
          <w:color w:val="000000" w:themeColor="text1"/>
          <w:kern w:val="0"/>
          <w:sz w:val="28"/>
          <w:szCs w:val="28"/>
        </w:rPr>
        <w:t xml:space="preserve">4 </w:t>
      </w:r>
      <w:r>
        <w:rPr>
          <w:rFonts w:hint="eastAsia" w:ascii="黑体" w:hAnsi="黑体" w:eastAsia="黑体" w:cs="Helvetica"/>
          <w:b/>
          <w:color w:val="000000" w:themeColor="text1"/>
          <w:kern w:val="0"/>
          <w:sz w:val="28"/>
          <w:szCs w:val="28"/>
        </w:rPr>
        <w:t>德国</w:t>
      </w:r>
      <w:bookmarkEnd w:id="28"/>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专利申请趋势</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24790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5274310" cy="247904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2.3-10 </w:t>
      </w:r>
      <w:r>
        <w:rPr>
          <w:rFonts w:hint="eastAsia" w:asciiTheme="minorEastAsia" w:hAnsiTheme="minorEastAsia" w:eastAsiaTheme="minorEastAsia"/>
          <w:b/>
          <w:bCs/>
          <w:sz w:val="24"/>
        </w:rPr>
        <w:t>德国一次性环保餐具领域相关专利申请趋势</w:t>
      </w:r>
    </w:p>
    <w:p>
      <w:pPr>
        <w:ind w:firstLine="480"/>
        <w:rPr>
          <w:rFonts w:asciiTheme="minorEastAsia" w:hAnsiTheme="minorEastAsia" w:eastAsiaTheme="minorEastAsia"/>
        </w:rPr>
      </w:pPr>
      <w:r>
        <w:rPr>
          <w:rFonts w:asciiTheme="minorEastAsia" w:hAnsiTheme="minorEastAsia" w:eastAsiaTheme="minorEastAsia"/>
        </w:rPr>
        <w:t>共检索到</w:t>
      </w:r>
      <w:r>
        <w:rPr>
          <w:rFonts w:hint="eastAsia" w:asciiTheme="minorEastAsia" w:hAnsiTheme="minorEastAsia" w:eastAsiaTheme="minorEastAsia"/>
        </w:rPr>
        <w:t>德国一次性环保餐具领域</w:t>
      </w:r>
      <w:r>
        <w:rPr>
          <w:rFonts w:asciiTheme="minorEastAsia" w:hAnsiTheme="minorEastAsia" w:eastAsiaTheme="minorEastAsia"/>
        </w:rPr>
        <w:t>相关专利文献72</w:t>
      </w:r>
      <w:r>
        <w:rPr>
          <w:rFonts w:hint="eastAsia" w:asciiTheme="minorEastAsia" w:hAnsiTheme="minorEastAsia" w:eastAsiaTheme="minorEastAsia"/>
        </w:rPr>
        <w:t>篇</w:t>
      </w:r>
      <w:r>
        <w:rPr>
          <w:rFonts w:asciiTheme="minorEastAsia" w:hAnsiTheme="minorEastAsia" w:eastAsiaTheme="minorEastAsia"/>
        </w:rPr>
        <w:t>，</w:t>
      </w:r>
      <w:r>
        <w:rPr>
          <w:rFonts w:hint="eastAsia" w:asciiTheme="minorEastAsia" w:hAnsiTheme="minorEastAsia" w:eastAsiaTheme="minorEastAsia"/>
        </w:rPr>
        <w:t>由图2</w:t>
      </w:r>
      <w:r>
        <w:rPr>
          <w:rFonts w:asciiTheme="minorEastAsia" w:hAnsiTheme="minorEastAsia" w:eastAsiaTheme="minorEastAsia"/>
        </w:rPr>
        <w:t>.3-10</w:t>
      </w:r>
      <w:r>
        <w:rPr>
          <w:rFonts w:hint="eastAsia" w:asciiTheme="minorEastAsia" w:hAnsiTheme="minorEastAsia" w:eastAsiaTheme="minorEastAsia"/>
        </w:rPr>
        <w:t>可以看出，德国在一次性环保餐具领域的年专利申请数量较少，且不同年份起伏较大</w:t>
      </w:r>
      <w:r>
        <w:rPr>
          <w:rFonts w:asciiTheme="minorEastAsia" w:hAnsiTheme="minorEastAsia" w:eastAsiaTheme="minorEastAsia"/>
        </w:rPr>
        <w:t>。</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专利类型</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3153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5274310" cy="331533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2.3-11 </w:t>
      </w:r>
      <w:r>
        <w:rPr>
          <w:rFonts w:hint="eastAsia" w:asciiTheme="minorEastAsia" w:hAnsiTheme="minorEastAsia" w:eastAsiaTheme="minorEastAsia"/>
          <w:b/>
          <w:bCs/>
          <w:sz w:val="24"/>
        </w:rPr>
        <w:t>德国一次性环保餐具领域</w:t>
      </w:r>
      <w:r>
        <w:rPr>
          <w:rFonts w:asciiTheme="minorEastAsia" w:hAnsiTheme="minorEastAsia" w:eastAsiaTheme="minorEastAsia"/>
          <w:b/>
          <w:bCs/>
          <w:sz w:val="24"/>
        </w:rPr>
        <w:t>相关专利申请类型</w:t>
      </w:r>
    </w:p>
    <w:p>
      <w:pPr>
        <w:ind w:firstLine="480"/>
        <w:rPr>
          <w:rFonts w:asciiTheme="minorEastAsia" w:hAnsiTheme="minorEastAsia" w:eastAsiaTheme="minorEastAsia"/>
        </w:rPr>
      </w:pPr>
      <w:r>
        <w:rPr>
          <w:rFonts w:asciiTheme="minorEastAsia" w:hAnsiTheme="minorEastAsia" w:eastAsiaTheme="minorEastAsia"/>
        </w:rPr>
        <w:t>由图2.3-11可以看出，目前</w:t>
      </w:r>
      <w:r>
        <w:rPr>
          <w:rFonts w:hint="eastAsia" w:asciiTheme="minorEastAsia" w:hAnsiTheme="minorEastAsia" w:eastAsiaTheme="minorEastAsia"/>
        </w:rPr>
        <w:t>德国在一次性环保餐具领域的专利申请类型主要以发明专利为主</w:t>
      </w:r>
      <w:r>
        <w:rPr>
          <w:rFonts w:asciiTheme="minorEastAsia" w:hAnsiTheme="minorEastAsia" w:eastAsiaTheme="minorEastAsia"/>
        </w:rPr>
        <w:t>，</w:t>
      </w:r>
      <w:r>
        <w:rPr>
          <w:rFonts w:hint="eastAsia" w:asciiTheme="minorEastAsia" w:hAnsiTheme="minorEastAsia" w:eastAsiaTheme="minorEastAsia"/>
        </w:rPr>
        <w:t>发明专利</w:t>
      </w:r>
      <w:r>
        <w:rPr>
          <w:rFonts w:asciiTheme="minorEastAsia" w:hAnsiTheme="minorEastAsia" w:eastAsiaTheme="minorEastAsia"/>
        </w:rPr>
        <w:t>占比</w:t>
      </w:r>
      <w:r>
        <w:rPr>
          <w:rFonts w:hint="eastAsia" w:asciiTheme="minorEastAsia" w:hAnsiTheme="minorEastAsia" w:eastAsiaTheme="minorEastAsia"/>
        </w:rPr>
        <w:t>为</w:t>
      </w:r>
      <w:r>
        <w:rPr>
          <w:rFonts w:asciiTheme="minorEastAsia" w:hAnsiTheme="minorEastAsia" w:eastAsiaTheme="minorEastAsia"/>
        </w:rPr>
        <w:t>56.93</w:t>
      </w:r>
      <w:r>
        <w:rPr>
          <w:rFonts w:hint="eastAsia" w:asciiTheme="minorEastAsia" w:hAnsiTheme="minorEastAsia" w:eastAsiaTheme="minorEastAsia"/>
        </w:rPr>
        <w:t>%，其中授权发明专利占比为</w:t>
      </w:r>
      <w:r>
        <w:rPr>
          <w:rFonts w:asciiTheme="minorEastAsia" w:hAnsiTheme="minorEastAsia" w:eastAsiaTheme="minorEastAsia"/>
        </w:rPr>
        <w:t>26.38</w:t>
      </w:r>
      <w:r>
        <w:rPr>
          <w:rFonts w:hint="eastAsia" w:asciiTheme="minorEastAsia" w:hAnsiTheme="minorEastAsia" w:eastAsiaTheme="minorEastAsia"/>
        </w:rPr>
        <w:t>%。实用新型专利占比相对较少，为3</w:t>
      </w:r>
      <w:r>
        <w:rPr>
          <w:rFonts w:asciiTheme="minorEastAsia" w:hAnsiTheme="minorEastAsia" w:eastAsiaTheme="minorEastAsia"/>
        </w:rPr>
        <w:t>1.94%</w:t>
      </w:r>
      <w:r>
        <w:rPr>
          <w:rFonts w:hint="eastAsia" w:asciiTheme="minorEastAsia" w:hAnsiTheme="minorEastAsia" w:eastAsiaTheme="minorEastAsia"/>
        </w:rPr>
        <w:t>。可以看出，德国在一次性环保餐具领域专利的技术先进性是相对较高的。</w:t>
      </w:r>
    </w:p>
    <w:p>
      <w:pPr>
        <w:ind w:firstLine="482"/>
        <w:rPr>
          <w:rFonts w:asciiTheme="minorEastAsia" w:hAnsiTheme="minorEastAsia" w:eastAsiaTheme="minorEastAsia"/>
          <w:b/>
          <w:bCs/>
        </w:rPr>
      </w:pPr>
      <w:r>
        <w:rPr>
          <w:rFonts w:asciiTheme="minorEastAsia" w:hAnsiTheme="minorEastAsia" w:eastAsiaTheme="minorEastAsia"/>
          <w:b/>
          <w:bCs/>
        </w:rPr>
        <w:t>3.</w:t>
      </w:r>
      <w:r>
        <w:rPr>
          <w:rFonts w:hint="eastAsia" w:asciiTheme="minorEastAsia" w:hAnsiTheme="minorEastAsia" w:eastAsiaTheme="minorEastAsia"/>
          <w:b/>
          <w:bCs/>
        </w:rPr>
        <w:t>专利法律状态</w:t>
      </w:r>
    </w:p>
    <w:p>
      <w:pPr>
        <w:ind w:firstLine="0" w:firstLineChars="0"/>
        <w:jc w:val="center"/>
        <w:rPr>
          <w:rFonts w:asciiTheme="minorEastAsia" w:hAnsiTheme="minorEastAsia" w:eastAsiaTheme="minorEastAsia"/>
        </w:rPr>
      </w:pPr>
      <w:r>
        <w:rPr>
          <w:rFonts w:asciiTheme="minorEastAsia" w:hAnsiTheme="minorEastAsia" w:eastAsiaTheme="minorEastAsia"/>
        </w:rPr>
        <w:drawing>
          <wp:inline distT="0" distB="0" distL="0" distR="0">
            <wp:extent cx="5274310" cy="30435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74310" cy="304355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2.3-12 </w:t>
      </w:r>
      <w:r>
        <w:rPr>
          <w:rFonts w:hint="eastAsia" w:asciiTheme="minorEastAsia" w:hAnsiTheme="minorEastAsia" w:eastAsiaTheme="minorEastAsia"/>
          <w:b/>
          <w:bCs/>
          <w:sz w:val="24"/>
        </w:rPr>
        <w:t>德国一次性环保餐具领域相关专利法律状态</w:t>
      </w:r>
    </w:p>
    <w:p>
      <w:pPr>
        <w:ind w:firstLine="480"/>
        <w:rPr>
          <w:rFonts w:asciiTheme="minorEastAsia" w:hAnsiTheme="minorEastAsia" w:eastAsiaTheme="minorEastAsia"/>
        </w:rPr>
      </w:pPr>
      <w:r>
        <w:rPr>
          <w:rFonts w:hint="eastAsia" w:asciiTheme="minorEastAsia" w:hAnsiTheme="minorEastAsia" w:eastAsiaTheme="minorEastAsia"/>
        </w:rPr>
        <w:t>从图</w:t>
      </w:r>
      <w:r>
        <w:rPr>
          <w:rFonts w:asciiTheme="minorEastAsia" w:hAnsiTheme="minorEastAsia" w:eastAsiaTheme="minorEastAsia"/>
        </w:rPr>
        <w:t>2.3-12</w:t>
      </w:r>
      <w:r>
        <w:rPr>
          <w:rFonts w:hint="eastAsia" w:asciiTheme="minorEastAsia" w:hAnsiTheme="minorEastAsia" w:eastAsiaTheme="minorEastAsia"/>
        </w:rPr>
        <w:t>可以看出，德国一次性环保餐具领域的专利申请中，有</w:t>
      </w:r>
      <w:r>
        <w:rPr>
          <w:rFonts w:asciiTheme="minorEastAsia" w:hAnsiTheme="minorEastAsia" w:eastAsiaTheme="minorEastAsia"/>
        </w:rPr>
        <w:t>41.66%</w:t>
      </w:r>
      <w:r>
        <w:rPr>
          <w:rFonts w:hint="eastAsia" w:asciiTheme="minorEastAsia" w:hAnsiTheme="minorEastAsia" w:eastAsiaTheme="minorEastAsia"/>
        </w:rPr>
        <w:t>的专利未缴年费，有</w:t>
      </w:r>
      <w:r>
        <w:rPr>
          <w:rFonts w:asciiTheme="minorEastAsia" w:hAnsiTheme="minorEastAsia" w:eastAsiaTheme="minorEastAsia"/>
        </w:rPr>
        <w:t>20.83%</w:t>
      </w:r>
      <w:r>
        <w:rPr>
          <w:rFonts w:hint="eastAsia" w:asciiTheme="minorEastAsia" w:hAnsiTheme="minorEastAsia" w:eastAsiaTheme="minorEastAsia"/>
        </w:rPr>
        <w:t>的专利期限届满，有</w:t>
      </w:r>
      <w:r>
        <w:rPr>
          <w:rFonts w:asciiTheme="minorEastAsia" w:hAnsiTheme="minorEastAsia" w:eastAsiaTheme="minorEastAsia"/>
        </w:rPr>
        <w:t>19.44%</w:t>
      </w:r>
      <w:r>
        <w:rPr>
          <w:rFonts w:hint="eastAsia" w:asciiTheme="minorEastAsia" w:hAnsiTheme="minorEastAsia" w:eastAsiaTheme="minorEastAsia"/>
        </w:rPr>
        <w:t>的专利被撤回，仅有</w:t>
      </w:r>
      <w:r>
        <w:rPr>
          <w:rFonts w:asciiTheme="minorEastAsia" w:hAnsiTheme="minorEastAsia" w:eastAsiaTheme="minorEastAsia"/>
        </w:rPr>
        <w:t>11.11%</w:t>
      </w:r>
      <w:r>
        <w:rPr>
          <w:rFonts w:hint="eastAsia" w:asciiTheme="minorEastAsia" w:hAnsiTheme="minorEastAsia" w:eastAsiaTheme="minorEastAsia"/>
        </w:rPr>
        <w:t>的专利处于授权状态。可以看出得到德国在一次性环保餐具领域的大部分专利都已失效。</w:t>
      </w:r>
    </w:p>
    <w:p>
      <w:pPr>
        <w:ind w:firstLine="562"/>
        <w:outlineLvl w:val="1"/>
        <w:rPr>
          <w:rFonts w:ascii="黑体" w:hAnsi="黑体" w:eastAsia="黑体"/>
          <w:b/>
          <w:bCs/>
          <w:sz w:val="28"/>
          <w:szCs w:val="28"/>
        </w:rPr>
      </w:pPr>
      <w:bookmarkStart w:id="29" w:name="_Toc203057696"/>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4</w:t>
      </w:r>
      <w:r>
        <w:rPr>
          <w:rFonts w:hint="eastAsia" w:ascii="黑体" w:hAnsi="黑体" w:eastAsia="黑体"/>
          <w:b/>
          <w:bCs/>
          <w:sz w:val="28"/>
          <w:szCs w:val="28"/>
        </w:rPr>
        <w:t xml:space="preserve"> 重点企业知识产权竞争态势</w:t>
      </w:r>
      <w:bookmarkEnd w:id="29"/>
    </w:p>
    <w:p>
      <w:pPr>
        <w:ind w:firstLine="0" w:firstLineChars="0"/>
      </w:pPr>
      <w:r>
        <w:drawing>
          <wp:inline distT="0" distB="0" distL="0" distR="0">
            <wp:extent cx="5274310" cy="2447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74310" cy="244792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2.4-1 </w:t>
      </w:r>
      <w:r>
        <w:rPr>
          <w:rFonts w:hint="eastAsia" w:asciiTheme="minorEastAsia" w:hAnsiTheme="minorEastAsia" w:eastAsiaTheme="minorEastAsia"/>
          <w:b/>
          <w:bCs/>
          <w:sz w:val="24"/>
        </w:rPr>
        <w:t>全球一次性环保餐具领域主要专利申请人</w:t>
      </w:r>
    </w:p>
    <w:p>
      <w:pPr>
        <w:ind w:firstLine="480"/>
      </w:pPr>
      <w:r>
        <w:rPr>
          <w:rFonts w:hint="eastAsia"/>
        </w:rPr>
        <w:t>排在前十位的专利申请人依次为</w:t>
      </w:r>
      <w:r>
        <w:t>广西福斯派环保科技有限公司</w:t>
      </w:r>
      <w:r>
        <w:rPr>
          <w:rFonts w:hint="eastAsia"/>
        </w:rPr>
        <w:t>、</w:t>
      </w:r>
      <w:r>
        <w:t>远东中乾(厦门)科技集团股份公司</w:t>
      </w:r>
      <w:r>
        <w:rPr>
          <w:rFonts w:hint="eastAsia"/>
        </w:rPr>
        <w:t>、</w:t>
      </w:r>
      <w:r>
        <w:t>沙伯特(中山)有限公司</w:t>
      </w:r>
      <w:r>
        <w:rPr>
          <w:rFonts w:hint="eastAsia"/>
        </w:rPr>
        <w:t>、</w:t>
      </w:r>
      <w:r>
        <w:t>富岭科技股份有限公司</w:t>
      </w:r>
      <w:r>
        <w:rPr>
          <w:rFonts w:hint="eastAsia"/>
        </w:rPr>
        <w:t>、</w:t>
      </w:r>
      <w:r>
        <w:t>韶能集团广东绿洲生态科技有限公司</w:t>
      </w:r>
      <w:r>
        <w:rPr>
          <w:rFonts w:hint="eastAsia"/>
        </w:rPr>
        <w:t>、</w:t>
      </w:r>
      <w:r>
        <w:t>浙江家得宝科技股份有限公司</w:t>
      </w:r>
      <w:r>
        <w:rPr>
          <w:rFonts w:hint="eastAsia"/>
        </w:rPr>
        <w:t>、</w:t>
      </w:r>
      <w:r>
        <w:t>浙江众鑫环保科技集团股份有限公司</w:t>
      </w:r>
      <w:r>
        <w:rPr>
          <w:rFonts w:hint="eastAsia"/>
        </w:rPr>
        <w:t>、</w:t>
      </w:r>
      <w:r>
        <w:t>浙江金晟环保股份有限公司</w:t>
      </w:r>
      <w:r>
        <w:rPr>
          <w:rFonts w:hint="eastAsia"/>
        </w:rPr>
        <w:t>、</w:t>
      </w:r>
      <w:r>
        <w:t>康馨(海门)环保科技发展有限公司</w:t>
      </w:r>
      <w:r>
        <w:rPr>
          <w:rFonts w:hint="eastAsia"/>
        </w:rPr>
        <w:t>、</w:t>
      </w:r>
      <w:r>
        <w:t>江苏金晟环保餐具有限公司</w:t>
      </w:r>
      <w:r>
        <w:rPr>
          <w:rFonts w:hint="eastAsia"/>
        </w:rPr>
        <w:t>。可以看到，一次性环保餐具领域专利申请数量排名前十的专利主要为中国企业。</w:t>
      </w:r>
    </w:p>
    <w:p>
      <w:pPr>
        <w:ind w:firstLine="480"/>
      </w:pPr>
      <w:r>
        <w:rPr>
          <w:rFonts w:hint="eastAsia"/>
        </w:rPr>
        <w:t>下面对部分一次性环保餐具企业做简单介绍。</w:t>
      </w:r>
    </w:p>
    <w:p>
      <w:pPr>
        <w:ind w:firstLine="482"/>
        <w:rPr>
          <w:b/>
          <w:bCs/>
        </w:rPr>
      </w:pPr>
      <w:r>
        <w:rPr>
          <w:rFonts w:hint="eastAsia"/>
          <w:b/>
          <w:bCs/>
        </w:rPr>
        <w:t>一、</w:t>
      </w:r>
      <w:r>
        <w:rPr>
          <w:b/>
          <w:bCs/>
        </w:rPr>
        <w:t>广西福斯派环保科技有限公司</w:t>
      </w:r>
    </w:p>
    <w:p>
      <w:pPr>
        <w:ind w:firstLine="480"/>
      </w:pPr>
      <w:r>
        <w:t>广西福斯派环保科技有限公司是一家 2018 年 4 月 3 日在来宾市工商行政管理局登记设立的民营有限责任公司，注册资金 1.5 亿元。公司主要生产经营以甘蔗渣浆为原料的一次性环保餐具及其他食品包装物，产品包括纸质碗、盘、杯、餐盒等容器，可在 90 天内自然降解、堆肥。其一期年产能 4 万吨，年出口额 6000 万美元，已建成国内唯一的英国食品管理 BRC 双 A 认证生产车间。</w:t>
      </w:r>
    </w:p>
    <w:p>
      <w:pPr>
        <w:ind w:firstLine="480"/>
      </w:pPr>
      <w:r>
        <w:t>公司产品主要出口日韩、美国、欧洲、澳洲等，国外客户有香港的 ecoplus 公司、美国 worldcentric 公司、西班牙 mercadona s.a. 公司等，国内客户有瑞幸咖啡、库迪咖啡、奈雪、自嗨锅、海底捞、七欣天、蒙牛牛奶等知名企业。</w:t>
      </w:r>
    </w:p>
    <w:p>
      <w:pPr>
        <w:ind w:firstLine="480"/>
      </w:pPr>
      <w:bookmarkStart w:id="30" w:name="OLE_LINK2"/>
      <w:r>
        <w:t>福斯派</w:t>
      </w:r>
      <w:bookmarkEnd w:id="30"/>
      <w:r>
        <w:t>公司累计投入研发费用超过 1.5 亿元，拥有浆内添加无氟技术、浸涂技术、高拔模技术等先进技术，研发</w:t>
      </w:r>
      <w:r>
        <w:rPr>
          <w:rFonts w:hint="eastAsia"/>
        </w:rPr>
        <w:t>了</w:t>
      </w:r>
      <w:r>
        <w:t>全国独家</w:t>
      </w:r>
      <w:r>
        <w:rPr>
          <w:rFonts w:hint="eastAsia"/>
        </w:rPr>
        <w:t>的</w:t>
      </w:r>
      <w:r>
        <w:t>智能化生产线。</w:t>
      </w:r>
      <w:r>
        <w:rPr>
          <w:rFonts w:hint="eastAsia"/>
        </w:rPr>
        <w:t>此外，</w:t>
      </w:r>
      <w:r>
        <w:t>福斯派公司还引进</w:t>
      </w:r>
      <w:r>
        <w:rPr>
          <w:rFonts w:hint="eastAsia"/>
        </w:rPr>
        <w:t>了</w:t>
      </w:r>
      <w:r>
        <w:t>全球著名的瑞士 ABB 机器人自动生产设备，工艺和技术行业领先</w:t>
      </w:r>
      <w:r>
        <w:rPr>
          <w:rFonts w:hint="eastAsia"/>
        </w:rPr>
        <w:t>。</w:t>
      </w:r>
    </w:p>
    <w:p>
      <w:pPr>
        <w:ind w:firstLine="482"/>
        <w:rPr>
          <w:b/>
          <w:bCs/>
        </w:rPr>
      </w:pPr>
      <w:r>
        <w:rPr>
          <w:b/>
          <w:bCs/>
        </w:rPr>
        <w:t>福斯派</w:t>
      </w:r>
      <w:r>
        <w:rPr>
          <w:rFonts w:hint="eastAsia"/>
          <w:b/>
          <w:bCs/>
        </w:rPr>
        <w:t>目前在一次性环保餐具领域专利申请</w:t>
      </w:r>
      <w:r>
        <w:rPr>
          <w:b/>
          <w:bCs/>
        </w:rPr>
        <w:t>149</w:t>
      </w:r>
      <w:r>
        <w:rPr>
          <w:rFonts w:hint="eastAsia"/>
          <w:b/>
          <w:bCs/>
        </w:rPr>
        <w:t>件，主要布局国家为中国。</w:t>
      </w:r>
      <w:r>
        <w:t>福斯派</w:t>
      </w:r>
      <w:r>
        <w:rPr>
          <w:rFonts w:hint="eastAsia"/>
          <w:b/>
          <w:bCs/>
        </w:rPr>
        <w:t>发明专利占比为</w:t>
      </w:r>
      <w:r>
        <w:rPr>
          <w:b/>
          <w:bCs/>
        </w:rPr>
        <w:t>11.4</w:t>
      </w:r>
      <w:r>
        <w:rPr>
          <w:rFonts w:hint="eastAsia"/>
          <w:b/>
          <w:bCs/>
        </w:rPr>
        <w:t>%，其中，授权发明专利占比为</w:t>
      </w:r>
      <w:r>
        <w:rPr>
          <w:b/>
          <w:bCs/>
        </w:rPr>
        <w:t>6.04%</w:t>
      </w:r>
      <w:r>
        <w:rPr>
          <w:rFonts w:hint="eastAsia"/>
          <w:b/>
          <w:bCs/>
        </w:rPr>
        <w:t>；目前有</w:t>
      </w:r>
      <w:r>
        <w:rPr>
          <w:b/>
          <w:bCs/>
        </w:rPr>
        <w:t>4.02%</w:t>
      </w:r>
      <w:r>
        <w:rPr>
          <w:rFonts w:hint="eastAsia"/>
          <w:b/>
          <w:bCs/>
        </w:rPr>
        <w:t>的专利失效，有效专利占比</w:t>
      </w:r>
      <w:r>
        <w:rPr>
          <w:b/>
          <w:bCs/>
        </w:rPr>
        <w:t>93.28</w:t>
      </w:r>
      <w:r>
        <w:rPr>
          <w:rFonts w:hint="eastAsia"/>
          <w:b/>
          <w:bCs/>
        </w:rPr>
        <w:t>%，审中专利占比为</w:t>
      </w:r>
      <w:r>
        <w:rPr>
          <w:b/>
          <w:bCs/>
        </w:rPr>
        <w:t>2.01</w:t>
      </w:r>
      <w:r>
        <w:rPr>
          <w:rFonts w:hint="eastAsia"/>
          <w:b/>
          <w:bCs/>
        </w:rPr>
        <w:t>%。</w:t>
      </w:r>
      <w:r>
        <w:rPr>
          <w:b/>
          <w:bCs/>
        </w:rPr>
        <w:t>福斯派</w:t>
      </w:r>
      <w:r>
        <w:rPr>
          <w:rFonts w:hint="eastAsia"/>
          <w:b/>
          <w:bCs/>
        </w:rPr>
        <w:t>在一次性环保餐具领域专利申请数量明显领先于其他专利申请人，且绝大部分专利都处于有效状态，在一次性环保餐具领域拥有较强的竞争力。</w:t>
      </w:r>
    </w:p>
    <w:p>
      <w:pPr>
        <w:ind w:firstLine="482"/>
        <w:rPr>
          <w:b/>
          <w:bCs/>
        </w:rPr>
      </w:pPr>
      <w:r>
        <w:rPr>
          <w:rFonts w:hint="eastAsia"/>
          <w:b/>
          <w:bCs/>
        </w:rPr>
        <w:t>二、</w:t>
      </w:r>
      <w:r>
        <w:rPr>
          <w:b/>
          <w:bCs/>
        </w:rPr>
        <w:t>远东中乾(厦门)科技集团股份公司</w:t>
      </w:r>
    </w:p>
    <w:p>
      <w:pPr>
        <w:ind w:firstLine="480"/>
      </w:pPr>
      <w:r>
        <w:t>远东中乾（厦门）科技集团股份公司成立于 2011 年 8 月 11 日</w:t>
      </w:r>
      <w:r>
        <w:rPr>
          <w:rFonts w:hint="eastAsia"/>
        </w:rPr>
        <w:t xml:space="preserve"> 。</w:t>
      </w:r>
      <w:r>
        <w:t>公司前身为 1992 年成立的远东环保设备公司，是中国最早从事纸浆模塑产业的企业之一。在近 30 年的发展历程中，公司与国内外高校、科研机构合作，搭建产学研用平台，不断创新升级设备及技术。其是亚洲领先的环保食品包装解决方案供应商，是高端纸浆模塑设备、模具、纸浆餐具制品的重要供应商，为全球 100 多家纸浆模塑环保食品包装制造商提供设备和技术支持及整体解决方案，产品销售到北美、欧盟、澳洲、迪拜等东南亚 80 多个国家和地区。</w:t>
      </w:r>
    </w:p>
    <w:p>
      <w:pPr>
        <w:ind w:firstLine="480"/>
      </w:pPr>
      <w:r>
        <w:t>公司拥有 90 多项专利技术，设备通过美国 UL 认证和欧盟 CE 认证，性能稳定且节能，生产产品成品率达 98% 以上，设备和模具使用寿命达 15 年以上。公司在厦门、泉州、宜宾共拥有七万平米生产基地，并且在泰国、印度、越南分别建立了纸浆制品生产厂。其还是国家高新技术企业、国家纸浆模塑行业标准主要起草单位，纸浆环保餐具连续荣获国际发明展览会金奖、银奖。</w:t>
      </w:r>
    </w:p>
    <w:p>
      <w:pPr>
        <w:ind w:firstLine="482"/>
        <w:rPr>
          <w:b/>
          <w:bCs/>
        </w:rPr>
      </w:pPr>
      <w:r>
        <w:rPr>
          <w:b/>
          <w:bCs/>
        </w:rPr>
        <w:t>远东中乾</w:t>
      </w:r>
      <w:r>
        <w:rPr>
          <w:rFonts w:hint="eastAsia"/>
          <w:b/>
          <w:bCs/>
        </w:rPr>
        <w:t>目前在一次性环保餐具领域专利申请</w:t>
      </w:r>
      <w:r>
        <w:rPr>
          <w:b/>
          <w:bCs/>
        </w:rPr>
        <w:t>116</w:t>
      </w:r>
      <w:r>
        <w:rPr>
          <w:rFonts w:hint="eastAsia"/>
          <w:b/>
          <w:bCs/>
        </w:rPr>
        <w:t>件，主要布局国家为中国；发明专利占比为</w:t>
      </w:r>
      <w:r>
        <w:rPr>
          <w:b/>
          <w:bCs/>
        </w:rPr>
        <w:t>27.57</w:t>
      </w:r>
      <w:r>
        <w:rPr>
          <w:rFonts w:hint="eastAsia"/>
          <w:b/>
          <w:bCs/>
        </w:rPr>
        <w:t>%，其中，授权发明专利占比为</w:t>
      </w:r>
      <w:r>
        <w:rPr>
          <w:b/>
          <w:bCs/>
        </w:rPr>
        <w:t>11.2%</w:t>
      </w:r>
      <w:r>
        <w:rPr>
          <w:rFonts w:hint="eastAsia"/>
          <w:b/>
          <w:bCs/>
        </w:rPr>
        <w:t>；目前，有效专利占比为</w:t>
      </w:r>
      <w:r>
        <w:rPr>
          <w:b/>
          <w:bCs/>
        </w:rPr>
        <w:t>68.1</w:t>
      </w:r>
      <w:r>
        <w:rPr>
          <w:rFonts w:hint="eastAsia"/>
          <w:b/>
          <w:bCs/>
        </w:rPr>
        <w:t>%，审中专利占比为</w:t>
      </w:r>
      <w:r>
        <w:rPr>
          <w:b/>
          <w:bCs/>
        </w:rPr>
        <w:t>11.2</w:t>
      </w:r>
      <w:r>
        <w:rPr>
          <w:rFonts w:hint="eastAsia"/>
          <w:b/>
          <w:bCs/>
        </w:rPr>
        <w:t>%，失效专利占比为</w:t>
      </w:r>
      <w:r>
        <w:rPr>
          <w:b/>
          <w:bCs/>
        </w:rPr>
        <w:t>18.</w:t>
      </w:r>
      <w:r>
        <w:rPr>
          <w:rFonts w:hint="eastAsia"/>
          <w:b/>
          <w:bCs/>
        </w:rPr>
        <w:t>1</w:t>
      </w:r>
      <w:r>
        <w:rPr>
          <w:b/>
          <w:bCs/>
        </w:rPr>
        <w:t>%</w:t>
      </w:r>
      <w:r>
        <w:rPr>
          <w:rFonts w:hint="eastAsia"/>
          <w:b/>
          <w:bCs/>
        </w:rPr>
        <w:t>。可见，</w:t>
      </w:r>
      <w:r>
        <w:rPr>
          <w:b/>
          <w:bCs/>
        </w:rPr>
        <w:t>远东中乾</w:t>
      </w:r>
      <w:r>
        <w:rPr>
          <w:rFonts w:hint="eastAsia"/>
          <w:b/>
          <w:bCs/>
        </w:rPr>
        <w:t>在一次性环保餐具领域的技术创新能力是较强的。</w:t>
      </w:r>
    </w:p>
    <w:p>
      <w:pPr>
        <w:ind w:firstLine="482"/>
        <w:rPr>
          <w:b/>
          <w:bCs/>
        </w:rPr>
      </w:pPr>
      <w:r>
        <w:rPr>
          <w:rFonts w:hint="eastAsia"/>
          <w:b/>
          <w:bCs/>
        </w:rPr>
        <w:t>三、沙伯特(中山)有限公司</w:t>
      </w:r>
    </w:p>
    <w:p>
      <w:pPr>
        <w:ind w:firstLine="480"/>
      </w:pPr>
      <w:r>
        <w:t>沙伯特（中山）有限公司是沙伯特公司在中国本土的首家全资公司，成立于 2005 年 3 月，于 2006 年 10 月 1 日正式投产。位于广东省中山市三乡镇平埔工业区，所属行业为橡胶和塑料制品业。</w:t>
      </w:r>
    </w:p>
    <w:p>
      <w:pPr>
        <w:ind w:firstLine="480"/>
      </w:pPr>
      <w:r>
        <w:t>沙伯特公司 1982 年由创始人兼公司总裁 Albert Salama 先生创建，总部设在美国新泽西州，是从事食品包装材料及相关产品生产的跨国公司，在全球设有多家分厂。公司内部设立全球研发中心，采用行业领先的高度自动化设备，有着人性化且高效率的办公氛围。</w:t>
      </w:r>
    </w:p>
    <w:p>
      <w:pPr>
        <w:ind w:firstLine="480"/>
      </w:pPr>
      <w:r>
        <w:t>沙伯特中山生产基地通过 BRC 包装体系认证、ISO 45001 认证、BSCI 认证、SCAN 认证、犹太洁食认证及具备产品生产许可证，所有产品都符合中国国家标准、美国 FDA 和欧盟的食品安全要求。公司注重技术创新，累计投入技改资金 9900 万元，新建纸质产品生产线，自主研发的纸板餐具全自动生产线产量稳定，部分产品销往欧洲，还帮助欧洲沙伯特公司落地投产。作为纸浆模塑行业的领跑者，沙伯特团队在自动化设备研发、模具设计制作、纸浆模塑产品生产方面均有雄厚的技术积累，所有模具以及自动化生产线均为自主研发，自动化程度行业领先，并拥有先进的模具工厂。2023 年，企业实现年产值超 4 亿元，还入选了美团 “青山计划” 餐饮外卖绿色包装名录，致力于成为环保包装行业的领跑者，推动食品包装行业的健康发展。</w:t>
      </w:r>
    </w:p>
    <w:p>
      <w:pPr>
        <w:ind w:firstLine="482"/>
        <w:rPr>
          <w:b/>
          <w:bCs/>
          <w:color w:val="000000" w:themeColor="text1"/>
        </w:rPr>
      </w:pPr>
      <w:r>
        <w:rPr>
          <w:b/>
          <w:bCs/>
          <w:color w:val="000000" w:themeColor="text1"/>
        </w:rPr>
        <w:t>沙伯特中山</w:t>
      </w:r>
      <w:r>
        <w:rPr>
          <w:rFonts w:hint="eastAsia"/>
          <w:b/>
          <w:bCs/>
          <w:color w:val="000000" w:themeColor="text1"/>
        </w:rPr>
        <w:t>公司目前在一次性环保餐具领域专利申请</w:t>
      </w:r>
      <w:r>
        <w:rPr>
          <w:b/>
          <w:bCs/>
          <w:color w:val="000000" w:themeColor="text1"/>
        </w:rPr>
        <w:t>109</w:t>
      </w:r>
      <w:r>
        <w:rPr>
          <w:rFonts w:hint="eastAsia"/>
          <w:b/>
          <w:bCs/>
          <w:color w:val="000000" w:themeColor="text1"/>
        </w:rPr>
        <w:t>件，主要布局国家为中国、日本、加拿大、韩国、美国等；发明专利占比</w:t>
      </w:r>
      <w:r>
        <w:rPr>
          <w:b/>
          <w:bCs/>
          <w:color w:val="000000" w:themeColor="text1"/>
        </w:rPr>
        <w:t>43.18</w:t>
      </w:r>
      <w:r>
        <w:rPr>
          <w:rFonts w:hint="eastAsia"/>
          <w:b/>
          <w:bCs/>
          <w:color w:val="000000" w:themeColor="text1"/>
        </w:rPr>
        <w:t>%，其中授权发明专利占比为</w:t>
      </w:r>
      <w:r>
        <w:rPr>
          <w:b/>
          <w:bCs/>
          <w:color w:val="000000" w:themeColor="text1"/>
        </w:rPr>
        <w:t>18.34%</w:t>
      </w:r>
      <w:r>
        <w:rPr>
          <w:rFonts w:hint="eastAsia"/>
          <w:b/>
          <w:bCs/>
          <w:color w:val="000000" w:themeColor="text1"/>
        </w:rPr>
        <w:t>；目前，有效专利占比为</w:t>
      </w:r>
      <w:r>
        <w:rPr>
          <w:b/>
          <w:bCs/>
          <w:color w:val="000000" w:themeColor="text1"/>
        </w:rPr>
        <w:t>72.47</w:t>
      </w:r>
      <w:r>
        <w:rPr>
          <w:rFonts w:hint="eastAsia"/>
          <w:b/>
          <w:bCs/>
          <w:color w:val="000000" w:themeColor="text1"/>
        </w:rPr>
        <w:t>%，失效专利占比为</w:t>
      </w:r>
      <w:r>
        <w:rPr>
          <w:b/>
          <w:bCs/>
          <w:color w:val="000000" w:themeColor="text1"/>
        </w:rPr>
        <w:t>6.42%</w:t>
      </w:r>
      <w:r>
        <w:rPr>
          <w:rFonts w:hint="eastAsia"/>
          <w:b/>
          <w:bCs/>
          <w:color w:val="000000" w:themeColor="text1"/>
        </w:rPr>
        <w:t>，审中专利占比为</w:t>
      </w:r>
      <w:r>
        <w:rPr>
          <w:b/>
          <w:bCs/>
          <w:color w:val="000000" w:themeColor="text1"/>
        </w:rPr>
        <w:t>15.59</w:t>
      </w:r>
      <w:r>
        <w:rPr>
          <w:rFonts w:hint="eastAsia"/>
          <w:b/>
          <w:bCs/>
          <w:color w:val="000000" w:themeColor="text1"/>
        </w:rPr>
        <w:t>%。可见，</w:t>
      </w:r>
      <w:r>
        <w:rPr>
          <w:b/>
          <w:bCs/>
          <w:color w:val="000000" w:themeColor="text1"/>
        </w:rPr>
        <w:t>沙伯特中山</w:t>
      </w:r>
      <w:r>
        <w:rPr>
          <w:rFonts w:hint="eastAsia"/>
          <w:b/>
          <w:bCs/>
          <w:color w:val="000000" w:themeColor="text1"/>
        </w:rPr>
        <w:t>公司在一次性环保餐具领域的技术储备是较多的，同时技术创新活跃度也是较高的。</w:t>
      </w:r>
    </w:p>
    <w:p>
      <w:pPr>
        <w:ind w:firstLine="482"/>
        <w:rPr>
          <w:b/>
          <w:bCs/>
        </w:rPr>
      </w:pPr>
      <w:r>
        <w:rPr>
          <w:rFonts w:hint="eastAsia"/>
          <w:b/>
          <w:bCs/>
        </w:rPr>
        <w:t>四、富岭科技股份有限公司</w:t>
      </w:r>
    </w:p>
    <w:p>
      <w:pPr>
        <w:ind w:firstLine="480"/>
      </w:pPr>
      <w:r>
        <w:t>富岭科技股份有限公司成立于 1992 年 10 月 28 日，注册地位于浙江省台州市温岭市东部新区金塘南路 88 号，注册资本 44199 万元，是一家以从事橡胶和塑料制品业为主的企业，已于 2025 年完成了 IPO 上市，股票代码为001356。</w:t>
      </w:r>
    </w:p>
    <w:p>
      <w:pPr>
        <w:ind w:firstLine="480"/>
      </w:pPr>
      <w:r>
        <w:t>公司是专业生产环保餐饮具、一站式为客户提供食品包材解决方案的供应商，主要产品为一次性餐饮具，包括刀叉勺、吸管、水杯、小量杯、盘、杯盖、打包盒、打包碗、纸制品等。产品既适用于餐饮店堂食，也可用于餐饮外卖，属于快速消费品领域，主要销售到美国、中国、加拿大、中南美洲等国家和地区，是美国五大快餐连锁企业麦当劳、肯德基、汉堡王、赛百味、温迪及连锁超市沃尔玛等终端客户的国际供应商。</w:t>
      </w:r>
    </w:p>
    <w:p>
      <w:pPr>
        <w:ind w:firstLine="480"/>
      </w:pPr>
      <w:r>
        <w:t>公司拥有台州温岭、美国、印度尼西亚、墨西哥四大生产基地，以及美国、加拿大的 3 家海外营销中心和 3 家海外物流中心。通过不同生产基地的差异化定位与产能调配来满足市场需求，比如美国和墨西哥工厂靠近北美销售区域，降低了物流成本，印度尼西亚生产基地则利用当地劳动力价格优势。</w:t>
      </w:r>
    </w:p>
    <w:p>
      <w:pPr>
        <w:ind w:firstLine="480"/>
      </w:pPr>
      <w:r>
        <w:t>在技术研发方面，公司于 2008 年成立研发检测中心，拥有专业研发团队和 100 多台研发检测设备，被评为省级企业技术中心、省级企业研究院、富岭新材料省级高新技术企业研究开发中心等。</w:t>
      </w:r>
    </w:p>
    <w:p>
      <w:pPr>
        <w:ind w:firstLine="480"/>
      </w:pPr>
      <w:r>
        <w:t>公司获得了多项荣誉，是国家级制造业单项冠军示范企业、工业产品绿色设计示范企业、国家级绿色制造示范企业、省级隐形冠军培育企业，也是 2022 年度中国轻工业塑料行业十强企业，多次入选中国轻工业塑料行业（塑料家居）十强企业</w:t>
      </w:r>
      <w:r>
        <w:rPr>
          <w:rFonts w:hint="eastAsia"/>
        </w:rPr>
        <w:t>。</w:t>
      </w:r>
    </w:p>
    <w:p>
      <w:pPr>
        <w:ind w:firstLine="482"/>
        <w:rPr>
          <w:b/>
          <w:bCs/>
          <w:color w:val="000000" w:themeColor="text1"/>
        </w:rPr>
      </w:pPr>
      <w:bookmarkStart w:id="31" w:name="OLE_LINK3"/>
      <w:r>
        <w:rPr>
          <w:b/>
          <w:bCs/>
          <w:color w:val="000000" w:themeColor="text1"/>
        </w:rPr>
        <w:t>富岭科技</w:t>
      </w:r>
      <w:r>
        <w:rPr>
          <w:rFonts w:hint="eastAsia"/>
          <w:b/>
          <w:bCs/>
          <w:color w:val="000000" w:themeColor="text1"/>
        </w:rPr>
        <w:t>目前在一次性环保餐具领域专利申请</w:t>
      </w:r>
      <w:r>
        <w:rPr>
          <w:b/>
          <w:bCs/>
          <w:color w:val="000000" w:themeColor="text1"/>
        </w:rPr>
        <w:t>105</w:t>
      </w:r>
      <w:r>
        <w:rPr>
          <w:rFonts w:hint="eastAsia"/>
          <w:b/>
          <w:bCs/>
          <w:color w:val="000000" w:themeColor="text1"/>
        </w:rPr>
        <w:t>件，主要布局国家为中国和美国；发明专利占比为</w:t>
      </w:r>
      <w:r>
        <w:rPr>
          <w:b/>
          <w:bCs/>
          <w:color w:val="000000" w:themeColor="text1"/>
        </w:rPr>
        <w:t>18.09</w:t>
      </w:r>
      <w:r>
        <w:rPr>
          <w:rFonts w:hint="eastAsia"/>
          <w:b/>
          <w:bCs/>
          <w:color w:val="000000" w:themeColor="text1"/>
        </w:rPr>
        <w:t>%，其中授权发明专利占比为</w:t>
      </w:r>
      <w:r>
        <w:rPr>
          <w:b/>
          <w:bCs/>
          <w:color w:val="000000" w:themeColor="text1"/>
        </w:rPr>
        <w:t>13.334%</w:t>
      </w:r>
      <w:r>
        <w:rPr>
          <w:rFonts w:hint="eastAsia"/>
          <w:b/>
          <w:bCs/>
          <w:color w:val="000000" w:themeColor="text1"/>
        </w:rPr>
        <w:t>；目前，有效专利占比为</w:t>
      </w:r>
      <w:r>
        <w:rPr>
          <w:b/>
          <w:bCs/>
          <w:color w:val="000000" w:themeColor="text1"/>
        </w:rPr>
        <w:t>65.71</w:t>
      </w:r>
      <w:r>
        <w:rPr>
          <w:rFonts w:hint="eastAsia"/>
          <w:b/>
          <w:bCs/>
          <w:color w:val="000000" w:themeColor="text1"/>
        </w:rPr>
        <w:t>%，失效专利占比为</w:t>
      </w:r>
      <w:r>
        <w:rPr>
          <w:b/>
          <w:bCs/>
          <w:color w:val="000000" w:themeColor="text1"/>
        </w:rPr>
        <w:t>30.47%</w:t>
      </w:r>
      <w:r>
        <w:rPr>
          <w:rFonts w:hint="eastAsia"/>
          <w:b/>
          <w:bCs/>
          <w:color w:val="000000" w:themeColor="text1"/>
        </w:rPr>
        <w:t>，审中专利占比为</w:t>
      </w:r>
      <w:r>
        <w:rPr>
          <w:b/>
          <w:bCs/>
          <w:color w:val="000000" w:themeColor="text1"/>
        </w:rPr>
        <w:t>2.85</w:t>
      </w:r>
      <w:r>
        <w:rPr>
          <w:rFonts w:hint="eastAsia"/>
          <w:b/>
          <w:bCs/>
          <w:color w:val="000000" w:themeColor="text1"/>
        </w:rPr>
        <w:t>%。相对而言，</w:t>
      </w:r>
      <w:r>
        <w:rPr>
          <w:b/>
          <w:bCs/>
          <w:color w:val="000000" w:themeColor="text1"/>
        </w:rPr>
        <w:t>富岭科技</w:t>
      </w:r>
      <w:r>
        <w:rPr>
          <w:rFonts w:hint="eastAsia"/>
          <w:b/>
          <w:bCs/>
          <w:color w:val="000000" w:themeColor="text1"/>
        </w:rPr>
        <w:t>在一次性环保餐具领域发明专利的占比较低。</w:t>
      </w:r>
    </w:p>
    <w:bookmarkEnd w:id="31"/>
    <w:p>
      <w:pPr>
        <w:ind w:firstLine="480"/>
      </w:pPr>
      <w:r>
        <w:rPr>
          <w:rFonts w:hint="eastAsia"/>
        </w:rPr>
        <w:t>五、</w:t>
      </w:r>
      <w:r>
        <w:t>浙江众鑫环保科技集团股份有限公司</w:t>
      </w:r>
    </w:p>
    <w:p>
      <w:pPr>
        <w:ind w:firstLine="480"/>
      </w:pPr>
      <w:r>
        <w:t>浙江众鑫环保科技集团股份有限公司是一家在环保科技领域具有显著影响力的企业。公司成立于 2016 年，位于浙江省金华市兰溪市，其前身为 2008 年成立的金华市绿四季机械模具有限公司，主营机械设备及模具加工制造。</w:t>
      </w:r>
    </w:p>
    <w:p>
      <w:pPr>
        <w:ind w:firstLine="480"/>
      </w:pPr>
      <w:r>
        <w:t>公司专注于自然降解植物纤维模塑产品的研发、生产和销售，主要利用蔗渣浆、竹浆等天然植物纤维材料，通过模具塑造成型，产品可实现吸塑、注塑工艺的造型效果，是塑料制品的良好替代，广泛应用于餐饮、快消、医疗、工业等领域。</w:t>
      </w:r>
      <w:r>
        <w:rPr>
          <w:rFonts w:hint="eastAsia"/>
        </w:rPr>
        <w:t>公司技术储备雄厚，</w:t>
      </w:r>
      <w:r>
        <w:t>参与了《纸浆模塑制品技术通则》等 3 项国标编写</w:t>
      </w:r>
      <w:r>
        <w:rPr>
          <w:rFonts w:hint="eastAsia"/>
        </w:rPr>
        <w:t>，公司</w:t>
      </w:r>
      <w:r>
        <w:t>自主研发的热膨胀智能控制技术等，可实现产品生产的自动化流程。</w:t>
      </w:r>
    </w:p>
    <w:p>
      <w:pPr>
        <w:ind w:firstLine="480"/>
      </w:pPr>
      <w:r>
        <w:t>众鑫环保在全国建立了多个生产基地，拥有三家纸浆模塑餐具用品制造工厂、一家可降解塑料餐具工厂及一家智能制造装备工厂，已形成年产 12.37 万吨自然降解植物纤维模塑产品的生产能力。同时，公司在泰国的工厂已建成试投产，运营状况良好，公司还计划向泰国工厂增加投资 8000 万美元，以扩大产能至 10 万吨 / 年。</w:t>
      </w:r>
    </w:p>
    <w:p>
      <w:pPr>
        <w:ind w:firstLine="480"/>
      </w:pPr>
      <w:r>
        <w:t>在市场方面，公司产品以外销为主，主要销往北美、欧洲等国家和地区，是众多全球知名食品供应链企业的环保包装综合解决方案提供商，如 AmerCareRoyal LLC、Huhtamaki Oyj（普乐集团）等，终端客户包括 McDonald's（麦当劳）、Chipotle（小辣椒）、Sam’s（山姆会员店）等大型连锁商超和连锁餐厅。在国内，公司产品也供应给盒马鲜生、广州酒家、绝味鸭脖等企业。2022 年，公司在全球纸浆模塑餐饮具领域的市场占有率约 16%，产量占全国纸浆模塑餐饮具产量的 20%</w:t>
      </w:r>
      <w:r>
        <w:rPr>
          <w:rFonts w:hint="eastAsia"/>
        </w:rPr>
        <w:t>。</w:t>
      </w:r>
    </w:p>
    <w:p>
      <w:pPr>
        <w:ind w:firstLine="482"/>
        <w:rPr>
          <w:b/>
          <w:bCs/>
          <w:color w:val="000000" w:themeColor="text1"/>
        </w:rPr>
      </w:pPr>
      <w:r>
        <w:rPr>
          <w:b/>
          <w:bCs/>
          <w:color w:val="000000" w:themeColor="text1"/>
        </w:rPr>
        <w:t>众鑫环保</w:t>
      </w:r>
      <w:r>
        <w:rPr>
          <w:rFonts w:hint="eastAsia"/>
          <w:b/>
          <w:bCs/>
          <w:color w:val="000000" w:themeColor="text1"/>
        </w:rPr>
        <w:t>目前在一次性环保餐具领域专利申请</w:t>
      </w:r>
      <w:r>
        <w:rPr>
          <w:b/>
          <w:bCs/>
          <w:color w:val="000000" w:themeColor="text1"/>
        </w:rPr>
        <w:t>80</w:t>
      </w:r>
      <w:r>
        <w:rPr>
          <w:rFonts w:hint="eastAsia"/>
          <w:b/>
          <w:bCs/>
          <w:color w:val="000000" w:themeColor="text1"/>
        </w:rPr>
        <w:t>件，主要布局国家为中国和美国；发明专利占比为</w:t>
      </w:r>
      <w:r>
        <w:rPr>
          <w:b/>
          <w:bCs/>
          <w:color w:val="000000" w:themeColor="text1"/>
        </w:rPr>
        <w:t>18.75</w:t>
      </w:r>
      <w:r>
        <w:rPr>
          <w:rFonts w:hint="eastAsia"/>
          <w:b/>
          <w:bCs/>
          <w:color w:val="000000" w:themeColor="text1"/>
        </w:rPr>
        <w:t>%，其中授权发明专利占比为</w:t>
      </w:r>
      <w:r>
        <w:rPr>
          <w:b/>
          <w:bCs/>
          <w:color w:val="000000" w:themeColor="text1"/>
        </w:rPr>
        <w:t>13.75%</w:t>
      </w:r>
      <w:r>
        <w:rPr>
          <w:rFonts w:hint="eastAsia"/>
          <w:b/>
          <w:bCs/>
          <w:color w:val="000000" w:themeColor="text1"/>
        </w:rPr>
        <w:t>；目前，有效专利占比为</w:t>
      </w:r>
      <w:r>
        <w:rPr>
          <w:b/>
          <w:bCs/>
          <w:color w:val="000000" w:themeColor="text1"/>
        </w:rPr>
        <w:t>95</w:t>
      </w:r>
      <w:r>
        <w:rPr>
          <w:rFonts w:hint="eastAsia"/>
          <w:b/>
          <w:bCs/>
          <w:color w:val="000000" w:themeColor="text1"/>
        </w:rPr>
        <w:t>%，失效专利占比为</w:t>
      </w:r>
      <w:r>
        <w:rPr>
          <w:b/>
          <w:bCs/>
          <w:color w:val="000000" w:themeColor="text1"/>
        </w:rPr>
        <w:t>5%</w:t>
      </w:r>
      <w:r>
        <w:rPr>
          <w:rFonts w:hint="eastAsia"/>
          <w:b/>
          <w:bCs/>
          <w:color w:val="000000" w:themeColor="text1"/>
        </w:rPr>
        <w:t>。相对而言，</w:t>
      </w:r>
      <w:r>
        <w:rPr>
          <w:b/>
          <w:bCs/>
          <w:color w:val="000000" w:themeColor="text1"/>
        </w:rPr>
        <w:t>众鑫环保</w:t>
      </w:r>
      <w:r>
        <w:rPr>
          <w:rFonts w:hint="eastAsia"/>
          <w:b/>
          <w:bCs/>
          <w:color w:val="000000" w:themeColor="text1"/>
        </w:rPr>
        <w:t>在一次性环保餐具领域发明专利的占比较低。</w:t>
      </w:r>
    </w:p>
    <w:p>
      <w:pPr>
        <w:ind w:firstLine="562"/>
        <w:outlineLvl w:val="1"/>
        <w:rPr>
          <w:rFonts w:ascii="黑体" w:hAnsi="黑体" w:eastAsia="黑体"/>
          <w:b/>
          <w:bCs/>
          <w:sz w:val="28"/>
          <w:szCs w:val="28"/>
        </w:rPr>
      </w:pPr>
      <w:bookmarkStart w:id="32" w:name="_Toc203057697"/>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5</w:t>
      </w:r>
      <w:r>
        <w:rPr>
          <w:rFonts w:hint="eastAsia" w:ascii="黑体" w:hAnsi="黑体" w:eastAsia="黑体"/>
          <w:b/>
          <w:bCs/>
          <w:sz w:val="28"/>
          <w:szCs w:val="28"/>
        </w:rPr>
        <w:t xml:space="preserve"> 风险区域识别</w:t>
      </w:r>
      <w:bookmarkEnd w:id="32"/>
    </w:p>
    <w:p>
      <w:pPr>
        <w:ind w:firstLine="482"/>
        <w:rPr>
          <w:rFonts w:asciiTheme="minorEastAsia" w:hAnsiTheme="minorEastAsia" w:eastAsiaTheme="minorEastAsia"/>
          <w:b/>
          <w:bCs/>
        </w:rPr>
      </w:pPr>
      <w:r>
        <w:rPr>
          <w:rFonts w:asciiTheme="minorEastAsia" w:hAnsiTheme="minorEastAsia" w:eastAsiaTheme="minorEastAsia"/>
          <w:b/>
          <w:bCs/>
        </w:rPr>
        <w:t>1.</w:t>
      </w:r>
      <w:r>
        <w:rPr>
          <w:rFonts w:hint="eastAsia" w:asciiTheme="minorEastAsia" w:hAnsiTheme="minorEastAsia" w:eastAsiaTheme="minorEastAsia"/>
          <w:b/>
          <w:bCs/>
        </w:rPr>
        <w:t>产业专利侵权纠纷区域分布</w:t>
      </w:r>
    </w:p>
    <w:p>
      <w:pPr>
        <w:pStyle w:val="17"/>
        <w:spacing w:line="360" w:lineRule="auto"/>
        <w:rPr>
          <w:rFonts w:asciiTheme="minorEastAsia" w:hAnsiTheme="minorEastAsia" w:eastAsiaTheme="minorEastAsia"/>
          <w:b/>
          <w:bCs/>
          <w:sz w:val="24"/>
        </w:rPr>
      </w:pPr>
      <w:bookmarkStart w:id="33" w:name="_Toc119592171"/>
      <w:bookmarkStart w:id="34" w:name="_Toc119592708"/>
      <w:bookmarkStart w:id="35" w:name="_Toc119937698"/>
      <w:r>
        <w:rPr>
          <w:rFonts w:asciiTheme="minorEastAsia" w:hAnsiTheme="minorEastAsia" w:eastAsiaTheme="minorEastAsia"/>
          <w:b/>
          <w:bCs/>
          <w:sz w:val="24"/>
        </w:rPr>
        <w:drawing>
          <wp:inline distT="0" distB="0" distL="0" distR="0">
            <wp:extent cx="5274310" cy="2478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4310" cy="247840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2.5-1 </w:t>
      </w:r>
      <w:r>
        <w:rPr>
          <w:rFonts w:hint="eastAsia" w:asciiTheme="minorEastAsia" w:hAnsiTheme="minorEastAsia" w:eastAsiaTheme="minorEastAsia"/>
          <w:b/>
          <w:bCs/>
          <w:sz w:val="24"/>
        </w:rPr>
        <w:t>全球一次性环保餐具产业专利侵权纠纷区域分布</w:t>
      </w:r>
      <w:bookmarkEnd w:id="33"/>
      <w:bookmarkEnd w:id="34"/>
      <w:bookmarkEnd w:id="35"/>
    </w:p>
    <w:p>
      <w:pPr>
        <w:ind w:firstLine="480"/>
      </w:pPr>
      <w:r>
        <w:rPr>
          <w:rFonts w:hint="eastAsia"/>
        </w:rPr>
        <w:t>近年来，全球一次性环保餐具产业专利侵权纠纷区域主要集中在德国（</w:t>
      </w:r>
      <w:r>
        <w:t>3</w:t>
      </w:r>
      <w:r>
        <w:rPr>
          <w:rFonts w:hint="eastAsia"/>
        </w:rPr>
        <w:t>件）、中国（</w:t>
      </w:r>
      <w:r>
        <w:t>2</w:t>
      </w:r>
      <w:r>
        <w:rPr>
          <w:rFonts w:hint="eastAsia"/>
        </w:rPr>
        <w:t>件）、韩国（</w:t>
      </w:r>
      <w:r>
        <w:t>1</w:t>
      </w:r>
      <w:r>
        <w:rPr>
          <w:rFonts w:hint="eastAsia"/>
        </w:rPr>
        <w:t>件），其他国家侵权事件相对较少。</w:t>
      </w:r>
    </w:p>
    <w:p>
      <w:pPr>
        <w:ind w:firstLine="480"/>
      </w:pPr>
      <w:r>
        <w:t>德国作为欧洲重要的经济体，德国对环保产品的需求旺盛。纸浆模塑餐具凭借其可降解、环保等特性，在德国市场的应用越来越广泛，市场规模不断扩大。众多企业纷纷投身该领域，竞争愈发激烈。为了占据市场优势，企业通过申请专利来保护自身技术和产品，同时也会对竞争对手的侵权行为发起诉讼，以维护自己的市场份额。</w:t>
      </w:r>
    </w:p>
    <w:p>
      <w:pPr>
        <w:ind w:firstLine="480"/>
      </w:pPr>
      <w:r>
        <w:t>中国是全球最大的纸浆模塑餐具生产和消费国之一。随着国内环保意识的提高和相关政策的推动，纸浆模塑餐具行业发展迅速。大量企业涌入市场，导致竞争白热化。企业为了在竞争中脱颖而出，不断加大研发投入，申请专利以保护创新成果。当市场竞争达到一定程度，专利纠纷也就不可避免地增多。</w:t>
      </w:r>
    </w:p>
    <w:p>
      <w:pPr>
        <w:ind w:firstLine="480"/>
      </w:pPr>
      <w:r>
        <w:t>韩国的纸浆模塑餐具市场也在不断发展，消费者对环保餐具的认知度和接受度逐渐提高。企业为了在有限的市场中获取更大的利益，积极开展技术创新，并通过专利诉讼等手段来打击竞争对手，保护自己的市场地位。</w:t>
      </w:r>
    </w:p>
    <w:p>
      <w:pPr>
        <w:ind w:firstLine="482"/>
        <w:rPr>
          <w:rFonts w:asciiTheme="minorEastAsia" w:hAnsiTheme="minorEastAsia" w:eastAsiaTheme="minorEastAsia"/>
          <w:b/>
          <w:bCs/>
        </w:rPr>
      </w:pPr>
      <w:r>
        <w:rPr>
          <w:rFonts w:asciiTheme="minorEastAsia" w:hAnsiTheme="minorEastAsia" w:eastAsiaTheme="minorEastAsia"/>
          <w:b/>
          <w:bCs/>
        </w:rPr>
        <w:t>2.</w:t>
      </w:r>
      <w:r>
        <w:rPr>
          <w:rFonts w:hint="eastAsia" w:asciiTheme="minorEastAsia" w:hAnsiTheme="minorEastAsia" w:eastAsiaTheme="minorEastAsia"/>
          <w:b/>
          <w:bCs/>
        </w:rPr>
        <w:t>产业专利无效纠纷区域分布</w:t>
      </w:r>
    </w:p>
    <w:p>
      <w:pPr>
        <w:pStyle w:val="17"/>
      </w:pPr>
      <w:bookmarkStart w:id="36" w:name="_Toc119937699"/>
      <w:bookmarkStart w:id="37" w:name="_Toc119592172"/>
      <w:bookmarkStart w:id="38" w:name="_Toc119592709"/>
      <w:r>
        <w:drawing>
          <wp:inline distT="0" distB="0" distL="0" distR="0">
            <wp:extent cx="5274310" cy="22250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274310" cy="222504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2.5-2 </w:t>
      </w:r>
      <w:r>
        <w:rPr>
          <w:rFonts w:hint="eastAsia" w:asciiTheme="minorEastAsia" w:hAnsiTheme="minorEastAsia" w:eastAsiaTheme="minorEastAsia"/>
          <w:b/>
          <w:bCs/>
          <w:sz w:val="24"/>
        </w:rPr>
        <w:t>全球一次性环保餐具产业专利无效纠纷区域分布</w:t>
      </w:r>
      <w:bookmarkEnd w:id="36"/>
      <w:bookmarkEnd w:id="37"/>
      <w:bookmarkEnd w:id="38"/>
    </w:p>
    <w:p>
      <w:pPr>
        <w:ind w:firstLine="480"/>
      </w:pPr>
      <w:r>
        <w:rPr>
          <w:rFonts w:hint="eastAsia"/>
        </w:rPr>
        <w:t>近年来，全球一次性环保餐具产业专利无效纠纷主要发生地集中在中国（</w:t>
      </w:r>
      <w:r>
        <w:t>7</w:t>
      </w:r>
      <w:r>
        <w:rPr>
          <w:rFonts w:hint="eastAsia"/>
        </w:rPr>
        <w:t>件、中国台湾（7件）、韩国（2件），其他地区相对较少。无效抗辩对于企业来说，是一种攻守兼备的运营手段。专利无效的实施成本相较于侵权诉讼来说相对较低，流程相对简单，因此企业运用较为广泛。聊城市相关企业也需要持续关注，避免专利被无效，顺利完成海外布局。</w:t>
      </w:r>
    </w:p>
    <w:p>
      <w:pPr>
        <w:ind w:firstLine="562"/>
        <w:outlineLvl w:val="1"/>
        <w:rPr>
          <w:rFonts w:ascii="黑体" w:hAnsi="黑体" w:eastAsia="黑体"/>
          <w:b/>
          <w:bCs/>
          <w:sz w:val="28"/>
          <w:szCs w:val="28"/>
        </w:rPr>
      </w:pPr>
      <w:bookmarkStart w:id="39" w:name="_Toc203057698"/>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6</w:t>
      </w:r>
      <w:r>
        <w:rPr>
          <w:rFonts w:hint="eastAsia" w:ascii="黑体" w:hAnsi="黑体" w:eastAsia="黑体"/>
          <w:b/>
          <w:bCs/>
          <w:sz w:val="28"/>
          <w:szCs w:val="28"/>
        </w:rPr>
        <w:t xml:space="preserve"> 风险企业识别</w:t>
      </w:r>
      <w:bookmarkEnd w:id="39"/>
    </w:p>
    <w:p>
      <w:pPr>
        <w:pStyle w:val="17"/>
        <w:spacing w:line="360" w:lineRule="auto"/>
        <w:rPr>
          <w:rFonts w:asciiTheme="minorEastAsia" w:hAnsiTheme="minorEastAsia" w:eastAsiaTheme="minorEastAsia"/>
          <w:b/>
          <w:bCs/>
          <w:sz w:val="24"/>
        </w:rPr>
      </w:pPr>
      <w:r>
        <w:rPr>
          <w:rFonts w:asciiTheme="minorEastAsia" w:hAnsiTheme="minorEastAsia" w:eastAsiaTheme="minorEastAsia"/>
          <w:b/>
          <w:bCs/>
          <w:sz w:val="24"/>
        </w:rPr>
        <w:drawing>
          <wp:inline distT="0" distB="0" distL="0" distR="0">
            <wp:extent cx="5274310" cy="2582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a:stretch>
                      <a:fillRect/>
                    </a:stretch>
                  </pic:blipFill>
                  <pic:spPr>
                    <a:xfrm>
                      <a:off x="0" y="0"/>
                      <a:ext cx="5274310" cy="2582545"/>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2.6-1 </w:t>
      </w:r>
      <w:r>
        <w:rPr>
          <w:rFonts w:hint="eastAsia" w:asciiTheme="minorEastAsia" w:hAnsiTheme="minorEastAsia" w:eastAsiaTheme="minorEastAsia"/>
          <w:b/>
          <w:bCs/>
          <w:sz w:val="24"/>
        </w:rPr>
        <w:t>海外一次性环保餐具领域主要专利申请人</w:t>
      </w:r>
    </w:p>
    <w:p>
      <w:pPr>
        <w:ind w:firstLine="480"/>
        <w:rPr>
          <w:rFonts w:asciiTheme="minorEastAsia" w:hAnsiTheme="minorEastAsia" w:eastAsiaTheme="minorEastAsia"/>
        </w:rPr>
      </w:pPr>
      <w:r>
        <w:rPr>
          <w:rFonts w:hint="eastAsia" w:asciiTheme="minorEastAsia" w:hAnsiTheme="minorEastAsia" w:eastAsiaTheme="minorEastAsia"/>
        </w:rPr>
        <w:t>通过以上分析可以看出，海外一次性环保餐具领域主要的专利申请人包括</w:t>
      </w:r>
      <w:r>
        <w:rPr>
          <w:rFonts w:asciiTheme="minorEastAsia" w:hAnsiTheme="minorEastAsia" w:eastAsiaTheme="minorEastAsia"/>
        </w:rPr>
        <w:t>沙伯特(中山)有限公司</w:t>
      </w:r>
      <w:r>
        <w:rPr>
          <w:rFonts w:hint="eastAsia" w:asciiTheme="minorEastAsia" w:hAnsiTheme="minorEastAsia" w:eastAsiaTheme="minorEastAsia"/>
        </w:rPr>
        <w:t>、</w:t>
      </w:r>
      <w:r>
        <w:rPr>
          <w:rFonts w:asciiTheme="minorEastAsia" w:hAnsiTheme="minorEastAsia" w:eastAsiaTheme="minorEastAsia"/>
        </w:rPr>
        <w:t>凸版控股株式会社</w:t>
      </w:r>
      <w:r>
        <w:rPr>
          <w:rFonts w:hint="eastAsia" w:asciiTheme="minorEastAsia" w:hAnsiTheme="minorEastAsia" w:eastAsiaTheme="minorEastAsia"/>
        </w:rPr>
        <w:t>、</w:t>
      </w:r>
      <w:r>
        <w:rPr>
          <w:rFonts w:asciiTheme="minorEastAsia" w:hAnsiTheme="minorEastAsia" w:eastAsiaTheme="minorEastAsia"/>
        </w:rPr>
        <w:t>斯塔诺阿埃索澳吉有限公司</w:t>
      </w:r>
      <w:r>
        <w:rPr>
          <w:rFonts w:hint="eastAsia" w:asciiTheme="minorEastAsia" w:hAnsiTheme="minorEastAsia" w:eastAsiaTheme="minorEastAsia"/>
        </w:rPr>
        <w:t>、</w:t>
      </w:r>
      <w:r>
        <w:rPr>
          <w:rFonts w:asciiTheme="minorEastAsia" w:hAnsiTheme="minorEastAsia" w:eastAsiaTheme="minorEastAsia"/>
        </w:rPr>
        <w:t>GPCP知识产权控股有限责任公司</w:t>
      </w:r>
      <w:r>
        <w:rPr>
          <w:rFonts w:hint="eastAsia" w:asciiTheme="minorEastAsia" w:hAnsiTheme="minorEastAsia" w:eastAsiaTheme="minorEastAsia"/>
        </w:rPr>
        <w:t>、</w:t>
      </w:r>
      <w:r>
        <w:rPr>
          <w:rFonts w:asciiTheme="minorEastAsia" w:hAnsiTheme="minorEastAsia" w:eastAsiaTheme="minorEastAsia"/>
        </w:rPr>
        <w:t>ASTON INVESTMENT</w:t>
      </w:r>
      <w:r>
        <w:rPr>
          <w:rFonts w:hint="eastAsia" w:asciiTheme="minorEastAsia" w:hAnsiTheme="minorEastAsia" w:eastAsiaTheme="minorEastAsia"/>
        </w:rPr>
        <w:t>、</w:t>
      </w:r>
      <w:r>
        <w:rPr>
          <w:rFonts w:asciiTheme="minorEastAsia" w:hAnsiTheme="minorEastAsia" w:eastAsiaTheme="minorEastAsia"/>
        </w:rPr>
        <w:t>休塔马基股份有限公司</w:t>
      </w:r>
      <w:r>
        <w:rPr>
          <w:rFonts w:hint="eastAsia" w:asciiTheme="minorEastAsia" w:hAnsiTheme="minorEastAsia" w:eastAsiaTheme="minorEastAsia"/>
        </w:rPr>
        <w:t>、</w:t>
      </w:r>
      <w:r>
        <w:rPr>
          <w:rFonts w:asciiTheme="minorEastAsia" w:hAnsiTheme="minorEastAsia" w:eastAsiaTheme="minorEastAsia"/>
        </w:rPr>
        <w:t>杜尼公司</w:t>
      </w:r>
      <w:r>
        <w:rPr>
          <w:rFonts w:hint="eastAsia" w:asciiTheme="minorEastAsia" w:hAnsiTheme="minorEastAsia" w:eastAsiaTheme="minorEastAsia"/>
        </w:rPr>
        <w:t>、</w:t>
      </w:r>
      <w:r>
        <w:rPr>
          <w:rFonts w:asciiTheme="minorEastAsia" w:hAnsiTheme="minorEastAsia" w:eastAsiaTheme="minorEastAsia"/>
        </w:rPr>
        <w:t>AR &amp; CO</w:t>
      </w:r>
      <w:r>
        <w:rPr>
          <w:rFonts w:hint="eastAsia" w:asciiTheme="minorEastAsia" w:hAnsiTheme="minorEastAsia" w:eastAsiaTheme="minorEastAsia"/>
        </w:rPr>
        <w:t>、</w:t>
      </w:r>
      <w:r>
        <w:rPr>
          <w:rFonts w:asciiTheme="minorEastAsia" w:hAnsiTheme="minorEastAsia" w:eastAsiaTheme="minorEastAsia"/>
        </w:rPr>
        <w:t>GOLD COW TECH CO LTD</w:t>
      </w:r>
      <w:r>
        <w:rPr>
          <w:rFonts w:hint="eastAsia" w:asciiTheme="minorEastAsia" w:hAnsiTheme="minorEastAsia" w:eastAsiaTheme="minorEastAsia"/>
        </w:rPr>
        <w:t>、</w:t>
      </w:r>
      <w:r>
        <w:rPr>
          <w:rFonts w:asciiTheme="minorEastAsia" w:hAnsiTheme="minorEastAsia" w:eastAsiaTheme="minorEastAsia"/>
        </w:rPr>
        <w:t>仲吉商事株式会社</w:t>
      </w:r>
      <w:r>
        <w:rPr>
          <w:rFonts w:hint="eastAsia" w:asciiTheme="minorEastAsia" w:hAnsiTheme="minorEastAsia" w:eastAsiaTheme="minorEastAsia"/>
        </w:rPr>
        <w:t>。上述申请人在一次性环保餐具领域社申请了较多的专利，聊城市一次性环保餐具企业在产品出海销售时，需要对上述企业的知识产权情况进行调研分析，避免出现知识产权纠纷。</w:t>
      </w:r>
    </w:p>
    <w:p>
      <w:pPr>
        <w:ind w:firstLine="562"/>
        <w:outlineLvl w:val="1"/>
        <w:rPr>
          <w:rFonts w:ascii="黑体" w:hAnsi="黑体" w:eastAsia="黑体"/>
          <w:b/>
          <w:bCs/>
          <w:sz w:val="28"/>
          <w:szCs w:val="28"/>
        </w:rPr>
      </w:pPr>
      <w:bookmarkStart w:id="40" w:name="_Toc203057699"/>
      <w:bookmarkStart w:id="41" w:name="_Toc237"/>
      <w:r>
        <w:rPr>
          <w:rFonts w:ascii="黑体" w:hAnsi="黑体" w:eastAsia="黑体"/>
          <w:b/>
          <w:bCs/>
          <w:sz w:val="28"/>
          <w:szCs w:val="28"/>
        </w:rPr>
        <w:t>2</w:t>
      </w:r>
      <w:r>
        <w:rPr>
          <w:rFonts w:hint="eastAsia" w:ascii="黑体" w:hAnsi="黑体" w:eastAsia="黑体"/>
          <w:b/>
          <w:bCs/>
          <w:sz w:val="28"/>
          <w:szCs w:val="28"/>
        </w:rPr>
        <w:t>.</w:t>
      </w:r>
      <w:r>
        <w:rPr>
          <w:rFonts w:ascii="黑体" w:hAnsi="黑体" w:eastAsia="黑体"/>
          <w:b/>
          <w:bCs/>
          <w:sz w:val="28"/>
          <w:szCs w:val="28"/>
        </w:rPr>
        <w:t>7</w:t>
      </w:r>
      <w:r>
        <w:rPr>
          <w:rFonts w:hint="eastAsia" w:ascii="黑体" w:hAnsi="黑体" w:eastAsia="黑体"/>
          <w:b/>
          <w:bCs/>
          <w:sz w:val="28"/>
          <w:szCs w:val="28"/>
        </w:rPr>
        <w:t xml:space="preserve"> 风险技术方向识别</w:t>
      </w:r>
      <w:bookmarkEnd w:id="40"/>
      <w:bookmarkEnd w:id="41"/>
    </w:p>
    <w:p>
      <w:pPr>
        <w:pStyle w:val="17"/>
        <w:spacing w:line="360" w:lineRule="auto"/>
      </w:pPr>
      <w:r>
        <w:drawing>
          <wp:inline distT="0" distB="0" distL="0" distR="0">
            <wp:extent cx="3743325" cy="33331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3745774" cy="3335390"/>
                    </a:xfrm>
                    <a:prstGeom prst="rect">
                      <a:avLst/>
                    </a:prstGeom>
                  </pic:spPr>
                </pic:pic>
              </a:graphicData>
            </a:graphic>
          </wp:inline>
        </w:drawing>
      </w:r>
    </w:p>
    <w:p>
      <w:pPr>
        <w:pStyle w:val="17"/>
        <w:ind w:firstLine="482"/>
        <w:rPr>
          <w:rFonts w:asciiTheme="minorEastAsia" w:hAnsiTheme="minorEastAsia" w:eastAsiaTheme="minorEastAsia"/>
          <w:b/>
          <w:bCs/>
          <w:sz w:val="24"/>
        </w:rPr>
      </w:pPr>
      <w:r>
        <w:rPr>
          <w:rFonts w:hint="eastAsia" w:asciiTheme="minorEastAsia" w:hAnsiTheme="minorEastAsia" w:eastAsiaTheme="minorEastAsia"/>
          <w:b/>
          <w:bCs/>
          <w:sz w:val="24"/>
        </w:rPr>
        <w:t>图</w:t>
      </w:r>
      <w:r>
        <w:rPr>
          <w:rFonts w:asciiTheme="minorEastAsia" w:hAnsiTheme="minorEastAsia" w:eastAsiaTheme="minorEastAsia"/>
          <w:b/>
          <w:bCs/>
          <w:sz w:val="24"/>
        </w:rPr>
        <w:t xml:space="preserve">2.7-1 </w:t>
      </w:r>
      <w:r>
        <w:rPr>
          <w:rFonts w:hint="eastAsia" w:asciiTheme="minorEastAsia" w:hAnsiTheme="minorEastAsia" w:eastAsiaTheme="minorEastAsia"/>
          <w:b/>
          <w:bCs/>
          <w:sz w:val="24"/>
        </w:rPr>
        <w:t>全球一次性环保餐具产业专利侵权纠纷技术分布</w:t>
      </w:r>
    </w:p>
    <w:p>
      <w:pPr>
        <w:ind w:firstLine="480"/>
      </w:pPr>
      <w:r>
        <w:rPr>
          <w:rFonts w:hint="eastAsia"/>
        </w:rPr>
        <w:t>图2</w:t>
      </w:r>
      <w:r>
        <w:t>.7-1</w:t>
      </w:r>
      <w:r>
        <w:rPr>
          <w:rFonts w:hint="eastAsia"/>
        </w:rPr>
        <w:t>展示的是全球一次性环保餐具领域发生专利侵权纠纷的技术的主要分布情况。结合图2</w:t>
      </w:r>
      <w:r>
        <w:t>.7-1</w:t>
      </w:r>
      <w:r>
        <w:rPr>
          <w:rFonts w:hint="eastAsia"/>
        </w:rPr>
        <w:t>展示的内容，以及相关专利的具体内容，综合分析得到以下内容。</w:t>
      </w:r>
    </w:p>
    <w:p>
      <w:pPr>
        <w:ind w:firstLine="480"/>
        <w:rPr>
          <w:rFonts w:ascii="Segoe UI" w:hAnsi="Segoe UI" w:cs="Segoe UI"/>
          <w:shd w:val="clear" w:color="auto" w:fill="FFFFFF"/>
        </w:rPr>
      </w:pPr>
      <w:r>
        <w:rPr>
          <w:rFonts w:ascii="Segoe UI" w:hAnsi="Segoe UI" w:cs="Segoe UI"/>
          <w:shd w:val="clear" w:color="auto" w:fill="FFFFFF"/>
        </w:rPr>
        <w:t>一次性纸浆餐具领域</w:t>
      </w:r>
      <w:r>
        <w:rPr>
          <w:rFonts w:hint="eastAsia" w:ascii="Segoe UI" w:hAnsi="Segoe UI" w:cs="Segoe UI"/>
          <w:shd w:val="clear" w:color="auto" w:fill="FFFFFF"/>
        </w:rPr>
        <w:t>容易产生知识产权纠纷的技术主要</w:t>
      </w:r>
      <w:r>
        <w:rPr>
          <w:rFonts w:ascii="Segoe UI" w:hAnsi="Segoe UI" w:cs="Segoe UI"/>
          <w:shd w:val="clear" w:color="auto" w:fill="FFFFFF"/>
        </w:rPr>
        <w:t>涵盖原材料配方、成型工艺、环保适配等</w:t>
      </w:r>
      <w:r>
        <w:rPr>
          <w:rFonts w:hint="eastAsia" w:ascii="Segoe UI" w:hAnsi="Segoe UI" w:cs="Segoe UI"/>
          <w:shd w:val="clear" w:color="auto" w:fill="FFFFFF"/>
        </w:rPr>
        <w:t>技术</w:t>
      </w:r>
      <w:r>
        <w:rPr>
          <w:rFonts w:ascii="Segoe UI" w:hAnsi="Segoe UI" w:cs="Segoe UI"/>
          <w:shd w:val="clear" w:color="auto" w:fill="FFFFFF"/>
        </w:rPr>
        <w:t>环节。</w:t>
      </w:r>
    </w:p>
    <w:p>
      <w:pPr>
        <w:ind w:firstLine="480"/>
        <w:rPr>
          <w:rFonts w:ascii="Segoe UI" w:hAnsi="Segoe UI" w:cs="Segoe UI"/>
          <w:shd w:val="clear" w:color="auto" w:fill="FFFFFF"/>
        </w:rPr>
      </w:pPr>
      <w:r>
        <w:rPr>
          <w:rFonts w:ascii="Segoe UI" w:hAnsi="Segoe UI" w:cs="Segoe UI"/>
          <w:shd w:val="clear" w:color="auto" w:fill="FFFFFF"/>
        </w:rPr>
        <w:t>原材料方面，需优化木浆与非木浆（如竹浆、秸秆浆）的配比以平衡成本与强度，并合理使用湿强剂（如 PAE 树脂）、施胶剂（如 AKD）等功能性助剂，同时满足国际环保标准对有害化学物质的限制。</w:t>
      </w:r>
      <w:r>
        <w:rPr>
          <w:rFonts w:hint="eastAsia" w:ascii="Segoe UI" w:hAnsi="Segoe UI" w:cs="Segoe UI"/>
          <w:shd w:val="clear" w:color="auto" w:fill="FFFFFF"/>
        </w:rPr>
        <w:t>所以原材料方面，原材料的配比和各种功能性助剂是比较容易产生知识产权纠纷的技术领域。</w:t>
      </w:r>
    </w:p>
    <w:p>
      <w:pPr>
        <w:ind w:firstLine="480"/>
        <w:rPr>
          <w:rFonts w:ascii="Segoe UI" w:hAnsi="Segoe UI" w:cs="Segoe UI"/>
          <w:shd w:val="clear" w:color="auto" w:fill="FFFFFF"/>
        </w:rPr>
      </w:pPr>
      <w:r>
        <w:rPr>
          <w:rFonts w:ascii="Segoe UI" w:hAnsi="Segoe UI" w:cs="Segoe UI"/>
          <w:shd w:val="clear" w:color="auto" w:fill="FFFFFF"/>
        </w:rPr>
        <w:t>成型工艺中，模压技术的压力（80-200 吨）、温度（120-180</w:t>
      </w:r>
      <w:r>
        <w:rPr>
          <w:rFonts w:hint="eastAsia" w:ascii="微软雅黑" w:hAnsi="微软雅黑" w:eastAsia="微软雅黑" w:cs="微软雅黑"/>
          <w:shd w:val="clear" w:color="auto" w:fill="FFFFFF"/>
        </w:rPr>
        <w:t>℃</w:t>
      </w:r>
      <w:r>
        <w:rPr>
          <w:rFonts w:ascii="Segoe UI" w:hAnsi="Segoe UI" w:cs="Segoe UI"/>
          <w:shd w:val="clear" w:color="auto" w:fill="FFFFFF"/>
        </w:rPr>
        <w:t>）和脱水速率控制直接影响产品密度与均匀性，模具设计精度（尺寸公差 ±1mm、表面粗糙度）和干燥工艺（如分段热风干燥或红外干燥节能技术）关乎产能与良品率。</w:t>
      </w:r>
      <w:r>
        <w:rPr>
          <w:rFonts w:hint="eastAsia" w:ascii="Segoe UI" w:hAnsi="Segoe UI" w:cs="Segoe UI"/>
          <w:shd w:val="clear" w:color="auto" w:fill="FFFFFF"/>
        </w:rPr>
        <w:t>成型工艺方面，</w:t>
      </w:r>
      <w:r>
        <w:rPr>
          <w:rFonts w:ascii="Segoe UI" w:hAnsi="Segoe UI" w:cs="Segoe UI"/>
          <w:shd w:val="clear" w:color="auto" w:fill="FFFFFF"/>
        </w:rPr>
        <w:t>模压模具</w:t>
      </w:r>
      <w:r>
        <w:rPr>
          <w:rFonts w:hint="eastAsia" w:ascii="Segoe UI" w:hAnsi="Segoe UI" w:cs="Segoe UI"/>
          <w:shd w:val="clear" w:color="auto" w:fill="FFFFFF"/>
        </w:rPr>
        <w:t>和模压参数控制是比较容易产生知识产权纠纷的技术领域。</w:t>
      </w:r>
    </w:p>
    <w:p>
      <w:pPr>
        <w:ind w:firstLine="480"/>
        <w:rPr>
          <w:rFonts w:ascii="Segoe UI" w:hAnsi="Segoe UI" w:cs="Segoe UI"/>
          <w:shd w:val="clear" w:color="auto" w:fill="FFFFFF"/>
        </w:rPr>
      </w:pPr>
      <w:r>
        <w:rPr>
          <w:rFonts w:ascii="Segoe UI" w:hAnsi="Segoe UI" w:cs="Segoe UI"/>
          <w:shd w:val="clear" w:color="auto" w:fill="FFFFFF"/>
        </w:rPr>
        <w:t>环保技术则聚焦可降解助剂研发、废弃物回收利用（如再生浆技术）及低碳生产（低能耗设备、余热回收），以适应各国禁塑令及碳排放标准。这些技术相互关联，构成行业规模化生产与市场竞争的基础壁垒。环保技术</w:t>
      </w:r>
      <w:r>
        <w:rPr>
          <w:rFonts w:hint="eastAsia" w:ascii="Segoe UI" w:hAnsi="Segoe UI" w:cs="Segoe UI"/>
          <w:shd w:val="clear" w:color="auto" w:fill="FFFFFF"/>
        </w:rPr>
        <w:t>方面，</w:t>
      </w:r>
      <w:r>
        <w:rPr>
          <w:rFonts w:ascii="Segoe UI" w:hAnsi="Segoe UI" w:cs="Segoe UI"/>
          <w:shd w:val="clear" w:color="auto" w:fill="FFFFFF"/>
        </w:rPr>
        <w:t>可降解助剂</w:t>
      </w:r>
      <w:r>
        <w:rPr>
          <w:rFonts w:hint="eastAsia" w:ascii="Segoe UI" w:hAnsi="Segoe UI" w:cs="Segoe UI"/>
          <w:shd w:val="clear" w:color="auto" w:fill="FFFFFF"/>
        </w:rPr>
        <w:t>以及废水废料处理是比较容易产生知识产权纠纷的技术领域。</w:t>
      </w:r>
    </w:p>
    <w:p>
      <w:pPr>
        <w:ind w:firstLine="480"/>
      </w:pPr>
      <w:r>
        <w:rPr>
          <w:rFonts w:asciiTheme="majorEastAsia" w:hAnsiTheme="majorEastAsia" w:eastAsiaTheme="majorEastAsia"/>
        </w:rPr>
        <w:br w:type="page"/>
      </w:r>
    </w:p>
    <w:p>
      <w:pPr>
        <w:pStyle w:val="3"/>
        <w:spacing w:before="312" w:after="312"/>
      </w:pPr>
      <w:bookmarkStart w:id="42" w:name="_Toc203057700"/>
      <w:bookmarkStart w:id="43" w:name="_Toc1999"/>
      <w:r>
        <w:rPr>
          <w:rFonts w:hint="eastAsia"/>
        </w:rPr>
        <w:t>第三章 产业知识产权司法实践</w:t>
      </w:r>
      <w:bookmarkEnd w:id="42"/>
      <w:bookmarkEnd w:id="43"/>
    </w:p>
    <w:p>
      <w:pPr>
        <w:ind w:firstLine="562"/>
        <w:outlineLvl w:val="1"/>
        <w:rPr>
          <w:rFonts w:ascii="黑体" w:hAnsi="黑体" w:eastAsia="黑体"/>
          <w:b/>
          <w:bCs/>
          <w:sz w:val="28"/>
          <w:szCs w:val="28"/>
        </w:rPr>
      </w:pPr>
      <w:bookmarkStart w:id="44" w:name="_Toc2872"/>
      <w:bookmarkStart w:id="45" w:name="_Toc203057701"/>
      <w:r>
        <w:rPr>
          <w:rFonts w:ascii="黑体" w:hAnsi="黑体" w:eastAsia="黑体"/>
          <w:b/>
          <w:bCs/>
          <w:sz w:val="28"/>
          <w:szCs w:val="28"/>
        </w:rPr>
        <w:t>3</w:t>
      </w:r>
      <w:r>
        <w:rPr>
          <w:rFonts w:hint="eastAsia" w:ascii="黑体" w:hAnsi="黑体" w:eastAsia="黑体"/>
          <w:b/>
          <w:bCs/>
          <w:sz w:val="28"/>
          <w:szCs w:val="28"/>
        </w:rPr>
        <w:t>.1 商标</w:t>
      </w:r>
      <w:bookmarkEnd w:id="44"/>
      <w:bookmarkEnd w:id="45"/>
    </w:p>
    <w:p>
      <w:pPr>
        <w:ind w:firstLine="480"/>
      </w:pPr>
      <w:r>
        <w:rPr>
          <w:rFonts w:hint="eastAsia"/>
        </w:rPr>
        <w:t>商标侵权（Trademark Infringement）即商标侵权行为，是指行为人未经商标权人许可，在相同或类似商品上使用与其注册商标相同或近似的商标，或者其他干涉、妨碍商标权人使用其注册商标，损害商标权人合法权益的其他行为。</w:t>
      </w:r>
    </w:p>
    <w:p>
      <w:pPr>
        <w:ind w:firstLine="480"/>
      </w:pPr>
      <w:r>
        <w:rPr>
          <w:rFonts w:hint="eastAsia"/>
        </w:rPr>
        <w:t>随着经济的进一步发展，市场竞争进一步加剧，加之地方保护、对侵权获利的疯狂追逐等因素，商标侵权行为不时发生。但商标权被人为划定成“禁”（禁用权）与“行”（专用权）的不一致。在“行”的方面，权利的效力仅及于核准注册的商标和核定使用的商品或服务（商标法第五十一条），但在“禁”的方面，商标权人有权禁止他人未经许可在类似的商品或服务上使用近似的商标（商标法第五十二条第一项）。这样就造成了商标权侵权行为认定的任务十分复杂和艰巨。</w:t>
      </w:r>
    </w:p>
    <w:p>
      <w:pPr>
        <w:ind w:firstLine="480"/>
      </w:pPr>
      <w:r>
        <w:rPr>
          <w:rFonts w:hint="eastAsia"/>
        </w:rPr>
        <w:t>商标侵权行为的种类</w:t>
      </w:r>
    </w:p>
    <w:p>
      <w:pPr>
        <w:ind w:firstLine="480"/>
      </w:pPr>
      <w:r>
        <w:rPr>
          <w:rFonts w:hint="eastAsia"/>
        </w:rPr>
        <w:t>根据《中华人民共和国商标法》第五十七条，规定了七种侵犯注册商标专用权的行为：</w:t>
      </w:r>
    </w:p>
    <w:p>
      <w:pPr>
        <w:ind w:firstLine="480"/>
      </w:pPr>
      <w:r>
        <w:rPr>
          <w:rFonts w:hint="eastAsia"/>
        </w:rPr>
        <w:t>1．未经商标注册人的许可，在同一种商品上使用与其注册商标相同的商标的；</w:t>
      </w:r>
    </w:p>
    <w:p>
      <w:pPr>
        <w:ind w:firstLine="480"/>
      </w:pPr>
      <w:r>
        <w:rPr>
          <w:rFonts w:hint="eastAsia"/>
        </w:rPr>
        <w:t>2．未经商标注册人的许可，在同一种商品上使用与其注册商标近似的商标，或者在类似商品上使用与其注册商标相同或近似的商标，容易导致混淆的；</w:t>
      </w:r>
    </w:p>
    <w:p>
      <w:pPr>
        <w:ind w:firstLine="480"/>
      </w:pPr>
      <w:r>
        <w:rPr>
          <w:rFonts w:hint="eastAsia"/>
        </w:rPr>
        <w:t>3．销售侵犯注册商标专用权的商品的；</w:t>
      </w:r>
    </w:p>
    <w:p>
      <w:pPr>
        <w:ind w:firstLine="480"/>
      </w:pPr>
      <w:r>
        <w:rPr>
          <w:rFonts w:hint="eastAsia"/>
        </w:rPr>
        <w:t>4．伪造、擅自制造他人注册商标标识或者销售伪造、擅自制造的注册商标标识的；</w:t>
      </w:r>
    </w:p>
    <w:p>
      <w:pPr>
        <w:ind w:firstLine="480"/>
      </w:pPr>
      <w:r>
        <w:rPr>
          <w:rFonts w:hint="eastAsia"/>
        </w:rPr>
        <w:t>5．未经商标注册人同意，更换其注册商标并将该更换商标的商品又投入市场的；</w:t>
      </w:r>
    </w:p>
    <w:p>
      <w:pPr>
        <w:ind w:firstLine="480"/>
      </w:pPr>
      <w:r>
        <w:rPr>
          <w:rFonts w:hint="eastAsia"/>
        </w:rPr>
        <w:t>6．故意为侵犯他人商标专用权行为提供便利条件，帮助他人实施侵犯商标专用权行为的；</w:t>
      </w:r>
    </w:p>
    <w:p>
      <w:pPr>
        <w:ind w:firstLine="480"/>
      </w:pPr>
      <w:r>
        <w:rPr>
          <w:rFonts w:hint="eastAsia"/>
        </w:rPr>
        <w:t>7．给他人的注册商标专用权造成其他损害的；</w:t>
      </w:r>
    </w:p>
    <w:p>
      <w:pPr>
        <w:ind w:firstLine="480"/>
      </w:pPr>
      <w:r>
        <w:rPr>
          <w:rFonts w:hint="eastAsia"/>
        </w:rPr>
        <w:t>对侵犯注册商标权行为认定的过程</w:t>
      </w:r>
    </w:p>
    <w:p>
      <w:pPr>
        <w:ind w:firstLine="480"/>
      </w:pPr>
      <w:r>
        <w:rPr>
          <w:rFonts w:hint="eastAsia"/>
        </w:rPr>
        <w:t>对侵犯注册商标权行为认定的过程，有以下三个基本步骤：</w:t>
      </w:r>
    </w:p>
    <w:p>
      <w:pPr>
        <w:ind w:firstLine="480"/>
      </w:pPr>
      <w:r>
        <w:rPr>
          <w:rFonts w:hint="eastAsia"/>
        </w:rPr>
        <w:t>1．确定注册商标专用权的权利范围。注册商标专用权的权利范围是认定商标侵权的基本依据。判断商标侵权行为能否认定或称是否构成所考虑的一切因素都是围绕注册商标专用权的权利范围来进行的。根据中国商标法第五十一条的规定：“注册商标的专用权，以核准注册的商标和核定使用的商品为限。”显然，从这条规定看，注册商标专用权的权利范围只限于核准注册的商标和该注册商标所核定使用的商品。该范围由两个方面因素来确定，一是核准注册的商标；二是该注册商标所核定使用的商品。二者的结合，构成注册商标专用权的权利范围，也就为认定商标权侵权行为确定了与被控侵权对象进行比较的标准，以便得出是否构成侵权的结论。</w:t>
      </w:r>
    </w:p>
    <w:p>
      <w:pPr>
        <w:ind w:firstLine="480"/>
      </w:pPr>
      <w:r>
        <w:rPr>
          <w:rFonts w:hint="eastAsia"/>
        </w:rPr>
        <w:t>2．确定被控侵权的具体对象。被控侵权对象的确定由两个方面的因素所决定，一是被控侵权的商标，二是被控侵权的商标所使用的商品。确定被控侵权具体对象的意义，在于确定和固化被控侵权行为的载体，为下一步与商标权的保护范围的比对打下坚实基础。它与确定注册商标专用权的权利范围同样重要，它是认定商标侵权行为的另一比较对象。</w:t>
      </w:r>
    </w:p>
    <w:p>
      <w:pPr>
        <w:ind w:firstLine="480"/>
      </w:pPr>
      <w:r>
        <w:rPr>
          <w:rFonts w:hint="eastAsia"/>
        </w:rPr>
        <w:t>3．将被控侵权对象与注册商标和该注册商标所核定使用的商品进行比较，认定被控侵权的商标与注册商标是否相同或者近似，以及被控侵权商标所使用的商品与该注册商标所核定使用的商品是否属于同一种类或者相类似。通过认定侵权行为的三个基本步骤，特别是经过将被控侵权对象与注册商标和该注册商标所核定使用的商品进行比较后，就能认定是否构成商标侵权。</w:t>
      </w:r>
    </w:p>
    <w:p>
      <w:pPr>
        <w:ind w:firstLine="482"/>
        <w:rPr>
          <w:b/>
          <w:bCs/>
        </w:rPr>
      </w:pPr>
      <w:r>
        <w:rPr>
          <w:rFonts w:hint="eastAsia"/>
          <w:b/>
          <w:bCs/>
        </w:rPr>
        <w:t>案例：</w:t>
      </w:r>
      <w:r>
        <w:rPr>
          <w:b/>
          <w:bCs/>
        </w:rPr>
        <w:t>知名管道品牌“亚通”商标侵权纠纷案</w:t>
      </w:r>
    </w:p>
    <w:p>
      <w:pPr>
        <w:ind w:firstLine="514"/>
        <w:rPr>
          <w:rFonts w:asciiTheme="minorEastAsia" w:hAnsiTheme="minorEastAsia" w:eastAsiaTheme="minorEastAsia"/>
        </w:rPr>
      </w:pPr>
      <w:r>
        <w:rPr>
          <w:rFonts w:hint="eastAsia" w:asciiTheme="minorEastAsia" w:hAnsiTheme="minorEastAsia" w:eastAsiaTheme="minorEastAsia"/>
          <w:b/>
          <w:bCs/>
          <w:spacing w:val="8"/>
          <w:shd w:val="clear" w:color="auto" w:fill="FFFFFF"/>
        </w:rPr>
        <w:t>案情简介：</w:t>
      </w:r>
      <w:r>
        <w:rPr>
          <w:rFonts w:asciiTheme="minorEastAsia" w:hAnsiTheme="minorEastAsia" w:eastAsiaTheme="minorEastAsia"/>
          <w:spacing w:val="8"/>
          <w:shd w:val="clear" w:color="auto" w:fill="FFFFFF"/>
        </w:rPr>
        <w:t>原告福建亚通新材料科技股份有限公司（以下简称福建亚通公司）是一家生产、销售非金属管道、非塑料的水管阀等建筑材料的企业，原告依法享有的“亚通”及“亚通ATON”等系列注册商标，具有较高的知名度。被告浙江亚通管业有限公司（以下简称浙江亚通公司）作为原告的同业竞争者，分别在第17类和第19类商品上注册了与原告注册商标相近似的“恒亚通HENGATONG”和“恒亚通HOYAT”商标，原告随即提出异议，经过商评委复审以及行政诉讼，最终确定被告已获得注册的“恒亚通HENGATONG”和“恒亚通HOYAT”商标不予核准注册。后原告发现被告浙江亚通公司仍旧在其生产、销售的非金属管道等产品上印制有“恒亚通HOYAT”商标，遂通过公证购买了被告浙江亚通公司销售给被告张大琪的涉案被诉侵权产品，并诉至法院，要求两被告停止侵权行为并承担赔偿损失等法律责任</w:t>
      </w:r>
      <w:r>
        <w:rPr>
          <w:rFonts w:asciiTheme="minorEastAsia" w:hAnsiTheme="minorEastAsia" w:eastAsiaTheme="minorEastAsia"/>
        </w:rPr>
        <w:t>。</w:t>
      </w:r>
    </w:p>
    <w:p>
      <w:pPr>
        <w:pStyle w:val="2"/>
        <w:ind w:firstLine="514"/>
        <w:rPr>
          <w:rFonts w:asciiTheme="minorEastAsia" w:hAnsiTheme="minorEastAsia" w:eastAsiaTheme="minorEastAsia"/>
          <w:spacing w:val="8"/>
          <w:shd w:val="clear" w:color="auto" w:fill="FFFFFF"/>
        </w:rPr>
      </w:pPr>
      <w:r>
        <w:rPr>
          <w:rFonts w:hint="eastAsia" w:asciiTheme="minorEastAsia" w:hAnsiTheme="minorEastAsia" w:eastAsiaTheme="minorEastAsia" w:cstheme="minorBidi"/>
          <w:b/>
          <w:bCs/>
          <w:spacing w:val="8"/>
          <w:shd w:val="clear" w:color="auto" w:fill="FFFFFF"/>
        </w:rPr>
        <w:t>法院认为：</w:t>
      </w:r>
      <w:r>
        <w:rPr>
          <w:rFonts w:asciiTheme="minorEastAsia" w:hAnsiTheme="minorEastAsia" w:eastAsiaTheme="minorEastAsia"/>
          <w:spacing w:val="8"/>
          <w:shd w:val="clear" w:color="auto" w:fill="FFFFFF"/>
        </w:rPr>
        <w:t>原告系涉案“亚通”及“亚通ATON”系列注册商标专用权人，其合法权益应受我国商标法的保护。被告浙江亚通公司在其注册的与原告近似的商标不予核准注册后，依旧在类似商品上使用与原告注册商标相近似的“恒亚通HOYAT”商标，</w:t>
      </w:r>
      <w:r>
        <w:rPr>
          <w:rStyle w:val="24"/>
          <w:rFonts w:asciiTheme="minorEastAsia" w:hAnsiTheme="minorEastAsia" w:eastAsiaTheme="minorEastAsia"/>
          <w:spacing w:val="8"/>
          <w:shd w:val="clear" w:color="auto" w:fill="FFFFFF"/>
        </w:rPr>
        <w:t>其行为属于未经权利人许可，擅自生产、销售容易引起相关消费者混淆的商品，侵害了原告对涉案商标享有的专用权,应依法承担停止侵权、赔偿损失的民事法律责任。</w:t>
      </w:r>
      <w:r>
        <w:rPr>
          <w:rFonts w:asciiTheme="minorEastAsia" w:hAnsiTheme="minorEastAsia" w:eastAsiaTheme="minorEastAsia"/>
          <w:spacing w:val="8"/>
          <w:shd w:val="clear" w:color="auto" w:fill="FFFFFF"/>
        </w:rPr>
        <w:t>被告张大琪不知其所销售的系侵害商标权的产品，且已向法院提供被控侵权产品的合法来源和提供者，其依法不承担赔偿损失的民事法律责任，但应立即停止销售侵权产品。据此，判决两被告停止侵权行为；被告浙江亚通公司赔偿原告经济损失和合理费用共计70万元；驳回原告的其他诉讼请求。宣判后，双方均未在法定期限内提起上诉，判决发生法律效力。</w:t>
      </w:r>
    </w:p>
    <w:p>
      <w:pPr>
        <w:ind w:firstLine="482"/>
        <w:rPr>
          <w:rFonts w:asciiTheme="minorEastAsia" w:hAnsiTheme="minorEastAsia" w:eastAsiaTheme="minorEastAsia"/>
        </w:rPr>
      </w:pPr>
      <w:r>
        <w:rPr>
          <w:rFonts w:hint="eastAsia" w:asciiTheme="minorEastAsia" w:hAnsiTheme="minorEastAsia" w:eastAsiaTheme="minorEastAsia"/>
          <w:b/>
          <w:bCs/>
        </w:rPr>
        <w:t>案件点评：</w:t>
      </w:r>
      <w:r>
        <w:rPr>
          <w:rFonts w:asciiTheme="minorEastAsia" w:hAnsiTheme="minorEastAsia" w:eastAsiaTheme="minorEastAsia"/>
        </w:rPr>
        <w:t>商标作为一种重要的商业标记，日益成为市场主体参与市场竞争的重要工具，而知名商标因其重要性和价值性，更容易成为侵权人仿冒的对象，在相同或类似商品上使用近似商标成为商标侵权的重要形式，如何准确进行商标近似判断成为司法实践的一个重要问题。</w:t>
      </w:r>
      <w:r>
        <w:rPr>
          <w:rStyle w:val="24"/>
          <w:rFonts w:asciiTheme="minorEastAsia" w:hAnsiTheme="minorEastAsia" w:eastAsiaTheme="minorEastAsia"/>
        </w:rPr>
        <w:t>根据相关司法解释的规定，认定商标是否近似应以相关公众的一般注意力为标准，既要对商标的整体进行比对，又要对商标的主要部分进行比对，同时需要考虑请求保护注册商标的显著性和知名度。</w:t>
      </w:r>
      <w:r>
        <w:rPr>
          <w:rFonts w:asciiTheme="minorEastAsia" w:hAnsiTheme="minorEastAsia" w:eastAsiaTheme="minorEastAsia"/>
        </w:rPr>
        <w:t>就本案而言，原告作为一家老牌的管道生产企业，其享有的“亚通”系列商标获得过著名商标、名牌产品等称号，并曾被认定为驰名商标，在市场上具有较高的知名度，其“亚通”系列管道产品亦占有较高的市场份额。被告作为同行业竞争者理应对原告的商标知名度和市场占有率有较为深刻的认识，被告使用“恒亚通HOYAT”商标，“恒”字用来修饰“亚通”，其显著性较弱，在一般公众看来，容易产生“恒亚通HOYAT”与“亚通”的关联性联想，误认为被告浙江亚通公司生产、销售的产品来源于原告。况且，被告浙江亚通公司注册的“恒亚通HOYAT”商标经过商评委复审和行政诉讼后不予核准注册，这进一步加强了该商标与原告商标构成近似的判断。故被告浙江亚通公司生产、销售涉案产品的行为构成了对原告商标权的侵害，应承担停止侵权和赔偿损失的责任。本案对仿冒他人知名商标的行为具有警示和教育作用。</w:t>
      </w:r>
    </w:p>
    <w:p>
      <w:pPr>
        <w:ind w:firstLine="562"/>
        <w:outlineLvl w:val="1"/>
        <w:rPr>
          <w:rFonts w:ascii="黑体" w:hAnsi="黑体" w:eastAsia="黑体"/>
          <w:b/>
          <w:bCs/>
          <w:sz w:val="28"/>
          <w:szCs w:val="28"/>
        </w:rPr>
      </w:pPr>
      <w:bookmarkStart w:id="46" w:name="_Toc5502"/>
      <w:bookmarkStart w:id="47" w:name="_Toc203057702"/>
      <w:r>
        <w:rPr>
          <w:rFonts w:ascii="黑体" w:hAnsi="黑体" w:eastAsia="黑体"/>
          <w:b/>
          <w:bCs/>
          <w:sz w:val="28"/>
          <w:szCs w:val="28"/>
        </w:rPr>
        <w:t>3</w:t>
      </w:r>
      <w:r>
        <w:rPr>
          <w:rFonts w:hint="eastAsia" w:ascii="黑体" w:hAnsi="黑体" w:eastAsia="黑体"/>
          <w:b/>
          <w:bCs/>
          <w:sz w:val="28"/>
          <w:szCs w:val="28"/>
        </w:rPr>
        <w:t>.2 不正当竞争</w:t>
      </w:r>
      <w:bookmarkEnd w:id="46"/>
      <w:bookmarkEnd w:id="47"/>
    </w:p>
    <w:p>
      <w:pPr>
        <w:ind w:firstLine="480"/>
      </w:pPr>
      <w:r>
        <w:rPr>
          <w:rFonts w:hint="eastAsia"/>
        </w:rPr>
        <w:t>我国在竞争法立法过程中，就条件比较成熟的反不正当竞争先行立法，但在制定《反不正当竞争法》时，考虑到有些垄断行为已相当普遍，危害了公平竞争秩序，该法也对相关垄断行为作了规定。2017年《反不正当竞争法》修订，才将原先规定的5种垄断行为予以废止。根据不正当竞争行为的方式和手段，《反不正当竞争法》第二章将其归纳为7种类型。</w:t>
      </w:r>
    </w:p>
    <w:p>
      <w:pPr>
        <w:ind w:firstLine="480"/>
      </w:pPr>
      <w:r>
        <w:rPr>
          <w:rFonts w:hint="eastAsia"/>
        </w:rPr>
        <w:t>（一）混淆行为</w:t>
      </w:r>
    </w:p>
    <w:p>
      <w:pPr>
        <w:ind w:firstLine="480"/>
      </w:pPr>
      <w:r>
        <w:rPr>
          <w:rFonts w:hint="eastAsia"/>
        </w:rPr>
        <w:t>混淆行为是假借和冒充其他经营者或其商品的名称、商标、质量和产地标志等，以使人混淆、产生误解的行为。它包括以下行为：第一，擅自使用与他人有一定影响的商品名称、包装、装潢等相同或者近似的标识；第二，擅自使用他人有一定影响的企业名称（包括简称、字号等）、社会组织名称（包括简称等）、姓名（包括笔名、艺名、译名等）；第三，擅自使用他人有一定影响的域名主体部分、网站名称、网页等；第四，其他足以引人误认为是他人商品或者与他人存在特定联系的混淆行为。</w:t>
      </w:r>
    </w:p>
    <w:p>
      <w:pPr>
        <w:ind w:firstLine="480"/>
      </w:pPr>
      <w:r>
        <w:rPr>
          <w:rFonts w:hint="eastAsia"/>
        </w:rPr>
        <w:t>（二）商业贿赂行为</w:t>
      </w:r>
    </w:p>
    <w:p>
      <w:pPr>
        <w:ind w:firstLine="480"/>
      </w:pPr>
      <w:r>
        <w:rPr>
          <w:rFonts w:hint="eastAsia"/>
        </w:rPr>
        <w:t>商业贿赂行为是指经营者采用财物或者其他手段进行贿赂以谋取交易机会或者竞争优势。贿赂的对象可以是交易相对方的工作人员，也可以是受交易相对方委托办理相关事务的单位或者个人；贿赂的方法通常是直接或间接给予利益，也可能是利用职权或者影响力影响交易的单位或者个人。《反不正当竞争法》规定，经营者在交易活动中，可以以明示方式给对方折扣，也可以给中间人佣金，但必须如实入账；接受折扣、佣金的经营者也必须如实入账。凡在账外暗中给予对方单位或者个人回扣的，以行贿论处；对方单位或者个人在账外暗中收受回扣的，以受贿论处。</w:t>
      </w:r>
    </w:p>
    <w:p>
      <w:pPr>
        <w:ind w:firstLine="480"/>
      </w:pPr>
      <w:r>
        <w:rPr>
          <w:rFonts w:hint="eastAsia"/>
        </w:rPr>
        <w:t>经营者的工作人员进行贿赂的，应当认定为经营者的行为；但是，经营者有证据证明该工作人员的行为与为经营者谋取交易机会或者竞争优势无关的除外。</w:t>
      </w:r>
    </w:p>
    <w:p>
      <w:pPr>
        <w:ind w:firstLine="480"/>
      </w:pPr>
      <w:r>
        <w:rPr>
          <w:rFonts w:hint="eastAsia"/>
        </w:rPr>
        <w:t>（三）虚假宣传行为</w:t>
      </w:r>
    </w:p>
    <w:p>
      <w:pPr>
        <w:ind w:firstLine="480"/>
      </w:pPr>
      <w:r>
        <w:rPr>
          <w:rFonts w:hint="eastAsia"/>
        </w:rPr>
        <w:t>虚假宣传行为是指经营者利用广告或者其他方法，对商品的性能、功能、质量、销售状况、用户评价、曾获荣誉等作虚假或引人误解的宣传，欺骗、误导消费者的行为。鉴于在网络交易中出现了“刷单”“加粉”等灰色产业链，修订后的《反不正当竞争法》增加规定，经营者不得通过组织虚假交易等方式，帮助其他经营者进行虚假或者引人误解的商业宣传。</w:t>
      </w:r>
    </w:p>
    <w:p>
      <w:pPr>
        <w:ind w:firstLine="480"/>
      </w:pPr>
      <w:r>
        <w:rPr>
          <w:rFonts w:hint="eastAsia"/>
        </w:rPr>
        <w:t>（四）侵犯商业秘密行为</w:t>
      </w:r>
    </w:p>
    <w:p>
      <w:pPr>
        <w:ind w:firstLine="480"/>
      </w:pPr>
      <w:r>
        <w:rPr>
          <w:rFonts w:hint="eastAsia"/>
        </w:rPr>
        <w:t>侵犯商业秘密行为，是指经营者通过不正当手段，违法获取、披露、使用或者允许他人使用权利人的商业秘密的行为。所谓商业秘密，是指不为公众所知悉，具有商业价值，并经权利人采取相应保密措施的技术信息和经营信息。侵犯商业秘密所采取的不正当手段包括：第一，以盗窃、贿赂、欺诈、胁迫或者其他不正当手段获取权利人的商业秘密；第二，披露、使用或者允许他人使用以前项手段获取的权利人的商业秘密；第三，违反约定或者违反权利人有关保守商业秘密的要求，披露、使用或者允许他人使用其所掌握的商业秘密。此外，第三人明知或者应知商业秘密权利人的员工、前员工或者其他单位、个人实施上述违法行为，仍获取、披露、使用或者允许他人使用该商业秘密的，视为侵犯商业秘密。</w:t>
      </w:r>
    </w:p>
    <w:p>
      <w:pPr>
        <w:ind w:firstLine="480"/>
      </w:pPr>
      <w:r>
        <w:rPr>
          <w:rFonts w:hint="eastAsia"/>
        </w:rPr>
        <w:t>（五）不当奖售行为</w:t>
      </w:r>
    </w:p>
    <w:p>
      <w:pPr>
        <w:ind w:firstLine="480"/>
      </w:pPr>
      <w:r>
        <w:rPr>
          <w:rFonts w:hint="eastAsia"/>
        </w:rPr>
        <w:t>不当奖售行为，是指经营者不法进行的不正当的有奖销售行为。有奖销售是经营者的一种促销手段，正当的有奖销售，法律是允许的；而不正当的有奖销售，不仅会损害同业竞争者的利益，而且会损害消费者的利益和公序良俗。因此，《反不正当竞争法》第10条规定，经营者从事有奖销售不得存在下列情形：（1）所设奖的种类、兑奖条件、奖金金额或者奖品等有奖销售信息不明确，影响兑奖；（2）采用谎称有奖或者故意让内定人员中奖的欺骗方式进行有奖销售；（3）抽奖式的有奖销售，最高奖的金额超过5万元。</w:t>
      </w:r>
    </w:p>
    <w:p>
      <w:pPr>
        <w:ind w:firstLine="480"/>
      </w:pPr>
      <w:r>
        <w:rPr>
          <w:rFonts w:hint="eastAsia"/>
        </w:rPr>
        <w:t>（六）诋毁商誉行为</w:t>
      </w:r>
    </w:p>
    <w:p>
      <w:pPr>
        <w:ind w:firstLine="480"/>
      </w:pPr>
      <w:r>
        <w:rPr>
          <w:rFonts w:hint="eastAsia"/>
        </w:rPr>
        <w:t>诋毁商誉行为是指经营者捏造、散布虚假信息或者误导性信息，损害竞争对手的商业信誉和商品声誉的行为。诋毁他人商誉可能形成对他人企业、商品或“老板”的负面评价，削弱竞争对手对顾客的吸引力，从而争夺和扩大自己的市场。该行为违背公认的商业道德和市场竞争规则，是不正当的、违法的。</w:t>
      </w:r>
    </w:p>
    <w:p>
      <w:pPr>
        <w:ind w:firstLine="480"/>
      </w:pPr>
      <w:r>
        <w:rPr>
          <w:rFonts w:hint="eastAsia"/>
        </w:rPr>
        <w:t>（七）网络不正当竞争行为</w:t>
      </w:r>
    </w:p>
    <w:p>
      <w:pPr>
        <w:ind w:firstLine="480"/>
      </w:pPr>
      <w:r>
        <w:rPr>
          <w:rFonts w:hint="eastAsia"/>
        </w:rPr>
        <w:t>网络不正当竞争行为，是指经营者利用技术手段，通过影响用户选择或者其他方式妨碍、破坏其他经营者合法提供的网络产品或者服务正常运行的行为。互联网经济日益发达，网络上违反诚实信用的商业竞争行为也越来越多，层出不穷。2017年《反不正当竞争法》修订时遂以列举加兜底方式对其作了规定，明确将网络不正当竞争行为纳入反不正当竞争法的调整范围。</w:t>
      </w:r>
    </w:p>
    <w:p>
      <w:pPr>
        <w:ind w:firstLine="480"/>
      </w:pPr>
      <w:r>
        <w:rPr>
          <w:rFonts w:hint="eastAsia"/>
        </w:rPr>
        <w:t>《反不正当竞争法》第12条第2款规定了三种具体不正当竞争行为：（1）未经其他经营者同意，在其合法提供的网络产品或者服务中，插入链接、强制进行目标跳转；（2）误导、欺骗、强迫用户修改、关闭、卸载其他经营者合法提供的网络产品或者服务；（3）恶意对其他经营者合法提供的网络产品或者服务实施不兼容。这些行为比较常见，经营者和消费者都能感同身受。而网络技术和商业手段日新月异，对网络不正当竞争行为不可能穷尽列举，因此该款第4项规定,经营者也不得从事其他妨碍、破坏其他经营者合法提供的网络产品或者服务正常运行的行为。</w:t>
      </w:r>
    </w:p>
    <w:p>
      <w:pPr>
        <w:pStyle w:val="20"/>
        <w:shd w:val="clear" w:color="auto" w:fill="FFFFFF"/>
        <w:ind w:firstLine="482"/>
        <w:rPr>
          <w:rFonts w:cs="Arial" w:asciiTheme="minorEastAsia" w:hAnsiTheme="minorEastAsia" w:eastAsiaTheme="minorEastAsia"/>
          <w:b/>
          <w:bCs/>
          <w:color w:val="000000"/>
          <w:kern w:val="0"/>
        </w:rPr>
      </w:pPr>
      <w:r>
        <w:rPr>
          <w:rFonts w:hint="eastAsia" w:asciiTheme="minorEastAsia" w:hAnsiTheme="minorEastAsia" w:eastAsiaTheme="minorEastAsia"/>
          <w:b/>
          <w:bCs/>
        </w:rPr>
        <w:t>案例：</w:t>
      </w:r>
      <w:r>
        <w:rPr>
          <w:rFonts w:cs="Arial" w:asciiTheme="minorEastAsia" w:hAnsiTheme="minorEastAsia" w:eastAsiaTheme="minorEastAsia"/>
          <w:b/>
          <w:bCs/>
          <w:color w:val="000000"/>
          <w:kern w:val="0"/>
        </w:rPr>
        <w:t>江阴市某钢管有限公司实施混淆行为案</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基本案情</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江阴市某钢管有限公司主要从事钢管及其他金属制品的销售。为及时供应客户少量急需的“JD”品牌钢管，当事人通过购置喷码机喷标的方式，在其事先备好的相应规格型号的无标无缝钢管上擅自喷标“JD”+CCS(船级社认证标志)+型号规格+炉批号+产品标准代号，使其产品标识与江苏某新材料有限公司产品所特有的企业识别代码“JD”及产品相应标识符号（JD+型号规格+具体产品编号+产品标准号+CCS）一致，让客户误认为该批钢管系由江苏某新材料有限公司所生产。经查，江苏某新材料有限公司生产的“JD”钢管在行业内有一定的知名度和认可度，其产品相关代码有一定识别度。经过计算，该批钢管共46支，总重2.04吨，货值金额10000元。</w:t>
      </w:r>
    </w:p>
    <w:p>
      <w:pPr>
        <w:widowControl/>
        <w:shd w:val="clear" w:color="auto" w:fill="FFFFFF"/>
        <w:ind w:firstLine="482"/>
        <w:rPr>
          <w:rFonts w:cs="Arial" w:asciiTheme="minorEastAsia" w:hAnsiTheme="minorEastAsia" w:eastAsiaTheme="minorEastAsia"/>
          <w:color w:val="000000"/>
          <w:kern w:val="0"/>
        </w:rPr>
      </w:pPr>
      <w:r>
        <w:rPr>
          <w:rFonts w:cs="Arial" w:asciiTheme="minorEastAsia" w:hAnsiTheme="minorEastAsia" w:eastAsiaTheme="minorEastAsia"/>
          <w:b/>
          <w:bCs/>
          <w:color w:val="000000"/>
          <w:kern w:val="0"/>
        </w:rPr>
        <w:t>法律依据及处罚</w:t>
      </w:r>
      <w:r>
        <w:rPr>
          <w:rFonts w:hint="eastAsia" w:cs="Arial" w:asciiTheme="minorEastAsia" w:hAnsiTheme="minorEastAsia" w:eastAsiaTheme="minorEastAsia"/>
          <w:b/>
          <w:bCs/>
          <w:color w:val="000000"/>
          <w:kern w:val="0"/>
        </w:rPr>
        <w:t>：</w:t>
      </w:r>
      <w:r>
        <w:rPr>
          <w:rFonts w:cs="Arial" w:asciiTheme="minorEastAsia" w:hAnsiTheme="minorEastAsia" w:eastAsiaTheme="minorEastAsia"/>
          <w:color w:val="000000"/>
          <w:kern w:val="0"/>
        </w:rPr>
        <w:t>当事人实施擅自使用他人有一定影响的商品标识的混淆行为违反了《中华人民共和国反不正当竞争法》第六条之规定，根据《中华人民共和国反不正当竞争法》第十八条第一款之规定，江阴市市场监督管理局决定作出没收违法商品、罚款130000元的行政处罚。</w:t>
      </w:r>
    </w:p>
    <w:p>
      <w:pPr>
        <w:ind w:firstLine="562"/>
        <w:outlineLvl w:val="1"/>
        <w:rPr>
          <w:rFonts w:ascii="黑体" w:hAnsi="黑体" w:eastAsia="黑体"/>
          <w:b/>
          <w:bCs/>
          <w:sz w:val="28"/>
          <w:szCs w:val="28"/>
        </w:rPr>
      </w:pPr>
      <w:bookmarkStart w:id="48" w:name="_Toc203057703"/>
      <w:bookmarkStart w:id="49" w:name="_Toc25368"/>
      <w:r>
        <w:rPr>
          <w:rFonts w:ascii="黑体" w:hAnsi="黑体" w:eastAsia="黑体"/>
          <w:b/>
          <w:bCs/>
          <w:sz w:val="28"/>
          <w:szCs w:val="28"/>
        </w:rPr>
        <w:t>3</w:t>
      </w:r>
      <w:r>
        <w:rPr>
          <w:rFonts w:hint="eastAsia" w:ascii="黑体" w:hAnsi="黑体" w:eastAsia="黑体"/>
          <w:b/>
          <w:bCs/>
          <w:sz w:val="28"/>
          <w:szCs w:val="28"/>
        </w:rPr>
        <w:t>.3 软著</w:t>
      </w:r>
      <w:bookmarkEnd w:id="48"/>
      <w:bookmarkEnd w:id="49"/>
    </w:p>
    <w:p>
      <w:pPr>
        <w:ind w:firstLine="480"/>
      </w:pPr>
      <w:r>
        <w:rPr>
          <w:rFonts w:hint="eastAsia"/>
        </w:rPr>
        <w:t>软件著作权界定侵权的相关规定如下：</w:t>
      </w:r>
    </w:p>
    <w:p>
      <w:pPr>
        <w:ind w:firstLine="480"/>
      </w:pPr>
      <w:r>
        <w:rPr>
          <w:rFonts w:hint="eastAsia"/>
        </w:rPr>
        <w:t>1．剽窃。剽窃是指将他人依法享有著作权的软件窃为己有并发表或者登记的行为。剽窃的主要表现是采取抄袭或部分抄袭等方式，在他人软件上署自己的名称(或姓名)并发表或者登记。</w:t>
      </w:r>
    </w:p>
    <w:p>
      <w:pPr>
        <w:ind w:firstLine="480"/>
      </w:pPr>
      <w:r>
        <w:rPr>
          <w:rFonts w:hint="eastAsia"/>
        </w:rPr>
        <w:t>2．非法复制。非法复制是指未经软件著作权人许可，擅自将他人软件制作一份或者多份的行为的行为。非法复制的主要表现形式是盗版，这种侵权行为直接掠夺了正版厂商的市场份额和商业利润，是目前最为普遍的软件侵权行为，危害性十分明显，也最为公众熟知。</w:t>
      </w:r>
    </w:p>
    <w:p>
      <w:pPr>
        <w:ind w:firstLine="480"/>
      </w:pPr>
      <w:r>
        <w:rPr>
          <w:rFonts w:hint="eastAsia"/>
        </w:rPr>
        <w:t>3．擅自使用。擅自使用是指未经软件著作权人许可，又无法律根据，对他人软件实施演示、修改、翻译、注释、应用的不合法的使用行为。</w:t>
      </w:r>
    </w:p>
    <w:p>
      <w:pPr>
        <w:ind w:firstLine="480"/>
      </w:pPr>
      <w:r>
        <w:rPr>
          <w:rFonts w:hint="eastAsia"/>
        </w:rPr>
        <w:t>4．擅自许可他人使用。擅自许可他人使用是指未经软件著作权人许可，又无法律根据，未经授权许可第三人使用他人软件的行为。</w:t>
      </w:r>
    </w:p>
    <w:p>
      <w:pPr>
        <w:ind w:firstLine="480"/>
      </w:pPr>
      <w:r>
        <w:rPr>
          <w:rFonts w:hint="eastAsia"/>
        </w:rPr>
        <w:t>《中华人民共和国著作权法》第四十八条</w:t>
      </w:r>
    </w:p>
    <w:p>
      <w:pPr>
        <w:ind w:firstLine="480"/>
      </w:pPr>
      <w:r>
        <w:rPr>
          <w:rFonts w:hint="eastAsia"/>
        </w:rPr>
        <w:t>有下列侵权行为的，应当根据情况，承担停止侵害、消除影响、赔礼道歉、赔偿损失等民事责任;同时损害公共利益的，可以由著作权行政管理部门责令停止侵权行为，没收违法所得，没收、销毁侵权复制品，并可处以罚款;情节严重的，著作权行政管理部门还可以没收主要用于制作侵权复制品的材料、工具、设备等;构成犯罪的，依法追究刑事责任：</w:t>
      </w:r>
    </w:p>
    <w:p>
      <w:pPr>
        <w:ind w:firstLine="480"/>
      </w:pPr>
      <w:r>
        <w:rPr>
          <w:rFonts w:hint="eastAsia"/>
        </w:rPr>
        <w:t>(一)未经著作权人许可，复制、发行、表演、放映、广播、汇编、通过信息网络向公众传播其作品的，本法另有规定的除外;</w:t>
      </w:r>
    </w:p>
    <w:p>
      <w:pPr>
        <w:ind w:firstLine="480"/>
      </w:pPr>
      <w:r>
        <w:rPr>
          <w:rFonts w:hint="eastAsia"/>
        </w:rPr>
        <w:t>(二)出版他人享有专有出版权的图书的;</w:t>
      </w:r>
    </w:p>
    <w:p>
      <w:pPr>
        <w:ind w:firstLine="480"/>
      </w:pPr>
      <w:r>
        <w:rPr>
          <w:rFonts w:hint="eastAsia"/>
        </w:rPr>
        <w:t>(三)未经表演者许可，复制、发行录有其表演的录音录像制品，或者通过信息网络向公众传播其表演的，本法另有规定的除外;</w:t>
      </w:r>
    </w:p>
    <w:p>
      <w:pPr>
        <w:ind w:firstLine="480"/>
      </w:pPr>
      <w:r>
        <w:rPr>
          <w:rFonts w:hint="eastAsia"/>
        </w:rPr>
        <w:t>(四)未经录音录像制作者许可，复制、发行、通过信息网络向公众传播其制作的录音录像制品的，本法另有规定的除外;</w:t>
      </w:r>
    </w:p>
    <w:p>
      <w:pPr>
        <w:ind w:firstLine="480"/>
      </w:pPr>
      <w:r>
        <w:rPr>
          <w:rFonts w:hint="eastAsia"/>
        </w:rPr>
        <w:t>(五)未经许可，播放或者复制广播、电视的，本法另有规定的除外;</w:t>
      </w:r>
    </w:p>
    <w:p>
      <w:pPr>
        <w:ind w:firstLine="480"/>
      </w:pPr>
      <w:r>
        <w:rPr>
          <w:rFonts w:hint="eastAsia"/>
        </w:rPr>
        <w:t>(六)未经著作权人或者与著作权有关的权利人许可，故意避开或者破坏权利人为其作品、录音录像制品等采取的保护著作权或者与著作权有关的权利的技术措施的，法律、行政法规另有规定的除外;</w:t>
      </w:r>
    </w:p>
    <w:p>
      <w:pPr>
        <w:ind w:firstLine="480"/>
      </w:pPr>
      <w:r>
        <w:rPr>
          <w:rFonts w:hint="eastAsia"/>
        </w:rPr>
        <w:t>(七)未经著作权人或者与著作权有关的权利人许可，故意删除或者改变作品、录音录像制品等的权利管理电子信息的，法律、行政法规另有规定的除外;</w:t>
      </w:r>
    </w:p>
    <w:p>
      <w:pPr>
        <w:ind w:firstLine="480"/>
      </w:pPr>
      <w:r>
        <w:rPr>
          <w:rFonts w:hint="eastAsia"/>
        </w:rPr>
        <w:t>(八)制作、出售假冒他人署名的作品的。</w:t>
      </w:r>
    </w:p>
    <w:p>
      <w:pPr>
        <w:ind w:firstLine="482"/>
        <w:rPr>
          <w:b/>
          <w:bCs/>
        </w:rPr>
      </w:pPr>
      <w:r>
        <w:rPr>
          <w:rFonts w:hint="eastAsia"/>
          <w:b/>
          <w:bCs/>
        </w:rPr>
        <w:t>案例：</w:t>
      </w:r>
      <w:r>
        <w:rPr>
          <w:b/>
          <w:bCs/>
        </w:rPr>
        <w:t>达索公司计算机软件著作权案</w:t>
      </w:r>
    </w:p>
    <w:p>
      <w:pPr>
        <w:ind w:firstLine="480"/>
      </w:pPr>
      <w:r>
        <w:t>达索公司是全球领先的3D设计软件开发及销售商，系SOLIDWORKS系列计算机软件作品的著作权人。应达索公司申请，法院于2020年8月19日到海天公司进行诉前证据保全。在证据保全过程中，海天公司阻挠技术专家查看电脑，并且拆除电脑主机。经释明后，海天公司仍无正当理由拒绝配合取证工作。经法院现场清点，海天公司办公室共有77台电脑，其中有33台电脑的主机被拆除。法院从现场未被拆除的44台电脑中随机抽查了4台，发现有1台电脑安装了涉案软件。达索公司以海天公司侵害涉案软件著作权为由诉至法院。</w:t>
      </w:r>
    </w:p>
    <w:p>
      <w:pPr>
        <w:ind w:firstLine="480"/>
      </w:pPr>
      <w:r>
        <w:t>海天公司未经许可，复制了达索公司享有著作权的计算机软件，构成侵权。海天公司擅自将33台电脑的主机拆除，致使法院无法保全证据，故应当认定这33台电脑中均安装了涉案软件。对未被拆除的44台电脑，可以按照1/4的比例确定安装侵权软件的电脑数量为11台。法院按照安装侵权软件电脑的数量44台，判决海天公司赔偿186万元。</w:t>
      </w:r>
    </w:p>
    <w:p>
      <w:pPr>
        <w:ind w:firstLine="562"/>
        <w:outlineLvl w:val="1"/>
        <w:rPr>
          <w:rFonts w:ascii="黑体" w:hAnsi="黑体" w:eastAsia="黑体"/>
          <w:b/>
          <w:bCs/>
          <w:sz w:val="28"/>
          <w:szCs w:val="28"/>
        </w:rPr>
      </w:pPr>
      <w:bookmarkStart w:id="50" w:name="_Toc30522"/>
      <w:bookmarkStart w:id="51" w:name="_Toc203057704"/>
      <w:r>
        <w:rPr>
          <w:rFonts w:ascii="黑体" w:hAnsi="黑体" w:eastAsia="黑体"/>
          <w:b/>
          <w:bCs/>
          <w:sz w:val="28"/>
          <w:szCs w:val="28"/>
        </w:rPr>
        <w:t>3</w:t>
      </w:r>
      <w:r>
        <w:rPr>
          <w:rFonts w:hint="eastAsia" w:ascii="黑体" w:hAnsi="黑体" w:eastAsia="黑体"/>
          <w:b/>
          <w:bCs/>
          <w:sz w:val="28"/>
          <w:szCs w:val="28"/>
        </w:rPr>
        <w:t>.4 专利</w:t>
      </w:r>
      <w:bookmarkEnd w:id="50"/>
      <w:bookmarkEnd w:id="51"/>
    </w:p>
    <w:p>
      <w:pPr>
        <w:ind w:firstLine="480"/>
      </w:pPr>
      <w:r>
        <w:rPr>
          <w:rFonts w:hint="eastAsia"/>
        </w:rPr>
        <w:t>根据行为人有无直接实施侵犯他人专利权的行为及被控侵权产品或方法落入保护范围的形式，学理上可将专利侵权作出以下分类：</w:t>
      </w:r>
    </w:p>
    <w:p>
      <w:pPr>
        <w:ind w:firstLine="480"/>
      </w:pPr>
      <w:r>
        <w:rPr>
          <w:rFonts w:hint="eastAsia"/>
        </w:rPr>
        <w:t>1.直接侵权与间接侵权</w:t>
      </w:r>
    </w:p>
    <w:p>
      <w:pPr>
        <w:ind w:firstLine="480"/>
      </w:pPr>
      <w:r>
        <w:rPr>
          <w:rFonts w:hint="eastAsia"/>
        </w:rPr>
        <w:t>直接侵权。直接侵权是指行为人直接实施了专利法所禁止的侵犯他人专利权的行为，如制造、使用或销售受保护专利产品。</w:t>
      </w:r>
    </w:p>
    <w:p>
      <w:pPr>
        <w:ind w:firstLine="480"/>
      </w:pPr>
      <w:r>
        <w:rPr>
          <w:rFonts w:hint="eastAsia"/>
        </w:rPr>
        <w:t>间接侵权。间接侵权是指行为人虽然没有直接实施了侵害他人专利权的行为，但是却教唆诱使了直接侵权行为的实施，或帮助了他人实施直接侵权行为。</w:t>
      </w:r>
    </w:p>
    <w:p>
      <w:pPr>
        <w:ind w:firstLine="480"/>
      </w:pPr>
      <w:r>
        <w:rPr>
          <w:rFonts w:hint="eastAsia"/>
        </w:rPr>
        <w:t>2.相同侵权与等同侵权</w:t>
      </w:r>
    </w:p>
    <w:p>
      <w:pPr>
        <w:ind w:firstLine="480"/>
      </w:pPr>
      <w:r>
        <w:rPr>
          <w:rFonts w:hint="eastAsia"/>
        </w:rPr>
        <w:t>相同侵权。相同侵权又被称为字面侵权，顾名思义，是指被控侵权产品或方法的技术方案直接落入受保护专利权利要求的字面描述的范围的侵权行为。</w:t>
      </w:r>
    </w:p>
    <w:p>
      <w:pPr>
        <w:ind w:firstLine="480"/>
      </w:pPr>
      <w:r>
        <w:rPr>
          <w:rFonts w:hint="eastAsia"/>
        </w:rPr>
        <w:t>等同侵权。等同侵权是指被控侵权产品或方法的技术方案虽然没有直接落入权利要求的字面描述的范围，但却与权利要求的技术方案并无本质上的区别，据此被认定为实际上落入保护范围的侵权行为。</w:t>
      </w:r>
    </w:p>
    <w:p>
      <w:pPr>
        <w:ind w:firstLine="482"/>
        <w:rPr>
          <w:rFonts w:cs="Arial" w:asciiTheme="minorEastAsia" w:hAnsiTheme="minorEastAsia" w:eastAsiaTheme="minorEastAsia"/>
          <w:b/>
          <w:bCs/>
          <w:color w:val="222222"/>
          <w:shd w:val="clear" w:color="auto" w:fill="FFFFFF"/>
        </w:rPr>
      </w:pPr>
      <w:r>
        <w:rPr>
          <w:rFonts w:hint="eastAsia" w:asciiTheme="minorEastAsia" w:hAnsiTheme="minorEastAsia" w:eastAsiaTheme="minorEastAsia"/>
          <w:b/>
          <w:bCs/>
        </w:rPr>
        <w:t>案例：</w:t>
      </w:r>
      <w:r>
        <w:rPr>
          <w:rFonts w:cs="Arial" w:asciiTheme="minorEastAsia" w:hAnsiTheme="minorEastAsia" w:eastAsiaTheme="minorEastAsia"/>
          <w:b/>
          <w:bCs/>
          <w:color w:val="222222"/>
          <w:shd w:val="clear" w:color="auto" w:fill="FFFFFF"/>
        </w:rPr>
        <w:t>“蜜胺”发明专利及技术秘密侵权两案</w:t>
      </w:r>
    </w:p>
    <w:p>
      <w:pPr>
        <w:ind w:firstLine="480"/>
      </w:pPr>
      <w:r>
        <w:rPr>
          <w:rFonts w:hint="eastAsia"/>
        </w:rPr>
        <w:t>基本案情：</w:t>
      </w:r>
      <w:r>
        <w:t>金象公司、烨晶公司系专利号为201110108644.9、名称为“节能节资型气相淬冷法蜜胺生产系统及其工艺”的发明专利权利人，金象公司亦为采用加压气相淬冷法生产蜜胺的方法及使用该方法的生产系统相关技术秘密权利人。金象公司、烨晶公司针对华鲁恒升公司等四被告侵害涉案专利权的行为向广州知识产权法院提起诉讼。金象公司亦针对上述四被告侵害技术秘密的行为向四川省成都市中级人民法院提起诉讼。两法院一审分别认定，四被告共同实施了专利侵权行为、技术秘密侵权行为，均判决停止侵害，并分别部分支持了有关损害赔偿请求。双方当事人对两案均不服，均提起上诉。最高人民法院二审认为，各被诉侵权人具有侵权的意思联络，主观上彼此明知，先后实施相应侵权行为构成完整的侵权行为链，客观上分工协作，属共同故意实施侵权行为，应当对全部侵权损害承担连带责任。遂改判支持权利人的全部诉讼请求，判令侵权人以包括但不限于拆除的方式销毁侵权生产系统及有关技术秘密载体，共同连带赔偿权利人经济损失合计2.18亿元（其中，发明专利侵权案赔偿1.2亿元，技术秘密侵权案赔偿9800万元）</w:t>
      </w:r>
    </w:p>
    <w:p>
      <w:pPr>
        <w:ind w:firstLine="480"/>
      </w:pPr>
      <w:r>
        <w:rPr>
          <w:rFonts w:hint="eastAsia"/>
        </w:rPr>
        <w:t>典型意义：</w:t>
      </w:r>
      <w:r>
        <w:t>这是目前人民法院针对同一工程项目判赔额最高的知识产权侵权案件。权利人金象公司为中外合资企业，烨晶公司为高新技术民营企业，侵权人之一华鲁恒升公司系国有上市企业。两案裁判不仅彰显人民法院切实加强知识产权司法保护的坚定态度，也充分体现对内资和外资企业、国有和民营企业等各类企业的一体对待、平等保护。本案有关共同故意侵权及全部连带责任的认定、赔偿额计算的考量因素、停止侵害责任中销毁侵权载体的处理方式等，对于类似案件的处理具有参考意义。</w:t>
      </w:r>
    </w:p>
    <w:p>
      <w:pPr>
        <w:pStyle w:val="2"/>
        <w:ind w:firstLine="480"/>
      </w:pPr>
      <w:r>
        <w:br w:type="page"/>
      </w:r>
    </w:p>
    <w:p>
      <w:pPr>
        <w:pStyle w:val="3"/>
        <w:spacing w:before="312" w:after="312"/>
      </w:pPr>
      <w:bookmarkStart w:id="52" w:name="_Toc15733"/>
      <w:bookmarkStart w:id="53" w:name="_Toc203057705"/>
      <w:r>
        <w:rPr>
          <w:rFonts w:hint="eastAsia"/>
        </w:rPr>
        <w:t>第四章 重点国家或地区知识产权相关法律法规汇总分析</w:t>
      </w:r>
      <w:bookmarkEnd w:id="52"/>
      <w:bookmarkEnd w:id="53"/>
    </w:p>
    <w:p>
      <w:pPr>
        <w:ind w:firstLine="562"/>
        <w:outlineLvl w:val="1"/>
      </w:pPr>
      <w:bookmarkStart w:id="54" w:name="_Toc11466"/>
      <w:bookmarkStart w:id="55" w:name="_Toc203057706"/>
      <w:bookmarkStart w:id="56" w:name="_Toc13968"/>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1 </w:t>
      </w:r>
      <w:r>
        <w:rPr>
          <w:rFonts w:hint="eastAsia" w:ascii="黑体" w:hAnsi="黑体" w:eastAsia="黑体"/>
          <w:b/>
          <w:bCs/>
          <w:sz w:val="28"/>
          <w:szCs w:val="28"/>
        </w:rPr>
        <w:t>日本</w:t>
      </w:r>
      <w:bookmarkEnd w:id="54"/>
      <w:r>
        <w:rPr>
          <w:rFonts w:hint="eastAsia" w:ascii="黑体" w:hAnsi="黑体" w:eastAsia="黑体"/>
          <w:b/>
          <w:bCs/>
          <w:sz w:val="28"/>
          <w:szCs w:val="28"/>
        </w:rPr>
        <w:t>知识产权风险防控分析</w:t>
      </w:r>
      <w:bookmarkEnd w:id="55"/>
    </w:p>
    <w:p>
      <w:pPr>
        <w:ind w:firstLine="562"/>
        <w:outlineLvl w:val="2"/>
        <w:rPr>
          <w:rFonts w:ascii="黑体" w:hAnsi="黑体" w:eastAsia="黑体" w:cs="Helvetica"/>
          <w:b/>
          <w:color w:val="000000" w:themeColor="text1"/>
          <w:kern w:val="0"/>
          <w:sz w:val="28"/>
          <w:szCs w:val="28"/>
        </w:rPr>
      </w:pPr>
      <w:bookmarkStart w:id="57" w:name="_Toc121146322"/>
      <w:bookmarkStart w:id="58" w:name="_Toc203057707"/>
      <w:r>
        <w:rPr>
          <w:rFonts w:ascii="黑体" w:hAnsi="黑体" w:eastAsia="黑体" w:cs="Helvetica"/>
          <w:b/>
          <w:color w:val="000000" w:themeColor="text1"/>
          <w:kern w:val="0"/>
          <w:sz w:val="28"/>
          <w:szCs w:val="28"/>
        </w:rPr>
        <w:t xml:space="preserve">4.1.1 </w:t>
      </w:r>
      <w:r>
        <w:rPr>
          <w:rFonts w:hint="eastAsia" w:ascii="黑体" w:hAnsi="黑体" w:eastAsia="黑体" w:cs="Helvetica"/>
          <w:b/>
          <w:color w:val="000000" w:themeColor="text1"/>
          <w:kern w:val="0"/>
          <w:sz w:val="28"/>
          <w:szCs w:val="28"/>
        </w:rPr>
        <w:t>日本专利侵权行为</w:t>
      </w:r>
      <w:bookmarkEnd w:id="57"/>
      <w:bookmarkEnd w:id="58"/>
    </w:p>
    <w:p>
      <w:pPr>
        <w:ind w:firstLine="482"/>
        <w:rPr>
          <w:b/>
          <w:bCs/>
        </w:rPr>
      </w:pPr>
      <w:bookmarkStart w:id="59" w:name="_Toc121146323"/>
      <w:r>
        <w:rPr>
          <w:rFonts w:hint="eastAsia"/>
          <w:b/>
          <w:bCs/>
        </w:rPr>
        <w:t>一、专利侵权的定义</w:t>
      </w:r>
      <w:bookmarkEnd w:id="59"/>
    </w:p>
    <w:p>
      <w:pPr>
        <w:ind w:firstLine="480"/>
      </w:pPr>
      <w:r>
        <w:t>专利侵权，又称侵害专利权，是指行为人未经专利权人许可又无法律依据，以营利为目的，针对专利权人依法受保护的专利在保护期内所享有的人身权或财产权的侵害行为。日本专利法第101条规定下述行为，视为侵害专利权或专用实施权的行为</w:t>
      </w:r>
      <w:r>
        <w:rPr>
          <w:rFonts w:hint="eastAsia" w:ascii="宋体" w:hAnsi="宋体" w:cs="宋体"/>
        </w:rPr>
        <w:t>∶</w:t>
      </w:r>
      <w:r>
        <w:t>一是针对专利产品，以生产经营为目的，制造、使用、许诺销售、销售、进口专利产品的行为；二是针对专利方法，以生产经营为目的，使用专利方法及使用、许诺销售、销售、进口依照该方法直接获得的产品的行为。</w:t>
      </w:r>
    </w:p>
    <w:p>
      <w:pPr>
        <w:ind w:firstLine="482"/>
        <w:rPr>
          <w:b/>
          <w:bCs/>
        </w:rPr>
      </w:pPr>
      <w:bookmarkStart w:id="60" w:name="_Toc121146324"/>
      <w:r>
        <w:rPr>
          <w:rFonts w:hint="eastAsia"/>
          <w:b/>
          <w:bCs/>
        </w:rPr>
        <w:t>二、专利侵权行为</w:t>
      </w:r>
      <w:bookmarkEnd w:id="60"/>
    </w:p>
    <w:p>
      <w:pPr>
        <w:ind w:firstLine="480"/>
      </w:pPr>
      <w:r>
        <w:t>专利侵权行为分为直接侵权行为和间接侵权行为两类。</w:t>
      </w:r>
    </w:p>
    <w:p>
      <w:pPr>
        <w:ind w:firstLine="482"/>
        <w:rPr>
          <w:b/>
          <w:bCs/>
        </w:rPr>
      </w:pPr>
      <w:r>
        <w:rPr>
          <w:rFonts w:hint="eastAsia"/>
          <w:b/>
          <w:bCs/>
        </w:rPr>
        <w:t>（一）</w:t>
      </w:r>
      <w:r>
        <w:rPr>
          <w:b/>
          <w:bCs/>
        </w:rPr>
        <w:t>直接侵权行为</w:t>
      </w:r>
    </w:p>
    <w:p>
      <w:pPr>
        <w:ind w:firstLine="480"/>
      </w:pPr>
      <w:r>
        <w:t>直接侵权行为是指直接由行为人实施的侵犯他人专利权的行为，其表现形式包括</w:t>
      </w:r>
      <w:r>
        <w:rPr>
          <w:rFonts w:hint="eastAsia" w:ascii="宋体" w:hAnsi="宋体" w:cs="宋体"/>
        </w:rPr>
        <w:t>∶</w:t>
      </w:r>
    </w:p>
    <w:p>
      <w:pPr>
        <w:ind w:firstLine="480"/>
      </w:pPr>
      <w:r>
        <w:t>（1）制造专利产品的行为。专利产品是指专利权人在权利要求书中描述的产品。无论制造者是否知道是专利产品，也不论是用什么方法制造的，只要未经专利权人许可，以营利目的制造，就构成侵权行为。</w:t>
      </w:r>
    </w:p>
    <w:p>
      <w:pPr>
        <w:ind w:firstLine="480"/>
        <w:rPr>
          <w:rFonts w:cs="楷体" w:asciiTheme="minorEastAsia" w:hAnsiTheme="minorEastAsia" w:eastAsiaTheme="minorEastAsia"/>
        </w:rPr>
      </w:pPr>
      <w:r>
        <w:t>（2）使用专利产品的行为。此种行为在主观上必须有故意的过错才能成立。故意，是指使用人明知产品是未经专利权人许可而制造的，仍购买使用的。</w:t>
      </w:r>
    </w:p>
    <w:p>
      <w:pPr>
        <w:ind w:firstLine="480"/>
      </w:pPr>
      <w:r>
        <w:t>（3）许诺销售专利产品的行为。</w:t>
      </w:r>
    </w:p>
    <w:p>
      <w:pPr>
        <w:ind w:firstLine="480"/>
      </w:pPr>
      <w:r>
        <w:t>（4）销售专利产品的行为。和使用专利产品的行为一样，此行为由主观故意而构成，即明知属于侵权产品仍予以销售。</w:t>
      </w:r>
    </w:p>
    <w:p>
      <w:pPr>
        <w:ind w:firstLine="480"/>
      </w:pPr>
      <w:r>
        <w:t>（5）进口专利产品的行为。进口专利产品或进口依照专利方法直接获得的产品。</w:t>
      </w:r>
    </w:p>
    <w:p>
      <w:pPr>
        <w:ind w:firstLine="480"/>
      </w:pPr>
      <w:r>
        <w:t>（6）使用专利方法以及使用、许诺销售、销售、进口依照该专利方法直接获得的产品的行为。</w:t>
      </w:r>
    </w:p>
    <w:p>
      <w:pPr>
        <w:ind w:firstLine="480"/>
      </w:pPr>
      <w:r>
        <w:t>（7）假冒他人专利的行为。此种行为是指非专利权人未经专利权人许可，在产品或产品包装上标示专利权人的专利标志或专利号，仿冒专利权人的专利产品。</w:t>
      </w:r>
    </w:p>
    <w:p>
      <w:pPr>
        <w:ind w:firstLine="480"/>
      </w:pPr>
      <w:r>
        <w:t>为生产经营目的使用或者销售不知道是未经专利权人许可而制造并售出的专利产品或者依照专利方法直接获得的产品，能证明其产品合法来源的，仍然属于侵犯专利权的行为，需要停止侵害但不承担赔偿责任。</w:t>
      </w:r>
    </w:p>
    <w:p>
      <w:pPr>
        <w:ind w:firstLine="482"/>
      </w:pPr>
      <w:r>
        <w:rPr>
          <w:rFonts w:hint="eastAsia"/>
          <w:b/>
          <w:bCs/>
        </w:rPr>
        <w:t>（二）</w:t>
      </w:r>
      <w:r>
        <w:rPr>
          <w:b/>
          <w:bCs/>
        </w:rPr>
        <w:t>间接侵权行为</w:t>
      </w:r>
    </w:p>
    <w:p>
      <w:pPr>
        <w:ind w:firstLine="480"/>
      </w:pPr>
      <w:r>
        <w:t>根据日本专利法第102条的规定，为侵权做准备或者帮助侵权且诱发直接侵权的概率非常高的行为也被视为侵害专利权或专用实施权的行为，这就是所谓的间接侵权。间接侵权行为是指行为人本身的行为并不直接构成对专利权的侵害，但实施了诱导、怂恿、教唆、帮助他人侵害专利权的行为。间接侵权行为表现在</w:t>
      </w:r>
      <w:r>
        <w:rPr>
          <w:rFonts w:hint="eastAsia" w:ascii="宋体" w:hAnsi="宋体" w:cs="宋体"/>
        </w:rPr>
        <w:t>∶</w:t>
      </w:r>
      <w:r>
        <w:t>出售专利产品或者用于使用专利方法的设备的主要零件；提供实施专利方法的条件的行为；制造出售只能生产专利产品或者实施专利方法的设备的行为；修理和改造行为等。</w:t>
      </w:r>
    </w:p>
    <w:p>
      <w:pPr>
        <w:ind w:firstLine="482"/>
        <w:rPr>
          <w:rFonts w:asciiTheme="majorEastAsia" w:hAnsiTheme="majorEastAsia" w:eastAsiaTheme="majorEastAsia"/>
          <w:b/>
          <w:bCs/>
        </w:rPr>
      </w:pPr>
      <w:bookmarkStart w:id="61" w:name="_Toc121146325"/>
      <w:r>
        <w:rPr>
          <w:rFonts w:hint="eastAsia" w:asciiTheme="majorEastAsia" w:hAnsiTheme="majorEastAsia" w:eastAsiaTheme="majorEastAsia"/>
          <w:b/>
          <w:bCs/>
        </w:rPr>
        <w:t>三、专利侵权的例外</w:t>
      </w:r>
      <w:bookmarkEnd w:id="61"/>
    </w:p>
    <w:p>
      <w:pPr>
        <w:ind w:firstLine="482"/>
        <w:rPr>
          <w:rFonts w:asciiTheme="minorEastAsia" w:hAnsiTheme="minorEastAsia" w:eastAsiaTheme="minorEastAsia"/>
        </w:rPr>
      </w:pPr>
      <w:r>
        <w:rPr>
          <w:rFonts w:hint="eastAsia" w:asciiTheme="majorEastAsia" w:hAnsiTheme="majorEastAsia" w:eastAsiaTheme="majorEastAsia"/>
          <w:b/>
          <w:bCs/>
        </w:rPr>
        <w:t>1</w:t>
      </w:r>
      <w:r>
        <w:rPr>
          <w:rFonts w:asciiTheme="majorEastAsia" w:hAnsiTheme="majorEastAsia" w:eastAsiaTheme="majorEastAsia"/>
          <w:b/>
          <w:bCs/>
        </w:rPr>
        <w:t>.专利权</w:t>
      </w:r>
      <w:r>
        <w:rPr>
          <w:rFonts w:asciiTheme="minorEastAsia" w:hAnsiTheme="minorEastAsia" w:eastAsiaTheme="minorEastAsia"/>
          <w:b/>
          <w:bCs/>
        </w:rPr>
        <w:t>的用尽</w:t>
      </w:r>
    </w:p>
    <w:p>
      <w:pPr>
        <w:ind w:firstLine="480"/>
      </w:pPr>
      <w:r>
        <w:t>专利权人自己或许可他人制造的专利产品被合法投入市场后，任何人对该产品进行使用或销售，不再需要经过专利权人的许可，不构成侵犯专利权。</w:t>
      </w:r>
    </w:p>
    <w:p>
      <w:pPr>
        <w:ind w:firstLine="480"/>
      </w:pPr>
      <w:r>
        <w:t>专利权用尽有很多种方式，平行进口中的专利权问题属于其中一种，日本对于平行进口中的权利问题争议颇多。</w:t>
      </w:r>
    </w:p>
    <w:p>
      <w:pPr>
        <w:ind w:firstLine="482"/>
        <w:rPr>
          <w:rFonts w:asciiTheme="minorEastAsia" w:hAnsiTheme="minorEastAsia" w:eastAsiaTheme="min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善意实施</w:t>
      </w:r>
      <w:r>
        <w:rPr>
          <w:rFonts w:asciiTheme="minorEastAsia" w:hAnsiTheme="minorEastAsia" w:eastAsiaTheme="minorEastAsia"/>
          <w:b/>
          <w:bCs/>
        </w:rPr>
        <w:t>行为</w:t>
      </w:r>
    </w:p>
    <w:p>
      <w:pPr>
        <w:ind w:firstLine="480"/>
      </w:pPr>
      <w:r>
        <w:t>日本专利法第69条规定，专利权的效力不适用于为试验或研究而实施的专利发明。所以为科学研究和实验目的，使用专利产品或专利方法的，属于善意使用行为，不构成侵权。该条第2款在规定在专利申请时，在日本国内已存在的物品为专利产品或是专利方法制造的产品，其专利权的效力不适用。</w:t>
      </w:r>
    </w:p>
    <w:p>
      <w:pPr>
        <w:ind w:firstLine="480"/>
      </w:pPr>
      <w:r>
        <w:t>根据日本专利法第79条的规定，行为人因不知属于他人已申请专利的发明内容而完成自己的发明，以及同样不知他人拟申请专利的发明内容，而从该发明人处了解到的情况下提出自己的专利申请时</w:t>
      </w:r>
      <w:r>
        <w:rPr>
          <w:rFonts w:hint="eastAsia"/>
        </w:rPr>
        <w:t>[</w:t>
      </w:r>
      <w:r>
        <w:t>根据日本专利法第44条及第53条第（4）项的规定</w:t>
      </w:r>
      <w:r>
        <w:rPr>
          <w:rFonts w:hint="eastAsia"/>
        </w:rPr>
        <w:t>]</w:t>
      </w:r>
      <w:r>
        <w:t>，实际已经在日本国内实施该发明的生产项目和准备完成该项目行为，并且该行为的实施在原有范围内，不视为对专利权的侵犯。故在专利申请日以前已经制造相同产品、使用相同方法或已经做好制造、使用的必要准备，并且在原有范围内继续制造、使用的，不视为侵犯专利权。</w:t>
      </w:r>
    </w:p>
    <w:p>
      <w:pPr>
        <w:ind w:firstLine="482"/>
        <w:rPr>
          <w:rFonts w:asciiTheme="majorEastAsia" w:hAnsiTheme="majorEastAsia" w:eastAsiaTheme="majorEastAsia"/>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临时过境</w:t>
      </w:r>
    </w:p>
    <w:p>
      <w:pPr>
        <w:ind w:firstLine="480"/>
      </w:pPr>
      <w:r>
        <w:t>日本专利法第69条第2款规定，专利权的效力不适用于仅在日本过境的船舶或飞机，或供其使用的机械、器具、装置及其他物品。所以临时通过日本国领域、领水或领空的外国运输工具，依照其所属国同日本签订的协议或共同参加的国际条约，或依照互惠原则，为其自身需要而使用在日本享有专利权的机械装置和零部件的，无须得到专利权人的许可，不构成侵权。</w:t>
      </w:r>
    </w:p>
    <w:p>
      <w:pPr>
        <w:ind w:firstLine="482"/>
        <w:rPr>
          <w:rFonts w:asciiTheme="majorEastAsia" w:hAnsiTheme="majorEastAsia" w:eastAsiaTheme="majorEastAsia"/>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特别实施</w:t>
      </w:r>
    </w:p>
    <w:p>
      <w:pPr>
        <w:ind w:firstLine="480"/>
      </w:pPr>
      <w:r>
        <w:t>日本专利法第93条规定，为了公众利益而实施的专利行为，属于专利不侵权行为。但该专利的实施是有前提条件的，首先是专利实施行为确系公众利益的需要，其次是专利发明的拟实施者，必须与专利权所有人或独占实施权所有人达成一致协议，如果协议不成则通过通商产业大臣裁决。</w:t>
      </w:r>
    </w:p>
    <w:p>
      <w:pPr>
        <w:ind w:firstLine="562"/>
        <w:outlineLvl w:val="2"/>
        <w:rPr>
          <w:rFonts w:ascii="黑体" w:hAnsi="黑体" w:eastAsia="黑体" w:cs="Helvetica"/>
          <w:b/>
          <w:color w:val="000000" w:themeColor="text1"/>
          <w:kern w:val="0"/>
          <w:sz w:val="28"/>
          <w:szCs w:val="28"/>
        </w:rPr>
      </w:pPr>
      <w:bookmarkStart w:id="62" w:name="_Toc121146326"/>
      <w:bookmarkStart w:id="63" w:name="_Toc203057708"/>
      <w:r>
        <w:rPr>
          <w:rFonts w:ascii="黑体" w:hAnsi="黑体" w:eastAsia="黑体" w:cs="Helvetica"/>
          <w:b/>
          <w:color w:val="000000" w:themeColor="text1"/>
          <w:kern w:val="0"/>
          <w:sz w:val="28"/>
          <w:szCs w:val="28"/>
        </w:rPr>
        <w:t xml:space="preserve">4.1.2 </w:t>
      </w:r>
      <w:r>
        <w:rPr>
          <w:rFonts w:hint="eastAsia" w:ascii="黑体" w:hAnsi="黑体" w:eastAsia="黑体" w:cs="Helvetica"/>
          <w:b/>
          <w:color w:val="000000" w:themeColor="text1"/>
          <w:kern w:val="0"/>
          <w:sz w:val="28"/>
          <w:szCs w:val="28"/>
        </w:rPr>
        <w:t>日本专利侵权诉讼的反诉及抗辩</w:t>
      </w:r>
      <w:bookmarkEnd w:id="62"/>
      <w:bookmarkEnd w:id="63"/>
    </w:p>
    <w:p>
      <w:pPr>
        <w:ind w:firstLine="480"/>
      </w:pPr>
      <w:r>
        <w:t>被控专利权侵权的人可提出某种所谓的反论以进行抗辩。就此而言，例如，证明专利权人主张的被追诉者的技术为公知技术，是属于相应公知技术的实施行为，从而基于所谓的公知技术进行抗辩，或者进行连带禁止反言的抗辩，即，可以考虑以专利权不能企及在申请过程中有意识排除的事项这一理论为依据，对专利权人主张的事实在申请当时属于申请人（发明人）有意识排除的事项进行的有意识排除主张。</w:t>
      </w:r>
    </w:p>
    <w:p>
      <w:pPr>
        <w:ind w:firstLine="480"/>
      </w:pPr>
      <w:r>
        <w:t>而且，还可以考虑在专利发明整体上其专利权存在无效理由时提出无效这样的抗辩。这是基于在存在专利无效审判请求的场合中，针对专利权侵权手续法院能够中止诉讼手续这样的规定。在这种场合下，专利无效审判在日本的制度中是于专利局中进行的，而专利权侵权是在法院进行的。两者由于各自履行各自的手续，至于何者为先抑或联合进行这在法律上不是原则性问题。但是，针对专利权侵权而被法院临时禁令的专利而言，由于专利局在后下达专利无效判决事务相当复杂，所以，最好考虑尽量先裁决专利无效审判，根据该结果再决定履行专利权侵权手续。</w:t>
      </w:r>
    </w:p>
    <w:p>
      <w:pPr>
        <w:ind w:firstLine="480"/>
      </w:pPr>
      <w:r>
        <w:t>在日本“专利审查基准”（以下简称为“审查基准”）第Ⅱ部分第2章新颖性创造性1.2.4中指出</w:t>
      </w:r>
      <w:r>
        <w:rPr>
          <w:rFonts w:hint="eastAsia" w:ascii="宋体" w:hAnsi="宋体" w:cs="宋体"/>
        </w:rPr>
        <w:t>∶</w:t>
      </w:r>
      <w:r>
        <w:t>技术常识指本领域普通技术人员普遍知道的技术（包含公知技术、惯用技术）或根据经验法则而容易得出的事项。在审查基准第I部分第1章说明书和权利要求的记载要素2.2第36条第6项第2号中给出了“技术常识”、“公知技术”、“惯用技术”的定义。“技术常识”指根据本领域普通技术人员普遍知道的技术或经验法则而容易得出的事项。于是，只要技术常识是本领域普通技术人员普遍知道，则其还包括实验、分析、制造的方法等。本领域普通技术人员是否普遍知道不仅应根据记载该技术的文献的数量来判断，而且还考虑本领域普通技术人员对该技术的关注程度来判断。另外，技术常识为含义比公知惯用技术的概念广的术语。“公知技术”指本技术领域普遍知道的技术，比如，具有与其有关的相当多的公开文献，或在本行业已知，或者不必列举而熟知的技术。另外"惯用技术"为公知技术，并且指常用的技术。</w:t>
      </w:r>
    </w:p>
    <w:p>
      <w:pPr>
        <w:ind w:firstLine="480"/>
      </w:pPr>
      <w:r>
        <w:t>日本专利侵权诉讼中进行抗辩主要依据专利法规定的先用权、现有技术、禁止反悔等原则。此外还包括诸如自己专利抗辩、专利权丧失又恢复时他人的使用权、同一申请人重复申请专利、专利内容公开前实施不侵权、权利用尽、平行进口、科研实践、临时过境、经授权使用、默许使用、搭售等反垄断行为，鉴于篇幅关系，</w:t>
      </w:r>
      <w:r>
        <w:rPr>
          <w:rFonts w:hint="eastAsia"/>
        </w:rPr>
        <w:t>下面</w:t>
      </w:r>
      <w:r>
        <w:t>将择要介绍。</w:t>
      </w:r>
    </w:p>
    <w:p>
      <w:pPr>
        <w:ind w:firstLine="482"/>
      </w:pPr>
      <w:r>
        <w:rPr>
          <w:rFonts w:hint="eastAsia"/>
          <w:b/>
          <w:bCs/>
        </w:rPr>
        <w:t>一、</w:t>
      </w:r>
      <w:r>
        <w:rPr>
          <w:b/>
          <w:bCs/>
        </w:rPr>
        <w:t>在先权抗辩</w:t>
      </w:r>
    </w:p>
    <w:p>
      <w:pPr>
        <w:ind w:firstLine="480"/>
      </w:pPr>
      <w:r>
        <w:t>两项或者两项以上权利，分别归属于不同主体，可能导致相互矛盾或抵触，不免发生权利冲突。当冲突发生时，如果当事人之间不能自行协商解决，难免形成诉讼。对于专利领域，日本专利法第72条规定解决此类诉讼的重要原则之一是保护在先权利原则。该原则的含义有二</w:t>
      </w:r>
      <w:r>
        <w:rPr>
          <w:rFonts w:hint="eastAsia" w:ascii="宋体" w:hAnsi="宋体" w:cs="宋体"/>
        </w:rPr>
        <w:t>∶</w:t>
      </w:r>
      <w:r>
        <w:t>其一，在先权利人指控在后权利人侵权时，在先权利应受到保护，在后权利人不能对抗在先权利人。其二，在后权利人指控在先权利人侵权时，在先权利人可以对抗在后权利人。</w:t>
      </w:r>
    </w:p>
    <w:p>
      <w:pPr>
        <w:ind w:firstLine="480"/>
      </w:pPr>
      <w:r>
        <w:t>从日本的专利权利冲突案件看，既有在先权利人指控在后权利人侵权的案件，也有在后权利人指控在先权利人侵权的案件，涉及专利权与专利权纠纷、专利权与著作权纠纷以及专利权与商品的包装装潢纠纷等。初期，由于缺乏明确的法律依据，日本各地法院的审理思路不统一，做法不尽相同。有的法院以上述纠纷涉及行政管理为由，不予受理，或驳回起诉；有的法院则中止诉讼，等待相关处理结果；有的法院则依据相关法理，保护在先权利；有的法院则以冲突权利均合法为由，驳回当事人诉讼请求。后期，各地做法逐渐统一。按照日本专利法的精神将保护在先权利确立为审理知识产权权利冲突纠纷案件的一项最基本的原则。在适用该原则时，主要有以下做法</w:t>
      </w:r>
      <w:r>
        <w:rPr>
          <w:rFonts w:hint="eastAsia" w:ascii="宋体" w:hAnsi="宋体" w:cs="宋体"/>
        </w:rPr>
        <w:t>∶</w:t>
      </w:r>
      <w:r>
        <w:t>首先，审查在先权利和在后权利的合法性。在先权利和在后权利从形式到内容均应具有合法性，均能够成为一项独立、完整的权利。如果其中一项不合法，则不再从权利冲突角度审查，而径行从权利人与侵权人之间的侵权纠纷方面审理。其次，严格审查不同权利的形成时间，根据“谁主张，谁举证”原则，权利人应对其主张权利和赖以抗辩权利的形成时间负举证责任，并达到优势证据程度。再次，在先权利的效力范围应当覆盖在后权利，如此，在先权利抗辩成立。否则，仍需结合具体案情做进一步分析。</w:t>
      </w:r>
    </w:p>
    <w:p>
      <w:pPr>
        <w:ind w:firstLine="482"/>
        <w:rPr>
          <w:b/>
          <w:bCs/>
        </w:rPr>
      </w:pPr>
      <w:r>
        <w:rPr>
          <w:rFonts w:hint="eastAsia"/>
          <w:b/>
          <w:bCs/>
        </w:rPr>
        <w:t>二、</w:t>
      </w:r>
      <w:r>
        <w:rPr>
          <w:b/>
          <w:bCs/>
        </w:rPr>
        <w:t>先用权抗辩</w:t>
      </w:r>
    </w:p>
    <w:p>
      <w:pPr>
        <w:ind w:firstLine="480"/>
      </w:pPr>
      <w:r>
        <w:t>日本专利法第69条第2款第（2）项规定，专利权的效力在专利申请时，对于用申请专利的方法制造的产品或者申请专利的产品在国内已经存在的物品不适用。这是对先用权的规定。</w:t>
      </w:r>
    </w:p>
    <w:p>
      <w:pPr>
        <w:ind w:firstLine="480"/>
        <w:rPr>
          <w:rFonts w:ascii="宋体" w:hAnsi="宋体" w:cs="宋体"/>
        </w:rPr>
      </w:pPr>
      <w:r>
        <w:t>在专利侵权诉讼中正确适用先用权的关键在于把握先用权成立的条件</w:t>
      </w:r>
      <w:r>
        <w:rPr>
          <w:rFonts w:hint="eastAsia" w:ascii="宋体" w:hAnsi="宋体" w:cs="宋体"/>
        </w:rPr>
        <w:t>∶</w:t>
      </w:r>
    </w:p>
    <w:p>
      <w:pPr>
        <w:ind w:firstLine="480"/>
      </w:pPr>
      <w:r>
        <w:t>（1）时间条件</w:t>
      </w:r>
      <w:r>
        <w:rPr>
          <w:rFonts w:hint="eastAsia" w:ascii="宋体" w:hAnsi="宋体" w:cs="宋体"/>
        </w:rPr>
        <w:t>∶</w:t>
      </w:r>
      <w:r>
        <w:t>在先使用行为必须是在该项专利的申请日或优先权日以前已经制造相同产品、使用相同方法。</w:t>
      </w:r>
    </w:p>
    <w:p>
      <w:pPr>
        <w:ind w:firstLine="480"/>
      </w:pPr>
      <w:r>
        <w:t>（2）独立性条件</w:t>
      </w:r>
      <w:r>
        <w:rPr>
          <w:rFonts w:hint="eastAsia" w:ascii="宋体" w:hAnsi="宋体" w:cs="宋体"/>
        </w:rPr>
        <w:t>∶</w:t>
      </w:r>
      <w:r>
        <w:t>先使用人所使用的发明创造必须是独立完成或者合法获得的且应与专利权人无关，以非法途径得到的发明创造不能产生优先权。</w:t>
      </w:r>
    </w:p>
    <w:p>
      <w:pPr>
        <w:ind w:firstLine="480"/>
      </w:pPr>
      <w:r>
        <w:t>（3）使用性条件</w:t>
      </w:r>
      <w:r>
        <w:rPr>
          <w:rFonts w:hint="eastAsia" w:ascii="宋体" w:hAnsi="宋体" w:cs="宋体"/>
        </w:rPr>
        <w:t>∶</w:t>
      </w:r>
      <w:r>
        <w:t>先使用人必须在他人专利申请日前至少已经做好了制造或者使用的必要准备。</w:t>
      </w:r>
    </w:p>
    <w:p>
      <w:pPr>
        <w:ind w:firstLine="480"/>
      </w:pPr>
      <w:r>
        <w:t>（4）使用范围条件</w:t>
      </w:r>
      <w:r>
        <w:rPr>
          <w:rFonts w:hint="eastAsia" w:ascii="宋体" w:hAnsi="宋体" w:cs="宋体"/>
        </w:rPr>
        <w:t>∶</w:t>
      </w:r>
      <w:r>
        <w:t>先用权的制造或使用行为，只限于原有的范围之内，不得扩大使用范围。</w:t>
      </w:r>
    </w:p>
    <w:p>
      <w:pPr>
        <w:ind w:firstLine="480"/>
      </w:pPr>
      <w:r>
        <w:t>无论将先用权理解为独立的权利，还是抗辩权，均不影响其对专利权的限制。实践中，当被控侵权人提出先用权抗辩的，日本的做法是</w:t>
      </w:r>
      <w:r>
        <w:rPr>
          <w:rFonts w:hint="eastAsia" w:ascii="宋体" w:hAnsi="宋体" w:cs="宋体"/>
        </w:rPr>
        <w:t>∶</w:t>
      </w:r>
      <w:r>
        <w:t>首先将权利要求记载的全部必要技术特征与被控侵权物的相应技术特征进行对比，判断二者是否相同或等同，如果既不相同也不等同，直接驳回原告的诉讼请求；如果相同或等同成立，便接着审查先用权抗辩是否成立。</w:t>
      </w:r>
    </w:p>
    <w:p>
      <w:pPr>
        <w:ind w:firstLine="480"/>
      </w:pPr>
      <w:r>
        <w:t>判定先用权抗辩是否成立的关键在于，如何准确地理解先用权抗辩人是否“已经制造相同产品、使用相同方法”、“已经做好制造、使用的必要准备”以及“仅在原有范围内继续制造、使用”。是否“已经制造相同产品、使用相同方法”比较容易把握，可以审查先用权抗辩人的相关生产记录、仓储情况等。</w:t>
      </w:r>
    </w:p>
    <w:p>
      <w:pPr>
        <w:ind w:firstLine="482"/>
        <w:rPr>
          <w:b/>
          <w:bCs/>
        </w:rPr>
      </w:pPr>
      <w:r>
        <w:rPr>
          <w:rFonts w:hint="eastAsia"/>
          <w:b/>
          <w:bCs/>
        </w:rPr>
        <w:t>三、</w:t>
      </w:r>
      <w:r>
        <w:rPr>
          <w:b/>
          <w:bCs/>
        </w:rPr>
        <w:t>现有技术抗辩</w:t>
      </w:r>
    </w:p>
    <w:p>
      <w:pPr>
        <w:ind w:firstLine="480"/>
      </w:pPr>
      <w:r>
        <w:t>日本专利法规定，未作出宣告专利无效的决定，即便专利存在某些瑕疵，法院也必须将该专利视为有效。在该背景的下，日本法院积极探讨现有技术抗辩的法律适用，在专利侵权诉讼中积极参考公知技术，建立了非常完整的判例理论，如公知技术排外论、公共财产论、权利滥用论等，旨在平衡专利权人和社会公众的利益。2000年日本最高法院的Kilby案判决之前，日本法院在侵权诉讼中一概不涉及专利无效的问题，严格遵循职权分离原则。如1962年12月7日，日本最高法院判决指出，"与专利无效审判不同，确认权利要求范围的审判是以专利权有效为前提的，因此，在这样的诉讼中不能讨论专利的内容是否为现有技术的问题"。需要指出的是，该阶段还存在现有技术排除说和自由技术抗辩说。如1964年8月4日，日本最高法院判决指出，"如果实用新型包含有申请时已经公开的技术，应将上述现有技术排除在具有新颖性的方案之外"。也就是说，将现有技术作为限制权利要求保护范围的方式。再如1970年4月17日，日本东京地方法院判决指出，“申请时现有的技术属于公众共有的财产，根据私权应当服从公共利益的原则，即使对公众共有的财产加上实用新型的名义，也没有禁止他人实施而由特定申请人独占行使的理由”。该学说认为，如果被控侵权人实施的技术是现有技术，不管该技术是否属于专利权利要求的保护范围，都不构成侵权。2000年，日本最高法院在“无限折动用滚珠花键轴承”案中，提出了适用等同原则的五个要素</w:t>
      </w:r>
      <w:r>
        <w:rPr>
          <w:rFonts w:hint="eastAsia" w:ascii="宋体" w:hAnsi="宋体" w:cs="宋体"/>
        </w:rPr>
        <w:t>∶</w:t>
      </w:r>
      <w:r>
        <w:t>非本质部分、置换可能性、置换容易性、非公知技术和特别事由（禁止反悔）。其中，“非公知技术”这一要素就是现有技术抗辩。也就是说，被控侵权技术与专利申请时的公知技术或者本领域普通技术人员在专利申请日容易从公知技术中推导得出的技术并不相同。可见，在日本的现有技术抗辩中，采用的对比方式是被控侵权技术与现有技术之间的单独对比。</w:t>
      </w:r>
    </w:p>
    <w:p>
      <w:pPr>
        <w:ind w:firstLine="480"/>
      </w:pPr>
      <w:r>
        <w:t>就对比标准而言，日本法院曾经存在争议。1980年5月9日，日本东京地方法院在“生检针”案中指出，只有与公知技术完全相同的技术，才能成立现有技术抗辩。1990年日本大阪地方法院在“模具装卸工具”案中持有相同观点。另外一种观点认为，被控侵权技术与公知技术之间的对比应当是创造性标准。1981年日本东京地方法院在“包装容器”案中使用了根据两件从公知技术中容易推知的技术进行判断。日本最高法院在“无限折动用滚珠花键轴承”案中肯定了第二种观点，将其范围扩大到与公知技术相同的技术以及本领域普通技术人员在专利申请日容易从公知技术中推导得出的技术。其中，“从公知技术中容易推导得出”的判断标准，与专利法有关创造性的标准是相当的。可见，在日本的现有技术抗辩中，采用的对比标准包括新颖性和创造性。</w:t>
      </w:r>
    </w:p>
    <w:p>
      <w:pPr>
        <w:ind w:firstLine="482"/>
        <w:rPr>
          <w:b/>
          <w:bCs/>
        </w:rPr>
      </w:pPr>
      <w:r>
        <w:rPr>
          <w:rFonts w:hint="eastAsia"/>
          <w:b/>
          <w:bCs/>
        </w:rPr>
        <w:t>四、</w:t>
      </w:r>
      <w:r>
        <w:rPr>
          <w:b/>
          <w:bCs/>
        </w:rPr>
        <w:t>禁止反悔原则抗辩</w:t>
      </w:r>
    </w:p>
    <w:p>
      <w:pPr>
        <w:ind w:firstLine="482"/>
        <w:rPr>
          <w:rFonts w:asciiTheme="majorEastAsia" w:hAnsiTheme="majorEastAsia" w:eastAsiaTheme="majorEastAsia"/>
          <w:b/>
          <w:bCs/>
        </w:rPr>
      </w:pPr>
      <w:r>
        <w:rPr>
          <w:rFonts w:asciiTheme="majorEastAsia" w:hAnsiTheme="majorEastAsia" w:eastAsiaTheme="majorEastAsia"/>
          <w:b/>
          <w:bCs/>
        </w:rPr>
        <w:t>1</w:t>
      </w:r>
      <w:r>
        <w:rPr>
          <w:rFonts w:hint="eastAsia" w:asciiTheme="majorEastAsia" w:hAnsiTheme="majorEastAsia" w:eastAsiaTheme="majorEastAsia"/>
          <w:b/>
          <w:bCs/>
        </w:rPr>
        <w:t>．</w:t>
      </w:r>
      <w:r>
        <w:rPr>
          <w:rFonts w:asciiTheme="majorEastAsia" w:hAnsiTheme="majorEastAsia" w:eastAsiaTheme="majorEastAsia"/>
          <w:b/>
          <w:bCs/>
        </w:rPr>
        <w:t>禁止反悔原则</w:t>
      </w:r>
    </w:p>
    <w:p>
      <w:pPr>
        <w:ind w:firstLine="480"/>
      </w:pPr>
      <w:r>
        <w:t>权利要求界定了专利权保护范围的边界，社会公众（特别是专利权人的竞争对手）根据权利要求的记载评估自己行为是否会构成专利侵权。由于等同侵权将专利权的保护范围延伸到权利要求字面含义之外，社会公众根据权利要求的记载评估自己行为是否会构成专利侵权的确定性就会降低，权利要求的公众告示功能就会受到一定的影响。禁止反悔原则的作用就在于将等同侵权的适用限定在一个恰当的范围，以确保权利要求的公众告示功能。</w:t>
      </w:r>
    </w:p>
    <w:p>
      <w:pPr>
        <w:ind w:firstLine="480"/>
      </w:pPr>
      <w:r>
        <w:t>本质上，禁止反悔原则寻求的是要实现权利要求的公众告示功能。禁止反悔原则限制根据等同原则主张侵权的权利要求的等同特征范围，排除在专利审查过程中为了获得专利权而放弃了的等同特征。等同特征的放弃发生于申请人在专利审查过程中进行的限制性修改或者限定性地陈述。通常地，法律允许公众依赖审查过程中明显放弃的内容进行其行为。关于修改导致禁止反悔的公众告示功能，美国最高法院解释说，当专利权人针对专利局的驳回理由缩小其权利要求时，禁止反悔原则禁止专利权人后来主张由原来宽范围权利要求覆盖的内容只不过是获得授权的窄范围权利要求的等同物。竞争者可以依赖禁止反悔原则确信他们自己的行为不会因为等同而被认定侵权。禁止反悔原则确保等同原则符合其本质目的，阻止等同原则的扩大使用。</w:t>
      </w:r>
    </w:p>
    <w:p>
      <w:pPr>
        <w:ind w:firstLine="482"/>
        <w:rPr>
          <w:rFonts w:asciiTheme="majorEastAsia" w:hAnsiTheme="majorEastAsia" w:eastAsiaTheme="majorEastAsia"/>
          <w:b/>
          <w:bCs/>
        </w:rPr>
      </w:pPr>
      <w:r>
        <w:rPr>
          <w:rFonts w:asciiTheme="majorEastAsia" w:hAnsiTheme="majorEastAsia" w:eastAsiaTheme="majorEastAsia"/>
          <w:b/>
          <w:bCs/>
        </w:rPr>
        <w:t>2</w:t>
      </w:r>
      <w:r>
        <w:rPr>
          <w:rFonts w:hint="eastAsia" w:asciiTheme="majorEastAsia" w:hAnsiTheme="majorEastAsia" w:eastAsiaTheme="majorEastAsia"/>
          <w:b/>
          <w:bCs/>
        </w:rPr>
        <w:t>．</w:t>
      </w:r>
      <w:r>
        <w:rPr>
          <w:rFonts w:asciiTheme="majorEastAsia" w:hAnsiTheme="majorEastAsia" w:eastAsiaTheme="majorEastAsia"/>
          <w:b/>
          <w:bCs/>
        </w:rPr>
        <w:t>原则的具体适用</w:t>
      </w:r>
    </w:p>
    <w:p>
      <w:pPr>
        <w:ind w:firstLine="480"/>
      </w:pPr>
      <w:r>
        <w:t>在前述的“无限折动用滚珠花键轴承”案中，日本最高法院第一次确认专利侵权可以适用等同原则。在该案中，日本最高法院认为，即使被控侵权物与权利要求记载的技术特征存在差异，在满足五个要素的情况下，被控侵权物作为权利要求范围记载构成的等同物，仍属于专利发明的技术范围。日本法院关于等同侵权认定的第一至第三要素，相当于美国认定等同侵权的条件；第四要素是从公知技术方面对等同侵权的认定进行限制；第五要素相当于从禁止反悔原则方面对等同侵权的认定进行限制。</w:t>
      </w:r>
    </w:p>
    <w:p>
      <w:pPr>
        <w:ind w:firstLine="480"/>
      </w:pPr>
      <w:r>
        <w:t>虽然第一至第三要素是认定等同侵权的关键，但相当于禁止反悔原则的第五要素仍对等同侵权作了更严格的限制。在上述案件中，日本最高法院对第五要素的解释是，在专利申请过程中，申请人从权利要求范围中有意识地排除的内容等，一旦专利权人承认它不属于专利发明的技术范围，或者从表面上看专利权人的行为可以被认为具有上述意思，专利权人其后再提出与此不同的主张，按照禁止反悔原则是不能被允许的。</w:t>
      </w:r>
    </w:p>
    <w:p>
      <w:pPr>
        <w:ind w:firstLine="480"/>
      </w:pPr>
      <w:r>
        <w:t>日本法院认为，根据回应专利局的拒绝理由通知以及撤销理由通知等，为了避免专利申请被拒绝或者专利被撤销或者无效，专利权人对权利要求的范围进行了减缩性补正的情况，通常要对权利要求的范围进行限定解释，如果权利要求的文字字面含义不包括被控侵权物，就应当认为被控侵权物属于专利申请过程中从权利要求的范围中有意识地排除的。这时，应当认定不符合等同原则的第五要素。对于专利权人非为回避拒绝理由而对权利要求进行的补正，主流意见的看法与为回避拒绝理由而进行的补正一样。另外，日本法院认为，如果对于本领域普通技术人员来说，在专利申请时将包含某变换技术特征的技术包括在权利要求中是容易做到的，专利申请人没有这样做，则属于专利申请人的意识限定，按不符合等同原则的第五要素处理。</w:t>
      </w:r>
    </w:p>
    <w:p>
      <w:pPr>
        <w:ind w:firstLine="480"/>
      </w:pPr>
      <w:r>
        <w:t>由此可见，日本法院判决中禁止反悔对等同侵权认定的限制作用比美国法院判决中对等同侵权认定的限制作用还要大，限定的范围还要宽。在日本法院没有认定等同侵权的168件判决中，以不满足第五要素而没有认定等同侵权的为55件，主要体现为禁止反悔原则的第五要素仅次于第一要素是认定等同的第二大障碍。</w:t>
      </w:r>
    </w:p>
    <w:p>
      <w:pPr>
        <w:ind w:firstLine="482"/>
        <w:rPr>
          <w:b/>
          <w:bCs/>
        </w:rPr>
      </w:pPr>
      <w:r>
        <w:rPr>
          <w:rFonts w:hint="eastAsia"/>
          <w:b/>
          <w:bCs/>
        </w:rPr>
        <w:t>五、</w:t>
      </w:r>
      <w:r>
        <w:rPr>
          <w:b/>
          <w:bCs/>
        </w:rPr>
        <w:t>合理使用抗辩</w:t>
      </w:r>
    </w:p>
    <w:p>
      <w:pPr>
        <w:ind w:firstLine="480"/>
      </w:pPr>
      <w:r>
        <w:t>日本专利法第69条规定了专利权效力例外的情况，该条规定专利权的效力不适用于为试验或研究而实施的发明专利。具体不适用的范围一是仅在日本过境的船舶或飞机，或供其使用的机械、器具、装置及其他物品；二是在专利申请时，在日本国内已存在的物品。同时还专门对药物制造作出进一步的规定，由两种以上药物（指供人类疾病的诊断、治疗、手术及预防用的药物）混合配制的医药发明以及属于两种以上医药混合的制药方法的专利权效力，不适用于医师和牙医处方的调剂行为和按医师及牙医处方调剂的药物。</w:t>
      </w:r>
    </w:p>
    <w:p>
      <w:pPr>
        <w:ind w:firstLine="482"/>
        <w:rPr>
          <w:b/>
          <w:bCs/>
        </w:rPr>
      </w:pPr>
      <w:r>
        <w:rPr>
          <w:rFonts w:hint="eastAsia"/>
          <w:b/>
          <w:bCs/>
        </w:rPr>
        <w:t>六、</w:t>
      </w:r>
      <w:r>
        <w:rPr>
          <w:b/>
          <w:bCs/>
        </w:rPr>
        <w:t>专利滥用（无效）抗辩</w:t>
      </w:r>
    </w:p>
    <w:p>
      <w:pPr>
        <w:ind w:firstLine="480"/>
      </w:pPr>
      <w:r>
        <w:t>在日本，“滥用专利”也是专利侵权抗辩的依据。滥用专利的抗辩通常与在先技术抗辩以及专利权的无效联系在一起。运用专利无效来抵制专利滥用在日本有个发展认识的过程，这个过程凸显出专利侵权与确权相互间的冲突，这个冲突将专利无效和专利滥用紧密联系在一起。</w:t>
      </w:r>
    </w:p>
    <w:p>
      <w:pPr>
        <w:ind w:firstLine="480"/>
      </w:pPr>
      <w:r>
        <w:t>现行日本专利法规定，侵犯专利权或专用实施权的诉讼中，认定该专利经专利无效审判应当无效时，专利权人或独占实施许可人不得向对方当事人行使其权利（日本专利法第104条第3款）。这个条款已经涵盖了所有的无效宣告理由，在专利侵权诉讼中，被告可以依据原告所主张的专利权中存在无效事由为理由，要求（抗辩）撤销相关诉讼。按照该条款的第（2）项的规定，专利无效，不但可以作为侵权诉讼被告人的抗辩方法，而且可以作为侵权诉讼中被告人攻击专利权人的方法，但是不管是作为攻击还是防御方法，如果被告具有以此为手段，以达到不当延迟侵权诉讼审理的目的，则法院可以直接驳回被告人提起专利无效准司法程序的申请。这种规定明显是为了平衡专利权人和侵权行为人的利益关系而作出的设计。既然专利权人可能因为法院运用权力不得滥用的法理禁止其使用权利，侵权行为也不能滥用诉权延迟审判，以达到毁灭证据等不正当目的。其实质是对侵权行为人滥用专利无效抗辩程序采取的防御措施。</w:t>
      </w:r>
    </w:p>
    <w:p>
      <w:pPr>
        <w:ind w:firstLine="562"/>
        <w:outlineLvl w:val="1"/>
      </w:pPr>
      <w:bookmarkStart w:id="64" w:name="_Toc203057709"/>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2 </w:t>
      </w:r>
      <w:r>
        <w:rPr>
          <w:rFonts w:hint="eastAsia" w:ascii="黑体" w:hAnsi="黑体" w:eastAsia="黑体"/>
          <w:b/>
          <w:bCs/>
          <w:sz w:val="28"/>
          <w:szCs w:val="28"/>
        </w:rPr>
        <w:t>韩国知识产权风险防控分析</w:t>
      </w:r>
      <w:bookmarkEnd w:id="64"/>
    </w:p>
    <w:p>
      <w:pPr>
        <w:ind w:firstLine="562"/>
        <w:outlineLvl w:val="2"/>
        <w:rPr>
          <w:rFonts w:ascii="黑体" w:hAnsi="黑体" w:eastAsia="黑体" w:cs="Helvetica"/>
          <w:b/>
          <w:color w:val="000000" w:themeColor="text1"/>
          <w:kern w:val="0"/>
          <w:sz w:val="28"/>
          <w:szCs w:val="28"/>
        </w:rPr>
      </w:pPr>
      <w:bookmarkStart w:id="65" w:name="_Toc203057710"/>
      <w:r>
        <w:rPr>
          <w:rFonts w:ascii="黑体" w:hAnsi="黑体" w:eastAsia="黑体" w:cs="Helvetica"/>
          <w:b/>
          <w:color w:val="000000" w:themeColor="text1"/>
          <w:kern w:val="0"/>
          <w:sz w:val="28"/>
          <w:szCs w:val="28"/>
        </w:rPr>
        <w:t xml:space="preserve">4.2.1 </w:t>
      </w:r>
      <w:r>
        <w:rPr>
          <w:rFonts w:hint="eastAsia" w:ascii="黑体" w:hAnsi="黑体" w:eastAsia="黑体" w:cs="Helvetica"/>
          <w:b/>
          <w:color w:val="000000" w:themeColor="text1"/>
          <w:kern w:val="0"/>
          <w:sz w:val="28"/>
          <w:szCs w:val="28"/>
        </w:rPr>
        <w:t>韩国专利侵权行为</w:t>
      </w:r>
      <w:bookmarkEnd w:id="65"/>
    </w:p>
    <w:p>
      <w:pPr>
        <w:ind w:firstLine="480"/>
      </w:pPr>
      <w:r>
        <w:rPr>
          <w:rFonts w:hint="eastAsia"/>
        </w:rPr>
        <w:t>韩国《专利法》</w:t>
      </w:r>
      <w:r>
        <w:t>第</w:t>
      </w:r>
      <w:r>
        <w:rPr>
          <w:rFonts w:hint="eastAsia"/>
        </w:rPr>
        <w:t>1</w:t>
      </w:r>
      <w:r>
        <w:t>27条</w:t>
      </w:r>
      <w:r>
        <w:rPr>
          <w:rFonts w:hint="eastAsia"/>
        </w:rPr>
        <w:t>规定，</w:t>
      </w:r>
      <w:r>
        <w:t>有下列行为之一的,视为侵犯专利权或者独占许可:</w:t>
      </w:r>
      <w:r>
        <w:rPr>
          <w:rFonts w:hint="eastAsia"/>
        </w:rPr>
        <w:t>（1）</w:t>
      </w:r>
      <w:r>
        <w:t>制造、转让、租赁、进口,或者许诺转让或者租赁专用于生产专利产品的物品的行为;</w:t>
      </w:r>
      <w:r>
        <w:rPr>
          <w:rFonts w:hint="eastAsia"/>
        </w:rPr>
        <w:t>（2）</w:t>
      </w:r>
      <w:r>
        <w:t>制造、转让、租赁、进口,或者许诺转让或者租赁专用于实施专利方法的物品的行为</w:t>
      </w:r>
      <w:r>
        <w:rPr>
          <w:rFonts w:hint="eastAsia"/>
        </w:rPr>
        <w:t>。</w:t>
      </w:r>
    </w:p>
    <w:p>
      <w:pPr>
        <w:ind w:firstLine="480"/>
        <w:rPr>
          <w:rFonts w:cs="楷体" w:asciiTheme="minorEastAsia" w:hAnsiTheme="minorEastAsia" w:eastAsiaTheme="minorEastAsia"/>
        </w:rPr>
      </w:pPr>
      <w:r>
        <w:t>韩国虽然没有对专利侵权作出直接定义，但根据韩国《专利法》第94条之规定，“专利权人具有在事业上实施专利发明的独占权利”。同时，根据韩国《专利法》第2条之规定，“实施”是指以下任何一种行为：</w:t>
      </w:r>
      <w:r>
        <w:rPr>
          <w:rFonts w:hint="eastAsia"/>
        </w:rPr>
        <w:t>（1）</w:t>
      </w:r>
      <w:r>
        <w:t>制造、使用、转让、出租、进口或者许诺转让或者出租(包括为转让或者出租而展示)专利产品的行为；</w:t>
      </w:r>
      <w:r>
        <w:rPr>
          <w:rFonts w:hint="eastAsia"/>
        </w:rPr>
        <w:t>（2）</w:t>
      </w:r>
      <w:r>
        <w:t>使用专利方法的行为</w:t>
      </w:r>
      <w:r>
        <w:rPr>
          <w:rFonts w:hint="eastAsia"/>
        </w:rPr>
        <w:t>；（3）</w:t>
      </w:r>
      <w:r>
        <w:t>除第</w:t>
      </w:r>
      <w:r>
        <w:rPr>
          <w:rFonts w:hint="eastAsia"/>
        </w:rPr>
        <w:t>（2）</w:t>
      </w:r>
      <w:r>
        <w:t>项中规定的行为外，使用、转让、出租、进口或者许诺转让或者出租使用专利方法而制造的产品的行为。</w:t>
      </w:r>
    </w:p>
    <w:p>
      <w:pPr>
        <w:ind w:firstLine="480"/>
      </w:pPr>
      <w:r>
        <w:t>可见，根据韩国专利法的规定，如果第三人没有正当权限而实施</w:t>
      </w:r>
      <w:r>
        <w:rPr>
          <w:rFonts w:hint="eastAsia"/>
        </w:rPr>
        <w:t>韩国</w:t>
      </w:r>
      <w:r>
        <w:t>《专利法》第</w:t>
      </w:r>
      <w:r>
        <w:rPr>
          <w:rFonts w:hint="eastAsia"/>
        </w:rPr>
        <w:t>2</w:t>
      </w:r>
      <w:r>
        <w:t>条规定之一种或全部行为，则被认定为对专利权的直接侵害。但根据构成要素完备原则，只有在实施了全部构成要素时，才会构成对专利权的直接侵害。</w:t>
      </w:r>
    </w:p>
    <w:p>
      <w:pPr>
        <w:ind w:firstLine="480"/>
      </w:pPr>
      <w:r>
        <w:t>另一方面，根据韩国《专利法》第127条规定，参与专利侵权的部分行为视为侵权行为。该条规定在韩国1973年修订专利法时作为新设条款被纳入进去，虽然经过了三次修订，但至今并无太大的变动。</w:t>
      </w:r>
    </w:p>
    <w:p>
      <w:pPr>
        <w:ind w:firstLine="480"/>
        <w:rPr>
          <w:rFonts w:cs="楷体" w:asciiTheme="minorEastAsia" w:hAnsiTheme="minorEastAsia" w:eastAsiaTheme="minorEastAsia"/>
        </w:rPr>
      </w:pPr>
      <w:r>
        <w:t>该规定最初由美国判例法加以规定，认为参与或协助他人实施侵权行为的人与侵权人共同承担不法行为责任，这作为“参与侵权”的一种形态。这一规定被日本专利法所借鉴，后又被韩国所采用。虽然这并非法律术语，但在韩国该规定被称为“间接侵权规定”，但是，将它称之为“视为侵权”或许更为贴切。而“间接侵权”这一用语的使用是受到了美国的影响，在美国“间接侵权”是作为“直接侵权”的对比概念而存在</w:t>
      </w:r>
      <w:r>
        <w:rPr>
          <w:rFonts w:hint="eastAsia"/>
        </w:rPr>
        <w:t>。</w:t>
      </w:r>
      <w:r>
        <w:t>但在美国，间接侵权是以直接侵权为前提，但是，虽然没有直接侵害专利权，仍可对间接侵权人追究侵权责任。相反在韩国，间接侵权并不以直接侵权行为为前提，法条上也将其规定为“视为侵权的行为”。所以用“视为侵权的行为”乃至“视为侵权”来概括韩国专利法的有关法条规定应该更为贴切。</w:t>
      </w:r>
    </w:p>
    <w:p>
      <w:pPr>
        <w:ind w:firstLine="480"/>
        <w:rPr>
          <w:rFonts w:cs="楷体" w:asciiTheme="minorEastAsia" w:hAnsiTheme="minorEastAsia" w:eastAsiaTheme="minorEastAsia"/>
        </w:rPr>
      </w:pPr>
      <w:r>
        <w:t>无论是间接侵权还是视为侵权，虽然都不是对专利权的直接侵害，但为了更加有效地保护专利权人的权益，法律特别将其规定为专利侵权。在这一点上各国立法都有所体现，尽管具体的构成要件可能有所差异，但有一点却是相同的，那就是如果满足一定条件，即使未对专利权进行直接侵害，法律也要追究侵权责任。</w:t>
      </w:r>
    </w:p>
    <w:p>
      <w:pPr>
        <w:ind w:firstLine="562"/>
        <w:outlineLvl w:val="2"/>
        <w:rPr>
          <w:rFonts w:ascii="黑体" w:hAnsi="黑体" w:eastAsia="黑体" w:cs="Helvetica"/>
          <w:b/>
          <w:color w:val="000000" w:themeColor="text1"/>
          <w:kern w:val="0"/>
          <w:sz w:val="28"/>
          <w:szCs w:val="28"/>
        </w:rPr>
      </w:pPr>
      <w:bookmarkStart w:id="66" w:name="_Toc121146329"/>
      <w:bookmarkStart w:id="67" w:name="_Toc203057711"/>
      <w:r>
        <w:rPr>
          <w:rFonts w:ascii="黑体" w:hAnsi="黑体" w:eastAsia="黑体" w:cs="Helvetica"/>
          <w:b/>
          <w:color w:val="000000" w:themeColor="text1"/>
          <w:kern w:val="0"/>
          <w:sz w:val="28"/>
          <w:szCs w:val="28"/>
        </w:rPr>
        <w:t xml:space="preserve">4.2.2 </w:t>
      </w:r>
      <w:r>
        <w:rPr>
          <w:rFonts w:hint="eastAsia" w:ascii="黑体" w:hAnsi="黑体" w:eastAsia="黑体" w:cs="Helvetica"/>
          <w:b/>
          <w:color w:val="000000" w:themeColor="text1"/>
          <w:kern w:val="0"/>
          <w:sz w:val="28"/>
          <w:szCs w:val="28"/>
        </w:rPr>
        <w:t>韩国专利侵权的反诉及抗辩</w:t>
      </w:r>
      <w:bookmarkEnd w:id="66"/>
      <w:bookmarkEnd w:id="67"/>
    </w:p>
    <w:p>
      <w:pPr>
        <w:ind w:firstLine="480"/>
      </w:pPr>
      <w:r>
        <w:t>掌握起诉方的相关信息</w:t>
      </w:r>
      <w:r>
        <w:rPr>
          <w:rFonts w:hint="eastAsia"/>
        </w:rPr>
        <w:t>。</w:t>
      </w:r>
      <w:r>
        <w:t>企业首先要了解起诉方在该领域或该行业的发展、产品以及知识产权情况，尤其是要了解相关涉嫌侵权产品的专利和/或商标的情况，通过仔细分析对方的专利来寻求突破点。与其他一些国家不同，原则上在韩国专利无效不是对专利侵权诉讼的抗辩。但是，中国企业可以在特许审判院通过一个单独的无效审判来挑战专利的有效性。从而，审判侵权诉讼的法院必须进行专利有效的假定，直至或除非专利无效的决定已经成为最终决定。如果法院发现该授权专利缺乏新颖性或创造性，法院无需判决专利权无效，可以直接否定专利权的行使，并驳回侵权诉讼。</w:t>
      </w:r>
    </w:p>
    <w:p>
      <w:pPr>
        <w:ind w:firstLine="480"/>
      </w:pPr>
      <w:r>
        <w:t>中国企业应积极证明自己的产品或方法并不构成侵权，例如，提供具有相关技术背景的辩理士（代理人）或大学教授等专家出具的书面意见可以加强上述论证。因此，在发起侵权诉讼之前或之后，中国企业可以向特许审判院提起权利要求范围确认审判（即，确定特定产品或方法是否属于专利范围），以确定产品或方法不属于专利范围。同时，中国企业可以请求法院暂停侵权诉讼程序，直到特许审判院作出权利范围审判决定。</w:t>
      </w:r>
    </w:p>
    <w:p>
      <w:pPr>
        <w:ind w:firstLine="562"/>
        <w:outlineLvl w:val="1"/>
        <w:rPr>
          <w:rFonts w:ascii="黑体" w:hAnsi="黑体" w:eastAsia="黑体"/>
          <w:b/>
          <w:bCs/>
          <w:sz w:val="28"/>
          <w:szCs w:val="28"/>
        </w:rPr>
      </w:pPr>
      <w:bookmarkStart w:id="68" w:name="_Toc203057712"/>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3 </w:t>
      </w:r>
      <w:r>
        <w:rPr>
          <w:rFonts w:hint="eastAsia" w:ascii="黑体" w:hAnsi="黑体" w:eastAsia="黑体"/>
          <w:b/>
          <w:bCs/>
          <w:sz w:val="28"/>
          <w:szCs w:val="28"/>
        </w:rPr>
        <w:t>美国知识产权</w:t>
      </w:r>
      <w:bookmarkEnd w:id="56"/>
      <w:r>
        <w:rPr>
          <w:rFonts w:hint="eastAsia" w:ascii="黑体" w:hAnsi="黑体" w:eastAsia="黑体"/>
          <w:b/>
          <w:bCs/>
          <w:sz w:val="28"/>
          <w:szCs w:val="28"/>
        </w:rPr>
        <w:t>风险防控分析</w:t>
      </w:r>
      <w:bookmarkEnd w:id="68"/>
    </w:p>
    <w:p>
      <w:pPr>
        <w:ind w:firstLine="562"/>
        <w:outlineLvl w:val="2"/>
        <w:rPr>
          <w:rFonts w:ascii="黑体" w:hAnsi="黑体" w:eastAsia="黑体" w:cs="Helvetica"/>
          <w:b/>
          <w:color w:val="000000" w:themeColor="text1"/>
          <w:kern w:val="0"/>
          <w:sz w:val="28"/>
          <w:szCs w:val="28"/>
        </w:rPr>
      </w:pPr>
      <w:bookmarkStart w:id="69" w:name="_Toc121146302"/>
      <w:bookmarkStart w:id="70" w:name="_Toc203057713"/>
      <w:r>
        <w:rPr>
          <w:rFonts w:ascii="黑体" w:hAnsi="黑体" w:eastAsia="黑体" w:cs="Helvetica"/>
          <w:b/>
          <w:color w:val="000000" w:themeColor="text1"/>
          <w:kern w:val="0"/>
          <w:sz w:val="28"/>
          <w:szCs w:val="28"/>
        </w:rPr>
        <w:t xml:space="preserve">4.3.1 </w:t>
      </w:r>
      <w:r>
        <w:rPr>
          <w:rFonts w:hint="eastAsia" w:ascii="黑体" w:hAnsi="黑体" w:eastAsia="黑体" w:cs="Helvetica"/>
          <w:b/>
          <w:color w:val="000000" w:themeColor="text1"/>
          <w:kern w:val="0"/>
          <w:sz w:val="28"/>
          <w:szCs w:val="28"/>
        </w:rPr>
        <w:t>美国专利侵权行为的认定</w:t>
      </w:r>
      <w:bookmarkEnd w:id="69"/>
      <w:bookmarkEnd w:id="70"/>
    </w:p>
    <w:p>
      <w:pPr>
        <w:ind w:firstLine="480"/>
      </w:pPr>
      <w:r>
        <w:t>在美国，对专利侵权的制裁来源于美国专利法第271条的规定。构成专利侵权的基本要求是被主张侵权的装置、组合物、方法等包含争议权利要求的全部技术特征。美国专利法除了规定直接侵权之外，也规定了间接侵权。</w:t>
      </w:r>
    </w:p>
    <w:p>
      <w:pPr>
        <w:ind w:firstLine="482"/>
        <w:rPr>
          <w:b/>
          <w:bCs/>
        </w:rPr>
      </w:pPr>
      <w:bookmarkStart w:id="71" w:name="_Toc121146303"/>
      <w:r>
        <w:rPr>
          <w:rFonts w:hint="eastAsia"/>
          <w:b/>
          <w:bCs/>
        </w:rPr>
        <w:t>一、直接侵权</w:t>
      </w:r>
      <w:bookmarkEnd w:id="71"/>
    </w:p>
    <w:p>
      <w:pPr>
        <w:ind w:firstLine="480"/>
      </w:pPr>
      <w:r>
        <w:t>直接侵权是指在专利权的有效期间内，他人未经授权而行使了专利权人排他性的权利。确定侵权，首先要解释权利要求和确定专利权保护范围，然后将权利要求的范围与侵权产品或方法进行比较。在美国前者是一个法律问题，由法官解决；后者是一个事实问题，由陪审团解决。</w:t>
      </w:r>
    </w:p>
    <w:p>
      <w:pPr>
        <w:ind w:firstLine="480"/>
      </w:pPr>
      <w:r>
        <w:t>如果权利要求中的每一个技术特征都清楚而具体地见于侵权产品或方法之中，就属于“字面侵权”或者“不折不扣的侵权”。所谓“字面侵权”是就权利要求书的文字来说的；所谓“不折不扣的侵权”是说侵权产品或方法清楚而具体的落入专利权的保护范围。就字面侵权来说，并非要求专利权利要求中的技术特征与侵权产品或方法所使用的技术方案完全一致，而是说相关权利要求中的每一项技术特征都在侵权产品或方法中得到了体现。举例来说，原告权利要求中的技术特征有三项 a、b、c，而被告侵权产品所使用的技术方案涉及a、b、c、d。此时被告的产品对原告专利来说仍然属于“字面侵权”，即使被告在产品中加入的技术特征d对原专利来说是一项重大改进也不能改变其侵犯了原告专利的事实。相反，如果被告产品或方法使用的技术方案相对于原告专利来说并没有包含其权利要求中的全部技术特征，则这种实施方式不能被判断为专利侵权。</w:t>
      </w:r>
    </w:p>
    <w:p>
      <w:pPr>
        <w:ind w:firstLine="480"/>
      </w:pPr>
      <w:r>
        <w:t>在现实生活中，完全使用专利权利要求中的全部技术特征是非常少见的，更多的情况是侵权人所生产的产品或在生产制造过程中所使用的方法对专利权利要求中的技术特征作出了少许的改进。判断这种情况是否侵权就需要应用前文在讨论专利权利的保护范围时所提到的等同原则，如果按照等同原则的观点，被控侵权产品或方法是实质性地使用了专利权利要求中的全部技术特征，实现了相同的功能并达到了实质等同的技术效果，则仍然属于侵权行为，这种侵权被称为"等同侵权"。</w:t>
      </w:r>
    </w:p>
    <w:p>
      <w:pPr>
        <w:ind w:firstLine="482"/>
        <w:rPr>
          <w:b/>
          <w:bCs/>
        </w:rPr>
      </w:pPr>
      <w:bookmarkStart w:id="72" w:name="_Toc121146304"/>
      <w:r>
        <w:rPr>
          <w:rFonts w:hint="eastAsia"/>
          <w:b/>
          <w:bCs/>
        </w:rPr>
        <w:t>二、间接侵权</w:t>
      </w:r>
      <w:bookmarkEnd w:id="72"/>
    </w:p>
    <w:p>
      <w:pPr>
        <w:ind w:firstLine="480"/>
      </w:pPr>
      <w:r>
        <w:t>在美国专利法上，间接侵权是指第三人的行为诱导或者促成了他人的直接侵权。在这里第三人虽然没有直接侵犯专利权，但他的行为却诱导或促成了他人的直接侵权行为。</w:t>
      </w:r>
    </w:p>
    <w:p>
      <w:pPr>
        <w:ind w:firstLine="482"/>
      </w:pPr>
      <w:r>
        <w:rPr>
          <w:rFonts w:asciiTheme="minorEastAsia" w:hAnsiTheme="minorEastAsia" w:eastAsiaTheme="minorEastAsia"/>
          <w:b/>
          <w:bCs/>
        </w:rPr>
        <w:t>1</w:t>
      </w:r>
      <w:r>
        <w:rPr>
          <w:rFonts w:hint="eastAsia" w:asciiTheme="minorEastAsia" w:hAnsiTheme="minorEastAsia" w:eastAsiaTheme="minorEastAsia"/>
          <w:b/>
          <w:bCs/>
        </w:rPr>
        <w:t>．</w:t>
      </w:r>
      <w:r>
        <w:rPr>
          <w:b/>
          <w:bCs/>
        </w:rPr>
        <w:t>间接侵权的种类和概念</w:t>
      </w:r>
    </w:p>
    <w:p>
      <w:pPr>
        <w:ind w:firstLine="480"/>
      </w:pPr>
      <w:r>
        <w:t>在美国专利法上，间接侵权主要有两种</w:t>
      </w:r>
      <w:r>
        <w:rPr>
          <w:rFonts w:hint="eastAsia" w:ascii="宋体" w:hAnsi="宋体" w:cs="宋体"/>
        </w:rPr>
        <w:t>∶</w:t>
      </w:r>
      <w:r>
        <w:t>引诱侵权和帮助侵权。美国专利法第271条b款规定</w:t>
      </w:r>
      <w:r>
        <w:rPr>
          <w:rFonts w:hint="eastAsia" w:ascii="宋体" w:hAnsi="宋体" w:cs="宋体"/>
        </w:rPr>
        <w:t>∶</w:t>
      </w:r>
      <w:r>
        <w:rPr>
          <w:rFonts w:cs="Times New Roman"/>
        </w:rPr>
        <w:t>“</w:t>
      </w:r>
      <w:r>
        <w:t>积极引诱侵犯专利权的人将作为侵权者承担责任。”引诱侵权是指侵权人故意或有意诱导或协助他人直接侵犯专利权的行为。在这里，首先是引诱侵权者故意实施了某种行为，其次是直接侵权人在引诱侵权者的行为诱导下实施了直接侵权行为。</w:t>
      </w:r>
    </w:p>
    <w:p>
      <w:pPr>
        <w:ind w:firstLine="480"/>
      </w:pPr>
      <w:r>
        <w:t>帮助侵权是指侵权人故意销售、许诺销售或进口他人专利中的重要组成部分，而购买者也确实实施了侵犯他人专利的行为。构成帮助侵权需要满足两个重要条件</w:t>
      </w:r>
      <w:r>
        <w:rPr>
          <w:rFonts w:hint="eastAsia" w:ascii="宋体" w:hAnsi="宋体" w:cs="宋体"/>
        </w:rPr>
        <w:t>∶</w:t>
      </w:r>
      <w:r>
        <w:t>一是侵权人明知他所销售、许诺销售或进口的产品是他人发明专利中的特有组成部分，而且除了用于实施他人的专利之外没有其他明显的用途；二是购买者确实实施了直接侵犯他人专利的行为。</w:t>
      </w:r>
    </w:p>
    <w:p>
      <w:pPr>
        <w:ind w:firstLine="480"/>
      </w:pPr>
      <w:r>
        <w:t>关于专利直接侵权和间接侵权的关系，美国联邦巡回上诉法院在190年的“惠普公司”案中有过详细的叙述</w:t>
      </w:r>
      <w:r>
        <w:rPr>
          <w:rFonts w:hint="eastAsia" w:ascii="宋体" w:hAnsi="宋体" w:cs="宋体"/>
        </w:rPr>
        <w:t>∶</w:t>
      </w:r>
      <w:r>
        <w:t>在1952年美国专利法颁布之前，法律中没有界定侵权构成的条文。但是侵权在司法中被分为两类</w:t>
      </w:r>
      <w:r>
        <w:rPr>
          <w:rFonts w:hint="eastAsia" w:ascii="宋体" w:hAnsi="宋体" w:cs="宋体"/>
        </w:rPr>
        <w:t>∶</w:t>
      </w:r>
      <w:r>
        <w:t>"直接侵权”，即未经侵权而制造、使用或销售发明专利权覆盖的产品；“共同侵权”，即所有的虽然没有技术上的制造、使用或销售，但被告显示了足够的过错性的其他活动，以至于可以认定被告为侵权者并应当承担责任。这种责任是基于共同侵权行为理论。根据这一理论，某人故意促使、帮助和教唆他人实施侵权行为，则应当与主要侵权者负共同的和单独的责任。1952年颁布了美国专利法，不仅在法典上规定了直接侵权，而且把“共同侵权”分成了“引诱侵权”和“帮助侵权”。直接侵权与间接侵权的区别在于，前者存在技术层面上的制造、使用或销售有关专利产品的行为，而后者不存在技术层面上的制造、使用或销售有关专利产品的行为。</w:t>
      </w:r>
    </w:p>
    <w:p>
      <w:pPr>
        <w:ind w:firstLine="482"/>
        <w:rPr>
          <w:b/>
          <w:bCs/>
        </w:rPr>
      </w:pPr>
      <w:r>
        <w:rPr>
          <w:rFonts w:asciiTheme="minorEastAsia" w:hAnsiTheme="minorEastAsia" w:eastAsiaTheme="minorEastAsia"/>
          <w:b/>
          <w:bCs/>
        </w:rPr>
        <w:t>2</w:t>
      </w:r>
      <w:r>
        <w:rPr>
          <w:rFonts w:hint="eastAsia" w:asciiTheme="minorEastAsia" w:hAnsiTheme="minorEastAsia" w:eastAsiaTheme="minorEastAsia"/>
          <w:b/>
          <w:bCs/>
        </w:rPr>
        <w:t>．</w:t>
      </w:r>
      <w:r>
        <w:rPr>
          <w:b/>
          <w:bCs/>
        </w:rPr>
        <w:t>间接侵权的认定</w:t>
      </w:r>
    </w:p>
    <w:p>
      <w:pPr>
        <w:ind w:firstLine="480"/>
      </w:pPr>
      <w:r>
        <w:t>间接侵权与直接侵权在认定方面最大的不同在于，侵权者的主观意图是间接侵权的必要条件。在认定直接侵权方面，无论侵权者主观上是否知道自己的行为侵犯了他人的专利权，也不论他是否有可能知道自己的行为侵犯了他人的专利权，只要有客观的侵权事实存在，就可以判定为侵权。然而在专利侵权的间接侵权认定上，行为人的主观意图却成为侵权成立的要件之一。在引诱侵权中，是行为人故意诱导或者协助他人侵犯专利权，在帮助侵权场合，则是行为人故意销售、许诺销售或进口他人发明专利的重要组成部分，并由此而帮助实现了对专利权的侵犯。美国专利法第271条使用了“积极引诱”、“知道”等字眼。如果没有这种积极的主观意图，则不存在间接侵权。</w:t>
      </w:r>
    </w:p>
    <w:p>
      <w:pPr>
        <w:ind w:firstLine="480"/>
      </w:pPr>
      <w:r>
        <w:t>在认定间接侵权方面，除了需要侵权者具有积极的主观意图之外，直接侵权行为的发生也是一个必要条件。如果不存在直接侵权行为，无论相关当事人的主观意图如何均不得认定间接侵权的存在。在前述“爱若”案中，被告同时向通用公司和福特公司的用户出售了可供更换的纺织物。美国最高法院裁定，通用公司获得了制造和销售可折叠汽车顶部的专利授权，通用汽车的用户更换顶部纺织物的行为属于“修理”而非“制造”，没有发生直接侵权，因此间接侵权行为也没有发生。而福特公司没有获得制造和销售该可折叠汽车顶部的授权，福特公司的用户更换顶部纺织物的行为属于"制造"，直接侵犯了原告的专利权。与此相应，被告向福特汽车所有人出售可更换纺织物的行为也构成间接侵权。可以说，此案非常鲜明地说明了直接侵权和间接侵权的联系，也具体的说明了认定间接侵权的所有要件。</w:t>
      </w:r>
    </w:p>
    <w:p>
      <w:pPr>
        <w:ind w:firstLine="562"/>
        <w:outlineLvl w:val="2"/>
        <w:rPr>
          <w:rFonts w:ascii="黑体" w:hAnsi="黑体" w:eastAsia="黑体" w:cs="Helvetica"/>
          <w:b/>
          <w:color w:val="000000" w:themeColor="text1"/>
          <w:kern w:val="0"/>
          <w:sz w:val="28"/>
          <w:szCs w:val="28"/>
        </w:rPr>
      </w:pPr>
      <w:bookmarkStart w:id="73" w:name="_Toc121146305"/>
      <w:bookmarkStart w:id="74" w:name="_Toc203057714"/>
      <w:r>
        <w:rPr>
          <w:rFonts w:ascii="黑体" w:hAnsi="黑体" w:eastAsia="黑体" w:cs="Helvetica"/>
          <w:b/>
          <w:color w:val="000000" w:themeColor="text1"/>
          <w:kern w:val="0"/>
          <w:sz w:val="28"/>
          <w:szCs w:val="28"/>
        </w:rPr>
        <w:t xml:space="preserve">4.3.2 </w:t>
      </w:r>
      <w:bookmarkEnd w:id="73"/>
      <w:r>
        <w:rPr>
          <w:rFonts w:hint="eastAsia" w:ascii="黑体" w:hAnsi="黑体" w:eastAsia="黑体" w:cs="Helvetica"/>
          <w:b/>
          <w:color w:val="000000" w:themeColor="text1"/>
          <w:kern w:val="0"/>
          <w:sz w:val="28"/>
          <w:szCs w:val="28"/>
        </w:rPr>
        <w:t>“3</w:t>
      </w:r>
      <w:r>
        <w:rPr>
          <w:rFonts w:ascii="黑体" w:hAnsi="黑体" w:eastAsia="黑体" w:cs="Helvetica"/>
          <w:b/>
          <w:color w:val="000000" w:themeColor="text1"/>
          <w:kern w:val="0"/>
          <w:sz w:val="28"/>
          <w:szCs w:val="28"/>
        </w:rPr>
        <w:t>37</w:t>
      </w:r>
      <w:r>
        <w:rPr>
          <w:rFonts w:hint="eastAsia" w:ascii="黑体" w:hAnsi="黑体" w:eastAsia="黑体" w:cs="Helvetica"/>
          <w:b/>
          <w:color w:val="000000" w:themeColor="text1"/>
          <w:kern w:val="0"/>
          <w:sz w:val="28"/>
          <w:szCs w:val="28"/>
        </w:rPr>
        <w:t>调查”及常规应对策略</w:t>
      </w:r>
      <w:bookmarkEnd w:id="74"/>
    </w:p>
    <w:p>
      <w:pPr>
        <w:ind w:firstLine="480"/>
        <w:rPr>
          <w:rFonts w:hAnsi="宋体" w:cs="Times New Roman"/>
        </w:rPr>
      </w:pPr>
      <w:r>
        <w:rPr>
          <w:rFonts w:cs="Times New Roman"/>
        </w:rPr>
        <w:t>“337</w:t>
      </w:r>
      <w:r>
        <w:rPr>
          <w:rFonts w:hAnsi="宋体" w:cs="Times New Roman"/>
        </w:rPr>
        <w:t>调查</w:t>
      </w:r>
      <w:r>
        <w:rPr>
          <w:rFonts w:cs="Times New Roman"/>
        </w:rPr>
        <w:t>”</w:t>
      </w:r>
      <w:r>
        <w:rPr>
          <w:rFonts w:hAnsi="宋体" w:cs="Times New Roman"/>
        </w:rPr>
        <w:t>制度：根据美国《</w:t>
      </w:r>
      <w:r>
        <w:rPr>
          <w:rFonts w:cs="Times New Roman"/>
        </w:rPr>
        <w:t>1930</w:t>
      </w:r>
      <w:r>
        <w:rPr>
          <w:rFonts w:hAnsi="宋体" w:cs="Times New Roman"/>
        </w:rPr>
        <w:t>年关税法》第</w:t>
      </w:r>
      <w:r>
        <w:rPr>
          <w:rFonts w:cs="Times New Roman"/>
        </w:rPr>
        <w:t>337</w:t>
      </w:r>
      <w:r>
        <w:rPr>
          <w:rFonts w:hAnsi="宋体" w:cs="Times New Roman"/>
        </w:rPr>
        <w:t>节（现被汇编在《美国法典》第</w:t>
      </w:r>
      <w:r>
        <w:rPr>
          <w:rFonts w:cs="Times New Roman"/>
        </w:rPr>
        <w:t>19</w:t>
      </w:r>
      <w:r>
        <w:rPr>
          <w:rFonts w:hAnsi="宋体" w:cs="Times New Roman"/>
        </w:rPr>
        <w:t>卷第</w:t>
      </w:r>
      <w:r>
        <w:rPr>
          <w:rFonts w:cs="Times New Roman"/>
        </w:rPr>
        <w:t>337</w:t>
      </w:r>
      <w:r>
        <w:rPr>
          <w:rFonts w:hAnsi="宋体" w:cs="Times New Roman"/>
        </w:rPr>
        <w:t>节）的规定，如果任何进口贸易中存在侵犯知识产权或其他不正当竞争的行为，美国国际贸易委员会（</w:t>
      </w:r>
      <w:r>
        <w:rPr>
          <w:rFonts w:cs="Times New Roman"/>
        </w:rPr>
        <w:t>ITC</w:t>
      </w:r>
      <w:r>
        <w:rPr>
          <w:rFonts w:hAnsi="宋体" w:cs="Times New Roman"/>
        </w:rPr>
        <w:t>）都可以进行行政调查。如果</w:t>
      </w:r>
      <w:r>
        <w:rPr>
          <w:rFonts w:cs="Times New Roman"/>
        </w:rPr>
        <w:t>ITC</w:t>
      </w:r>
      <w:r>
        <w:rPr>
          <w:rFonts w:hAnsi="宋体" w:cs="Times New Roman"/>
        </w:rPr>
        <w:t>认定某项进口产品侵犯了美国国内知识产权，或虽未侵犯知识产权但其效果却破坏或实质上损害美国某一产业，或阻碍该产业的建立，或对美国商业或贸易造成限制或垄断，则</w:t>
      </w:r>
      <w:r>
        <w:rPr>
          <w:rFonts w:cs="Times New Roman"/>
        </w:rPr>
        <w:t>ITC</w:t>
      </w:r>
      <w:r>
        <w:rPr>
          <w:rFonts w:hAnsi="宋体" w:cs="Times New Roman"/>
        </w:rPr>
        <w:t>有权采取制裁措施。</w:t>
      </w:r>
    </w:p>
    <w:p>
      <w:pPr>
        <w:ind w:firstLine="482"/>
        <w:rPr>
          <w:rFonts w:cs="Times New Roman"/>
          <w:b/>
          <w:bCs/>
        </w:rPr>
      </w:pPr>
      <w:r>
        <w:rPr>
          <w:rFonts w:hint="eastAsia" w:cs="Times New Roman"/>
          <w:b/>
          <w:bCs/>
        </w:rPr>
        <w:t>一、</w:t>
      </w:r>
      <w:r>
        <w:rPr>
          <w:rFonts w:cs="Times New Roman"/>
          <w:b/>
          <w:bCs/>
        </w:rPr>
        <w:t>“337</w:t>
      </w:r>
      <w:r>
        <w:rPr>
          <w:rFonts w:hAnsi="宋体" w:cs="Times New Roman"/>
          <w:b/>
          <w:bCs/>
        </w:rPr>
        <w:t>调查</w:t>
      </w:r>
      <w:r>
        <w:rPr>
          <w:rFonts w:cs="Times New Roman"/>
          <w:b/>
          <w:bCs/>
        </w:rPr>
        <w:t>”</w:t>
      </w:r>
      <w:r>
        <w:rPr>
          <w:rFonts w:hAnsi="宋体" w:cs="Times New Roman"/>
          <w:b/>
          <w:bCs/>
        </w:rPr>
        <w:t>的主要特点</w:t>
      </w:r>
    </w:p>
    <w:p>
      <w:pPr>
        <w:ind w:firstLine="480"/>
        <w:rPr>
          <w:rFonts w:cs="Times New Roman"/>
        </w:rPr>
      </w:pPr>
      <w:r>
        <w:rPr>
          <w:rFonts w:hint="eastAsia" w:cs="Times New Roman"/>
        </w:rPr>
        <w:t>（</w:t>
      </w:r>
      <w:r>
        <w:rPr>
          <w:rFonts w:cs="Times New Roman"/>
        </w:rPr>
        <w:t>1</w:t>
      </w:r>
      <w:r>
        <w:rPr>
          <w:rFonts w:hAnsi="宋体" w:cs="Times New Roman"/>
        </w:rPr>
        <w:t>）立案容易，发起</w:t>
      </w:r>
      <w:r>
        <w:rPr>
          <w:rFonts w:cs="Times New Roman"/>
        </w:rPr>
        <w:t>“337</w:t>
      </w:r>
      <w:r>
        <w:rPr>
          <w:rFonts w:hAnsi="宋体" w:cs="Times New Roman"/>
        </w:rPr>
        <w:t>调查</w:t>
      </w:r>
      <w:r>
        <w:rPr>
          <w:rFonts w:cs="Times New Roman"/>
        </w:rPr>
        <w:t>”</w:t>
      </w:r>
      <w:r>
        <w:rPr>
          <w:rFonts w:hAnsi="宋体" w:cs="Times New Roman"/>
        </w:rPr>
        <w:t>的申请人只需证明在美国存在与申请人主张的知识产权相关的产业，不需证明有损害；</w:t>
      </w:r>
    </w:p>
    <w:p>
      <w:pPr>
        <w:ind w:firstLine="480"/>
        <w:rPr>
          <w:rFonts w:cs="Times New Roman"/>
        </w:rPr>
      </w:pPr>
      <w:r>
        <w:rPr>
          <w:rFonts w:hint="eastAsia" w:cs="Times New Roman"/>
        </w:rPr>
        <w:t>（2）</w:t>
      </w:r>
      <w:r>
        <w:rPr>
          <w:rFonts w:hAnsi="宋体" w:cs="Times New Roman"/>
        </w:rPr>
        <w:t>处罚严厉，一旦被认定侵权，非但被申请人的相关产品，其他同类的产品也有可能被禁止进入美国；</w:t>
      </w:r>
    </w:p>
    <w:p>
      <w:pPr>
        <w:ind w:firstLine="480"/>
        <w:rPr>
          <w:rFonts w:hAnsi="宋体" w:cs="Times New Roman"/>
        </w:rPr>
      </w:pPr>
      <w:r>
        <w:rPr>
          <w:rFonts w:hint="eastAsia" w:cs="Times New Roman"/>
        </w:rPr>
        <w:t>（3）</w:t>
      </w:r>
      <w:r>
        <w:rPr>
          <w:rFonts w:hAnsi="宋体" w:cs="Times New Roman"/>
        </w:rPr>
        <w:t>周期短，大多数情况下，</w:t>
      </w:r>
      <w:r>
        <w:rPr>
          <w:rFonts w:cs="Times New Roman"/>
        </w:rPr>
        <w:t>ITC</w:t>
      </w:r>
      <w:r>
        <w:rPr>
          <w:rFonts w:hAnsi="宋体" w:cs="Times New Roman"/>
        </w:rPr>
        <w:t>的调查期限为</w:t>
      </w:r>
      <w:r>
        <w:rPr>
          <w:rFonts w:cs="Times New Roman"/>
        </w:rPr>
        <w:t>12-16</w:t>
      </w:r>
      <w:r>
        <w:rPr>
          <w:rFonts w:hAnsi="宋体" w:cs="Times New Roman"/>
        </w:rPr>
        <w:t>个月，复杂案件可能会延长至</w:t>
      </w:r>
      <w:r>
        <w:rPr>
          <w:rFonts w:cs="Times New Roman"/>
        </w:rPr>
        <w:t>18</w:t>
      </w:r>
      <w:r>
        <w:rPr>
          <w:rFonts w:hAnsi="宋体" w:cs="Times New Roman"/>
        </w:rPr>
        <w:t>个月（而联邦地区法院的专利诉讼案件审理周期长达两年甚至更长）。</w:t>
      </w:r>
    </w:p>
    <w:p>
      <w:pPr>
        <w:ind w:firstLine="482"/>
        <w:rPr>
          <w:rFonts w:cs="Times New Roman"/>
          <w:b/>
          <w:bCs/>
        </w:rPr>
      </w:pPr>
      <w:r>
        <w:rPr>
          <w:rFonts w:hint="eastAsia" w:cs="Times New Roman"/>
          <w:b/>
          <w:bCs/>
        </w:rPr>
        <w:t>二、</w:t>
      </w:r>
      <w:r>
        <w:rPr>
          <w:rFonts w:cs="Times New Roman"/>
          <w:b/>
          <w:bCs/>
        </w:rPr>
        <w:t>“337</w:t>
      </w:r>
      <w:r>
        <w:rPr>
          <w:rFonts w:hAnsi="宋体" w:cs="Times New Roman"/>
          <w:b/>
          <w:bCs/>
        </w:rPr>
        <w:t>调查</w:t>
      </w:r>
      <w:r>
        <w:rPr>
          <w:rFonts w:cs="Times New Roman"/>
          <w:b/>
          <w:bCs/>
        </w:rPr>
        <w:t>”</w:t>
      </w:r>
      <w:r>
        <w:rPr>
          <w:rFonts w:hAnsi="宋体" w:cs="Times New Roman"/>
          <w:b/>
          <w:bCs/>
        </w:rPr>
        <w:t>可能的处罚结果</w:t>
      </w:r>
    </w:p>
    <w:p>
      <w:pPr>
        <w:ind w:firstLine="480"/>
        <w:rPr>
          <w:rFonts w:cs="Times New Roman"/>
          <w:color w:val="006CDF"/>
          <w:kern w:val="0"/>
        </w:rPr>
      </w:pPr>
      <w:r>
        <w:rPr>
          <w:rFonts w:hint="eastAsia" w:cs="Times New Roman"/>
        </w:rPr>
        <w:t>（1）</w:t>
      </w:r>
      <w:r>
        <w:rPr>
          <w:rFonts w:hAnsi="宋体" w:cs="Times New Roman"/>
        </w:rPr>
        <w:t>普遍排除令</w:t>
      </w:r>
      <w:r>
        <w:rPr>
          <w:rFonts w:cs="Times New Roman"/>
        </w:rPr>
        <w:t>:</w:t>
      </w:r>
      <w:r>
        <w:rPr>
          <w:rFonts w:hAnsi="宋体" w:cs="Times New Roman"/>
        </w:rPr>
        <w:t>不仅针对被申请人的产品，还禁止所有同类侵权产品进入美国市场；</w:t>
      </w:r>
    </w:p>
    <w:p>
      <w:pPr>
        <w:ind w:firstLine="480"/>
        <w:rPr>
          <w:rFonts w:cs="Times New Roman"/>
        </w:rPr>
      </w:pPr>
      <w:r>
        <w:rPr>
          <w:rFonts w:hint="eastAsia" w:cs="Times New Roman"/>
        </w:rPr>
        <w:t>（2）</w:t>
      </w:r>
      <w:r>
        <w:rPr>
          <w:rFonts w:hAnsi="宋体" w:cs="Times New Roman"/>
        </w:rPr>
        <w:t>有限排除令</w:t>
      </w:r>
      <w:r>
        <w:rPr>
          <w:rFonts w:cs="Times New Roman"/>
        </w:rPr>
        <w:t>:</w:t>
      </w:r>
      <w:r>
        <w:rPr>
          <w:rFonts w:hAnsi="宋体" w:cs="Times New Roman"/>
        </w:rPr>
        <w:t>禁止被申请人的侵权产品进入美国，可适用于被申请人现在和今后生产的、存在侵权行为的所有类型的产品，效力可扩大到包含侵权物品的上游零部件产品，以及下游或下级产品；</w:t>
      </w:r>
    </w:p>
    <w:p>
      <w:pPr>
        <w:ind w:firstLine="480"/>
        <w:rPr>
          <w:rFonts w:cs="Times New Roman"/>
          <w:color w:val="006CDF"/>
          <w:kern w:val="0"/>
        </w:rPr>
      </w:pPr>
      <w:r>
        <w:rPr>
          <w:rFonts w:hint="eastAsia" w:cs="Times New Roman"/>
        </w:rPr>
        <w:t>（3）</w:t>
      </w:r>
      <w:r>
        <w:rPr>
          <w:rFonts w:hAnsi="宋体" w:cs="Times New Roman"/>
        </w:rPr>
        <w:t>禁止令</w:t>
      </w:r>
      <w:r>
        <w:rPr>
          <w:rFonts w:cs="Times New Roman"/>
        </w:rPr>
        <w:t>:</w:t>
      </w:r>
      <w:r>
        <w:rPr>
          <w:rFonts w:hAnsi="宋体" w:cs="Times New Roman"/>
        </w:rPr>
        <w:t>禁止令是为了禁止继续销售、库存、宣传、广告等已经进口到美国的侵权产品</w:t>
      </w:r>
      <w:r>
        <w:rPr>
          <w:rFonts w:cs="Times New Roman"/>
        </w:rPr>
        <w:t>;</w:t>
      </w:r>
    </w:p>
    <w:p>
      <w:pPr>
        <w:ind w:firstLine="480"/>
        <w:rPr>
          <w:rFonts w:cs="Times New Roman"/>
          <w:color w:val="006CDF"/>
          <w:kern w:val="0"/>
        </w:rPr>
      </w:pPr>
      <w:r>
        <w:rPr>
          <w:rFonts w:hint="eastAsia" w:cs="Times New Roman"/>
        </w:rPr>
        <w:t>（4）</w:t>
      </w:r>
      <w:r>
        <w:rPr>
          <w:rFonts w:hAnsi="宋体" w:cs="Times New Roman"/>
        </w:rPr>
        <w:t>扣押和没收令</w:t>
      </w:r>
      <w:r>
        <w:rPr>
          <w:rFonts w:cs="Times New Roman"/>
        </w:rPr>
        <w:t>:</w:t>
      </w:r>
      <w:r>
        <w:rPr>
          <w:rFonts w:hAnsi="宋体" w:cs="Times New Roman"/>
        </w:rPr>
        <w:t>如果</w:t>
      </w:r>
      <w:r>
        <w:rPr>
          <w:rFonts w:cs="Times New Roman"/>
        </w:rPr>
        <w:t>ITC</w:t>
      </w:r>
      <w:r>
        <w:rPr>
          <w:rFonts w:hAnsi="宋体" w:cs="Times New Roman"/>
        </w:rPr>
        <w:t>曾就某一产品签发过排除令，而有关企业试图再次将其出口到美国市场，</w:t>
      </w:r>
      <w:r>
        <w:rPr>
          <w:rFonts w:cs="Times New Roman"/>
        </w:rPr>
        <w:t>ITC</w:t>
      </w:r>
      <w:r>
        <w:rPr>
          <w:rFonts w:hAnsi="宋体" w:cs="Times New Roman"/>
        </w:rPr>
        <w:t>可以签发扣押和没收令</w:t>
      </w:r>
      <w:r>
        <w:rPr>
          <w:rFonts w:cs="Times New Roman"/>
        </w:rPr>
        <w:t>;</w:t>
      </w:r>
    </w:p>
    <w:p>
      <w:pPr>
        <w:ind w:firstLine="480"/>
        <w:rPr>
          <w:rFonts w:hAnsi="宋体" w:cs="Times New Roman"/>
        </w:rPr>
      </w:pPr>
      <w:r>
        <w:rPr>
          <w:rFonts w:hint="eastAsia" w:cs="Times New Roman"/>
          <w:kern w:val="0"/>
        </w:rPr>
        <w:t>（5）</w:t>
      </w:r>
      <w:r>
        <w:rPr>
          <w:rFonts w:hAnsi="宋体" w:cs="Times New Roman"/>
        </w:rPr>
        <w:t>罚款</w:t>
      </w:r>
      <w:r>
        <w:rPr>
          <w:rFonts w:cs="Times New Roman"/>
        </w:rPr>
        <w:t>:</w:t>
      </w:r>
      <w:r>
        <w:rPr>
          <w:rFonts w:hAnsi="宋体" w:cs="Times New Roman"/>
        </w:rPr>
        <w:t>在签发排除令和禁止令后，有关当事人如果违反</w:t>
      </w:r>
      <w:r>
        <w:rPr>
          <w:rFonts w:cs="Times New Roman"/>
        </w:rPr>
        <w:t>ITC</w:t>
      </w:r>
      <w:r>
        <w:rPr>
          <w:rFonts w:hAnsi="宋体" w:cs="Times New Roman"/>
        </w:rPr>
        <w:t>的命令，将面临</w:t>
      </w:r>
      <w:r>
        <w:rPr>
          <w:rFonts w:cs="Times New Roman"/>
        </w:rPr>
        <w:t>10</w:t>
      </w:r>
      <w:r>
        <w:rPr>
          <w:rFonts w:hAnsi="宋体" w:cs="Times New Roman"/>
        </w:rPr>
        <w:t>万美元</w:t>
      </w:r>
      <w:r>
        <w:rPr>
          <w:rFonts w:cs="Times New Roman"/>
        </w:rPr>
        <w:t>/</w:t>
      </w:r>
      <w:r>
        <w:rPr>
          <w:rFonts w:hAnsi="宋体" w:cs="Times New Roman"/>
        </w:rPr>
        <w:t>日的罚款或相当于其每日违令输入美国产品的美国国内价值</w:t>
      </w:r>
      <w:r>
        <w:rPr>
          <w:rFonts w:cs="Times New Roman"/>
        </w:rPr>
        <w:t>2</w:t>
      </w:r>
      <w:r>
        <w:rPr>
          <w:rFonts w:hAnsi="宋体" w:cs="Times New Roman"/>
        </w:rPr>
        <w:t>倍的民事处罚，两者中取高者。</w:t>
      </w:r>
    </w:p>
    <w:p>
      <w:pPr>
        <w:ind w:firstLine="482"/>
        <w:rPr>
          <w:rFonts w:cs="Times New Roman"/>
          <w:b/>
          <w:bCs/>
        </w:rPr>
      </w:pPr>
      <w:r>
        <w:rPr>
          <w:rFonts w:hint="eastAsia" w:cs="Times New Roman"/>
          <w:b/>
          <w:bCs/>
        </w:rPr>
        <w:t>三、</w:t>
      </w:r>
      <w:r>
        <w:rPr>
          <w:rFonts w:cs="Times New Roman"/>
          <w:b/>
          <w:bCs/>
        </w:rPr>
        <w:t>“337</w:t>
      </w:r>
      <w:r>
        <w:rPr>
          <w:rFonts w:hAnsi="宋体" w:cs="Times New Roman"/>
          <w:b/>
          <w:bCs/>
        </w:rPr>
        <w:t>调查</w:t>
      </w:r>
      <w:r>
        <w:rPr>
          <w:rFonts w:cs="Times New Roman"/>
          <w:b/>
          <w:bCs/>
        </w:rPr>
        <w:t>”</w:t>
      </w:r>
      <w:r>
        <w:rPr>
          <w:rFonts w:hAnsi="宋体" w:cs="Times New Roman"/>
          <w:b/>
          <w:bCs/>
        </w:rPr>
        <w:t>程序</w:t>
      </w:r>
    </w:p>
    <w:p>
      <w:pPr>
        <w:ind w:firstLine="480"/>
        <w:rPr>
          <w:rFonts w:cs="Times New Roman"/>
          <w:b/>
          <w:bCs/>
        </w:rPr>
      </w:pPr>
      <w:r>
        <w:rPr>
          <w:rFonts w:cs="Times New Roman"/>
        </w:rPr>
        <w:t>“337</w:t>
      </w:r>
      <w:r>
        <w:rPr>
          <w:rFonts w:hAnsi="宋体" w:cs="Times New Roman"/>
        </w:rPr>
        <w:t>调查</w:t>
      </w:r>
      <w:r>
        <w:rPr>
          <w:rFonts w:cs="Times New Roman"/>
        </w:rPr>
        <w:t>”</w:t>
      </w:r>
      <w:r>
        <w:rPr>
          <w:rFonts w:hAnsi="宋体" w:cs="Times New Roman"/>
        </w:rPr>
        <w:t>时间程序表如下图</w:t>
      </w:r>
      <w:r>
        <w:rPr>
          <w:rFonts w:cs="Times New Roman"/>
        </w:rPr>
        <w:t>5.1-1</w:t>
      </w:r>
      <w:r>
        <w:rPr>
          <w:rFonts w:hAnsi="宋体" w:cs="Times New Roman"/>
        </w:rPr>
        <w:t>所示。</w:t>
      </w:r>
    </w:p>
    <w:p>
      <w:pPr>
        <w:ind w:firstLine="0" w:firstLineChars="0"/>
        <w:jc w:val="center"/>
        <w:rPr>
          <w:rFonts w:cs="Times New Roman"/>
        </w:rPr>
      </w:pPr>
      <w:r>
        <w:rPr>
          <w:rFonts w:cs="Times New Roman"/>
        </w:rPr>
        <w:drawing>
          <wp:inline distT="0" distB="0" distL="0" distR="0">
            <wp:extent cx="5274310" cy="6176010"/>
            <wp:effectExtent l="0" t="0" r="8890" b="8890"/>
            <wp:docPr id="2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9"/>
                    <pic:cNvPicPr>
                      <a:picLocks noChangeAspect="1" noChangeArrowheads="1"/>
                    </pic:cNvPicPr>
                  </pic:nvPicPr>
                  <pic:blipFill>
                    <a:blip r:embed="rId34"/>
                    <a:srcRect/>
                    <a:stretch>
                      <a:fillRect/>
                    </a:stretch>
                  </pic:blipFill>
                  <pic:spPr>
                    <a:xfrm>
                      <a:off x="0" y="0"/>
                      <a:ext cx="5274310" cy="6176278"/>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4.1-1 “337</w:t>
      </w:r>
      <w:r>
        <w:rPr>
          <w:rFonts w:hAnsi="宋体" w:cs="Times New Roman"/>
          <w:b/>
          <w:bCs/>
        </w:rPr>
        <w:t>调查</w:t>
      </w:r>
      <w:r>
        <w:rPr>
          <w:rFonts w:cs="Times New Roman"/>
          <w:b/>
          <w:bCs/>
        </w:rPr>
        <w:t>”</w:t>
      </w:r>
      <w:r>
        <w:rPr>
          <w:rFonts w:hAnsi="宋体" w:cs="Times New Roman"/>
          <w:b/>
          <w:bCs/>
        </w:rPr>
        <w:t>时间程序表</w:t>
      </w:r>
    </w:p>
    <w:p>
      <w:pPr>
        <w:ind w:firstLine="482"/>
        <w:rPr>
          <w:rFonts w:cs="Times New Roman"/>
          <w:b/>
          <w:bCs/>
        </w:rPr>
      </w:pPr>
      <w:r>
        <w:rPr>
          <w:rFonts w:hint="eastAsia" w:cs="Times New Roman"/>
          <w:b/>
          <w:bCs/>
        </w:rPr>
        <w:t>四、</w:t>
      </w:r>
      <w:r>
        <w:rPr>
          <w:rFonts w:cs="Times New Roman"/>
          <w:b/>
          <w:bCs/>
        </w:rPr>
        <w:t>“337</w:t>
      </w:r>
      <w:r>
        <w:rPr>
          <w:rFonts w:hAnsi="宋体" w:cs="Times New Roman"/>
          <w:b/>
          <w:bCs/>
        </w:rPr>
        <w:t>调查</w:t>
      </w:r>
      <w:r>
        <w:rPr>
          <w:rFonts w:cs="Times New Roman"/>
          <w:b/>
          <w:bCs/>
        </w:rPr>
        <w:t>”</w:t>
      </w:r>
      <w:r>
        <w:rPr>
          <w:rFonts w:hAnsi="宋体" w:cs="Times New Roman"/>
          <w:b/>
          <w:bCs/>
        </w:rPr>
        <w:t>的应对策略：</w:t>
      </w:r>
    </w:p>
    <w:p>
      <w:pPr>
        <w:ind w:firstLine="482"/>
        <w:rPr>
          <w:rFonts w:cs="Times New Roman"/>
          <w:b/>
          <w:bCs/>
        </w:rPr>
      </w:pPr>
      <w:r>
        <w:rPr>
          <w:rFonts w:hAnsi="宋体" w:cs="Times New Roman"/>
          <w:b/>
          <w:bCs/>
        </w:rPr>
        <w:t>事前：</w:t>
      </w:r>
    </w:p>
    <w:p>
      <w:pPr>
        <w:ind w:firstLine="480"/>
        <w:rPr>
          <w:rFonts w:cs="Times New Roman"/>
        </w:rPr>
      </w:pPr>
      <w:r>
        <w:rPr>
          <w:rFonts w:hAnsi="宋体" w:cs="Times New Roman"/>
        </w:rPr>
        <w:t>（</w:t>
      </w:r>
      <w:r>
        <w:rPr>
          <w:rFonts w:cs="Times New Roman"/>
        </w:rPr>
        <w:t>1</w:t>
      </w:r>
      <w:r>
        <w:rPr>
          <w:rFonts w:hAnsi="宋体" w:cs="Times New Roman"/>
        </w:rPr>
        <w:t>）针对可能的侵权，及时对产品进行规避设计；</w:t>
      </w:r>
    </w:p>
    <w:p>
      <w:pPr>
        <w:ind w:firstLine="480"/>
        <w:rPr>
          <w:rFonts w:cs="Times New Roman"/>
        </w:rPr>
      </w:pPr>
      <w:r>
        <w:rPr>
          <w:rFonts w:hAnsi="宋体" w:cs="Times New Roman"/>
        </w:rPr>
        <w:t>（</w:t>
      </w:r>
      <w:r>
        <w:rPr>
          <w:rFonts w:cs="Times New Roman"/>
        </w:rPr>
        <w:t>2</w:t>
      </w:r>
      <w:r>
        <w:rPr>
          <w:rFonts w:hAnsi="宋体" w:cs="Times New Roman"/>
        </w:rPr>
        <w:t>）对于无法规避而又必须使用的核心专利技术（如液晶膜），可以积极准备谈判，探索采取支付许可费、购买专利或合资、合作等措施的可行性，尽量避免因</w:t>
      </w:r>
      <w:r>
        <w:rPr>
          <w:rFonts w:cs="Times New Roman"/>
        </w:rPr>
        <w:t>“337</w:t>
      </w:r>
      <w:r>
        <w:rPr>
          <w:rFonts w:hAnsi="宋体" w:cs="Times New Roman"/>
        </w:rPr>
        <w:t>调查</w:t>
      </w:r>
      <w:r>
        <w:rPr>
          <w:rFonts w:cs="Times New Roman"/>
        </w:rPr>
        <w:t>”</w:t>
      </w:r>
      <w:r>
        <w:rPr>
          <w:rFonts w:hAnsi="宋体" w:cs="Times New Roman"/>
        </w:rPr>
        <w:t>而失去美国市场；</w:t>
      </w:r>
    </w:p>
    <w:p>
      <w:pPr>
        <w:ind w:firstLine="480"/>
        <w:rPr>
          <w:rFonts w:cs="Times New Roman"/>
        </w:rPr>
      </w:pPr>
      <w:r>
        <w:rPr>
          <w:rFonts w:hAnsi="宋体" w:cs="Times New Roman"/>
        </w:rPr>
        <w:t>（</w:t>
      </w:r>
      <w:r>
        <w:rPr>
          <w:rFonts w:cs="Times New Roman"/>
        </w:rPr>
        <w:t>3</w:t>
      </w:r>
      <w:r>
        <w:rPr>
          <w:rFonts w:hAnsi="宋体" w:cs="Times New Roman"/>
        </w:rPr>
        <w:t>）尝试主动在美进行合理知识产权布局，拥有一定数量的美国专利权，对申请人也是一种对抗和威慑，同时设计可能的替代方案，减少侵权可能性；</w:t>
      </w:r>
    </w:p>
    <w:p>
      <w:pPr>
        <w:ind w:firstLine="480"/>
        <w:rPr>
          <w:rFonts w:cs="Times New Roman"/>
        </w:rPr>
      </w:pPr>
      <w:r>
        <w:rPr>
          <w:rFonts w:hAnsi="宋体" w:cs="Times New Roman"/>
        </w:rPr>
        <w:t>（</w:t>
      </w:r>
      <w:r>
        <w:rPr>
          <w:rFonts w:cs="Times New Roman"/>
        </w:rPr>
        <w:t>4</w:t>
      </w:r>
      <w:r>
        <w:rPr>
          <w:rFonts w:hAnsi="宋体" w:cs="Times New Roman"/>
        </w:rPr>
        <w:t>）委托律师出具出口产品不构成知识产权侵权的法律意见书，避免在</w:t>
      </w:r>
      <w:r>
        <w:rPr>
          <w:rFonts w:cs="Times New Roman"/>
        </w:rPr>
        <w:t>“337</w:t>
      </w:r>
      <w:r>
        <w:rPr>
          <w:rFonts w:hAnsi="宋体" w:cs="Times New Roman"/>
        </w:rPr>
        <w:t>调查</w:t>
      </w:r>
      <w:r>
        <w:rPr>
          <w:rFonts w:cs="Times New Roman"/>
        </w:rPr>
        <w:t>”</w:t>
      </w:r>
      <w:r>
        <w:rPr>
          <w:rFonts w:hAnsi="宋体" w:cs="Times New Roman"/>
        </w:rPr>
        <w:t>中被判故意侵权，并承担</w:t>
      </w:r>
      <w:r>
        <w:rPr>
          <w:rFonts w:cs="Times New Roman"/>
        </w:rPr>
        <w:t>3</w:t>
      </w:r>
      <w:r>
        <w:rPr>
          <w:rFonts w:hAnsi="宋体" w:cs="Times New Roman"/>
        </w:rPr>
        <w:t>倍赔偿金的处罚。</w:t>
      </w:r>
    </w:p>
    <w:p>
      <w:pPr>
        <w:ind w:firstLine="482"/>
        <w:rPr>
          <w:rFonts w:cs="Times New Roman"/>
        </w:rPr>
      </w:pPr>
      <w:r>
        <w:rPr>
          <w:rFonts w:hAnsi="宋体" w:cs="Times New Roman"/>
          <w:b/>
          <w:bCs/>
        </w:rPr>
        <w:t>事中：</w:t>
      </w:r>
    </w:p>
    <w:p>
      <w:pPr>
        <w:ind w:firstLine="480"/>
        <w:rPr>
          <w:rFonts w:cs="Times New Roman"/>
        </w:rPr>
      </w:pPr>
      <w:r>
        <w:rPr>
          <w:rFonts w:hAnsi="宋体" w:cs="Times New Roman"/>
        </w:rPr>
        <w:t>若发生</w:t>
      </w:r>
      <w:r>
        <w:rPr>
          <w:rFonts w:cs="Times New Roman"/>
        </w:rPr>
        <w:t>337</w:t>
      </w:r>
      <w:r>
        <w:rPr>
          <w:rFonts w:hAnsi="宋体" w:cs="Times New Roman"/>
        </w:rPr>
        <w:t>调查，可以采取如下措施加以应对：</w:t>
      </w:r>
    </w:p>
    <w:p>
      <w:pPr>
        <w:ind w:firstLine="480"/>
        <w:rPr>
          <w:rFonts w:cs="Times New Roman"/>
        </w:rPr>
      </w:pPr>
      <w:r>
        <w:rPr>
          <w:rFonts w:hAnsi="宋体" w:cs="Times New Roman"/>
        </w:rPr>
        <w:t>（</w:t>
      </w:r>
      <w:r>
        <w:rPr>
          <w:rFonts w:cs="Times New Roman"/>
        </w:rPr>
        <w:t>1</w:t>
      </w:r>
      <w:r>
        <w:rPr>
          <w:rFonts w:hAnsi="宋体" w:cs="Times New Roman"/>
        </w:rPr>
        <w:t>）权衡是否应诉：</w:t>
      </w:r>
      <w:r>
        <w:rPr>
          <w:rFonts w:cs="Times New Roman"/>
        </w:rPr>
        <w:t>“337</w:t>
      </w:r>
      <w:r>
        <w:rPr>
          <w:rFonts w:hAnsi="宋体" w:cs="Times New Roman"/>
        </w:rPr>
        <w:t>调查</w:t>
      </w:r>
      <w:r>
        <w:rPr>
          <w:rFonts w:cs="Times New Roman"/>
        </w:rPr>
        <w:t>”</w:t>
      </w:r>
      <w:r>
        <w:rPr>
          <w:rFonts w:hAnsi="宋体" w:cs="Times New Roman"/>
        </w:rPr>
        <w:t>的应诉费用根据情况不同通常为几万至上百万美元不等，企业要从成本收益的角度考虑应诉是否值得；</w:t>
      </w:r>
    </w:p>
    <w:p>
      <w:pPr>
        <w:ind w:firstLine="480"/>
        <w:rPr>
          <w:rFonts w:cs="Times New Roman"/>
        </w:rPr>
      </w:pPr>
      <w:r>
        <w:rPr>
          <w:rFonts w:hAnsi="宋体" w:cs="Times New Roman"/>
        </w:rPr>
        <w:t>（</w:t>
      </w:r>
      <w:r>
        <w:rPr>
          <w:rFonts w:cs="Times New Roman"/>
        </w:rPr>
        <w:t>2</w:t>
      </w:r>
      <w:r>
        <w:rPr>
          <w:rFonts w:hAnsi="宋体" w:cs="Times New Roman"/>
        </w:rPr>
        <w:t>）应诉团队：企业决定应诉</w:t>
      </w:r>
      <w:r>
        <w:rPr>
          <w:rFonts w:cs="Times New Roman"/>
        </w:rPr>
        <w:t>“337</w:t>
      </w:r>
      <w:r>
        <w:rPr>
          <w:rFonts w:hAnsi="宋体" w:cs="Times New Roman"/>
        </w:rPr>
        <w:t>调查</w:t>
      </w:r>
      <w:r>
        <w:rPr>
          <w:rFonts w:cs="Times New Roman"/>
        </w:rPr>
        <w:t>”</w:t>
      </w:r>
      <w:r>
        <w:rPr>
          <w:rFonts w:hAnsi="宋体" w:cs="Times New Roman"/>
        </w:rPr>
        <w:t>后，应立即着手组建应诉团队，包括内部团队与律师团队，企业内部团队：领导人员</w:t>
      </w:r>
      <w:r>
        <w:rPr>
          <w:rFonts w:cs="Times New Roman"/>
        </w:rPr>
        <w:t>+</w:t>
      </w:r>
      <w:r>
        <w:rPr>
          <w:rFonts w:hAnsi="宋体" w:cs="Times New Roman"/>
        </w:rPr>
        <w:t>技术人员</w:t>
      </w:r>
      <w:r>
        <w:rPr>
          <w:rFonts w:cs="Times New Roman"/>
        </w:rPr>
        <w:t>+</w:t>
      </w:r>
      <w:r>
        <w:rPr>
          <w:rFonts w:hAnsi="宋体" w:cs="Times New Roman"/>
        </w:rPr>
        <w:t>市场人员</w:t>
      </w:r>
      <w:r>
        <w:rPr>
          <w:rFonts w:cs="Times New Roman"/>
        </w:rPr>
        <w:t>+</w:t>
      </w:r>
      <w:r>
        <w:rPr>
          <w:rFonts w:hAnsi="宋体" w:cs="Times New Roman"/>
        </w:rPr>
        <w:t>行政人员，律师团队：中美关于知识产权保护的立法规定存在差异，聘请既懂得</w:t>
      </w:r>
      <w:r>
        <w:rPr>
          <w:rFonts w:cs="Times New Roman"/>
        </w:rPr>
        <w:t>“337</w:t>
      </w:r>
      <w:r>
        <w:rPr>
          <w:rFonts w:hAnsi="宋体" w:cs="Times New Roman"/>
        </w:rPr>
        <w:t>调查</w:t>
      </w:r>
      <w:r>
        <w:rPr>
          <w:rFonts w:cs="Times New Roman"/>
        </w:rPr>
        <w:t>”</w:t>
      </w:r>
      <w:r>
        <w:rPr>
          <w:rFonts w:hAnsi="宋体" w:cs="Times New Roman"/>
        </w:rPr>
        <w:t>程序，又熟悉中美知识产权差异的专业律师代理企业参与案件应诉工作，可以帮助确定有效的应诉策略，全面保护企业的合法权益；</w:t>
      </w:r>
    </w:p>
    <w:p>
      <w:pPr>
        <w:ind w:firstLine="480"/>
        <w:rPr>
          <w:rFonts w:cs="Times New Roman"/>
        </w:rPr>
      </w:pPr>
      <w:r>
        <w:rPr>
          <w:rFonts w:hAnsi="宋体" w:cs="Times New Roman"/>
        </w:rPr>
        <w:t>（</w:t>
      </w:r>
      <w:r>
        <w:rPr>
          <w:rFonts w:cs="Times New Roman"/>
        </w:rPr>
        <w:t>3</w:t>
      </w:r>
      <w:r>
        <w:rPr>
          <w:rFonts w:hAnsi="宋体" w:cs="Times New Roman"/>
        </w:rPr>
        <w:t>）证据收集与保全过程：收集相关不侵权证据、现有技术证据等；</w:t>
      </w:r>
    </w:p>
    <w:p>
      <w:pPr>
        <w:ind w:firstLine="480"/>
        <w:rPr>
          <w:rFonts w:cs="Times New Roman"/>
        </w:rPr>
      </w:pPr>
      <w:r>
        <w:rPr>
          <w:rFonts w:hAnsi="宋体" w:cs="Times New Roman"/>
        </w:rPr>
        <w:t>（</w:t>
      </w:r>
      <w:r>
        <w:rPr>
          <w:rFonts w:cs="Times New Roman"/>
        </w:rPr>
        <w:t>4</w:t>
      </w:r>
      <w:r>
        <w:rPr>
          <w:rFonts w:hAnsi="宋体" w:cs="Times New Roman"/>
        </w:rPr>
        <w:t>）抗辩理由：被申请人一般可从涉案产品不侵权、对方专利无效、专利不可实施等三方面抗辩，其中专利不可实施是美国专利法中的特殊制度，被判定为不可实施的专利继续有效但不能实施，权利人无法据此专利行使权利，可以从授权过程中存在不正当行为或专利权的滥用角度证明相应的专利不具备可实施性；</w:t>
      </w:r>
    </w:p>
    <w:p>
      <w:pPr>
        <w:ind w:firstLine="480"/>
        <w:rPr>
          <w:rFonts w:cs="Times New Roman"/>
        </w:rPr>
      </w:pPr>
      <w:r>
        <w:rPr>
          <w:rFonts w:hAnsi="宋体" w:cs="Times New Roman"/>
        </w:rPr>
        <w:t>（</w:t>
      </w:r>
      <w:r>
        <w:rPr>
          <w:rFonts w:cs="Times New Roman"/>
        </w:rPr>
        <w:t>5</w:t>
      </w:r>
      <w:r>
        <w:rPr>
          <w:rFonts w:hAnsi="宋体" w:cs="Times New Roman"/>
        </w:rPr>
        <w:t>）联合应诉：多家涉案企业选择联合应诉，可以整合资源、共享信息、分担应诉工作，一定程度上分摊应诉费用，降低单个企业的应诉负担；</w:t>
      </w:r>
    </w:p>
    <w:p>
      <w:pPr>
        <w:ind w:firstLine="480"/>
        <w:rPr>
          <w:rFonts w:cs="Times New Roman"/>
        </w:rPr>
      </w:pPr>
      <w:r>
        <w:rPr>
          <w:rFonts w:hAnsi="宋体" w:cs="Times New Roman"/>
        </w:rPr>
        <w:t>（</w:t>
      </w:r>
      <w:r>
        <w:rPr>
          <w:rFonts w:cs="Times New Roman"/>
        </w:rPr>
        <w:t>6</w:t>
      </w:r>
      <w:r>
        <w:rPr>
          <w:rFonts w:hAnsi="宋体" w:cs="Times New Roman"/>
        </w:rPr>
        <w:t>）和解：双方当事人可以通过签订和解协议解决争议，终止</w:t>
      </w:r>
      <w:r>
        <w:rPr>
          <w:rFonts w:cs="Times New Roman"/>
        </w:rPr>
        <w:t>“337</w:t>
      </w:r>
      <w:r>
        <w:rPr>
          <w:rFonts w:hAnsi="宋体" w:cs="Times New Roman"/>
        </w:rPr>
        <w:t>调查</w:t>
      </w:r>
      <w:r>
        <w:rPr>
          <w:rFonts w:cs="Times New Roman"/>
        </w:rPr>
        <w:t>”</w:t>
      </w:r>
      <w:r>
        <w:rPr>
          <w:rFonts w:hAnsi="宋体" w:cs="Times New Roman"/>
        </w:rPr>
        <w:t>。和解协议一般可包括：被申请人停止进口或销售侵权产品；申请人放弃对被申请人的指控；允许被申请人在一定时间内处理库存的侵权产品；申请人授权被申请人使用专利或者进口涉案产品等。</w:t>
      </w:r>
    </w:p>
    <w:p>
      <w:pPr>
        <w:ind w:firstLine="480"/>
        <w:rPr>
          <w:rFonts w:cs="Times New Roman"/>
        </w:rPr>
      </w:pPr>
      <w:r>
        <w:rPr>
          <w:rFonts w:hAnsi="宋体" w:cs="Times New Roman"/>
        </w:rPr>
        <w:t>（</w:t>
      </w:r>
      <w:r>
        <w:rPr>
          <w:rFonts w:cs="Times New Roman"/>
        </w:rPr>
        <w:t>7</w:t>
      </w:r>
      <w:r>
        <w:rPr>
          <w:rFonts w:hAnsi="宋体" w:cs="Times New Roman"/>
        </w:rPr>
        <w:t>）规避设计，如果被申请人侵权可能性比较大，可以通过研究设计不同于涉案产品的新产品来规避申请人的专利权。在行政法官作出初裁和委员会作出终裁前，将规避设计后的产品提交其审阅，一旦获得</w:t>
      </w:r>
      <w:r>
        <w:rPr>
          <w:rFonts w:cs="Times New Roman"/>
        </w:rPr>
        <w:t>ITC</w:t>
      </w:r>
      <w:r>
        <w:rPr>
          <w:rFonts w:hAnsi="宋体" w:cs="Times New Roman"/>
        </w:rPr>
        <w:t>的认可，将不受</w:t>
      </w:r>
      <w:r>
        <w:rPr>
          <w:rFonts w:cs="Times New Roman"/>
        </w:rPr>
        <w:t>ITC</w:t>
      </w:r>
      <w:r>
        <w:rPr>
          <w:rFonts w:hAnsi="宋体" w:cs="Times New Roman"/>
        </w:rPr>
        <w:t>最终签发的排除令等救济措施的影响。</w:t>
      </w:r>
    </w:p>
    <w:p>
      <w:pPr>
        <w:ind w:firstLine="482"/>
        <w:rPr>
          <w:rFonts w:hAnsi="宋体" w:cs="Times New Roman"/>
          <w:b/>
          <w:bCs/>
        </w:rPr>
      </w:pPr>
      <w:r>
        <w:rPr>
          <w:rFonts w:hAnsi="宋体" w:cs="Times New Roman"/>
          <w:b/>
          <w:bCs/>
        </w:rPr>
        <w:t>事后</w:t>
      </w:r>
    </w:p>
    <w:p>
      <w:pPr>
        <w:ind w:firstLine="480"/>
        <w:rPr>
          <w:rFonts w:cs="Times New Roman"/>
        </w:rPr>
      </w:pPr>
      <w:r>
        <w:rPr>
          <w:rFonts w:hAnsi="宋体" w:cs="Times New Roman"/>
        </w:rPr>
        <w:t>如果经过分析，被申请人可能败诉，或是经过抗辩被认定侵权而败诉，应迅速采取相应措施以减少损失，可以采取如下措施：</w:t>
      </w:r>
    </w:p>
    <w:p>
      <w:pPr>
        <w:ind w:firstLine="480"/>
        <w:rPr>
          <w:rFonts w:cs="Times New Roman"/>
        </w:rPr>
      </w:pPr>
      <w:r>
        <w:rPr>
          <w:rFonts w:hAnsi="宋体" w:cs="Times New Roman"/>
        </w:rPr>
        <w:t>（</w:t>
      </w:r>
      <w:r>
        <w:rPr>
          <w:rFonts w:cs="Times New Roman"/>
        </w:rPr>
        <w:t>1</w:t>
      </w:r>
      <w:r>
        <w:rPr>
          <w:rFonts w:hAnsi="宋体" w:cs="Times New Roman"/>
        </w:rPr>
        <w:t>）规避设计：企业即使在应诉中错过了规避设计的最佳时机，也可以在签发排除令后，采取措施重新获得进口资格。</w:t>
      </w:r>
      <w:r>
        <w:rPr>
          <w:rFonts w:cs="Times New Roman"/>
        </w:rPr>
        <w:t>“337</w:t>
      </w:r>
      <w:r>
        <w:rPr>
          <w:rFonts w:hAnsi="宋体" w:cs="Times New Roman"/>
        </w:rPr>
        <w:t>调查</w:t>
      </w:r>
      <w:r>
        <w:rPr>
          <w:rFonts w:cs="Times New Roman"/>
        </w:rPr>
        <w:t>”</w:t>
      </w:r>
      <w:r>
        <w:rPr>
          <w:rFonts w:hAnsi="宋体" w:cs="Times New Roman"/>
        </w:rPr>
        <w:t>的排除令由美国海关执行，由其判断相关进口产品是否落入</w:t>
      </w:r>
      <w:r>
        <w:rPr>
          <w:rFonts w:cs="Times New Roman"/>
        </w:rPr>
        <w:t>ITC</w:t>
      </w:r>
      <w:r>
        <w:rPr>
          <w:rFonts w:hAnsi="宋体" w:cs="Times New Roman"/>
        </w:rPr>
        <w:t>裁决中的侵权产品范围。如果企业的产品被</w:t>
      </w:r>
      <w:r>
        <w:rPr>
          <w:rFonts w:cs="Times New Roman"/>
        </w:rPr>
        <w:t>ITC</w:t>
      </w:r>
      <w:r>
        <w:rPr>
          <w:rFonts w:hAnsi="宋体" w:cs="Times New Roman"/>
        </w:rPr>
        <w:t>签发了排除令，企业或其进口商可以就经过规避设计的产品请求美国海关发表意见。如果海关认为规避设计产品不落入</w:t>
      </w:r>
      <w:r>
        <w:rPr>
          <w:rFonts w:cs="Times New Roman"/>
        </w:rPr>
        <w:t>ITC</w:t>
      </w:r>
      <w:r>
        <w:rPr>
          <w:rFonts w:hAnsi="宋体" w:cs="Times New Roman"/>
        </w:rPr>
        <w:t>裁决侵权产品的范围，则相关产品可以进入美国市场。企业也可以请求</w:t>
      </w:r>
      <w:r>
        <w:rPr>
          <w:rFonts w:cs="Times New Roman"/>
        </w:rPr>
        <w:t>ITC</w:t>
      </w:r>
      <w:r>
        <w:rPr>
          <w:rFonts w:hAnsi="宋体" w:cs="Times New Roman"/>
        </w:rPr>
        <w:t>启动咨询意见程序，由其对规避设计产品是否侵权发表意见。</w:t>
      </w:r>
    </w:p>
    <w:p>
      <w:pPr>
        <w:ind w:firstLine="480"/>
        <w:rPr>
          <w:rFonts w:cs="Times New Roman"/>
        </w:rPr>
      </w:pPr>
      <w:r>
        <w:rPr>
          <w:rFonts w:hAnsi="宋体" w:cs="Times New Roman"/>
        </w:rPr>
        <w:t>（</w:t>
      </w:r>
      <w:r>
        <w:rPr>
          <w:rFonts w:cs="Times New Roman"/>
        </w:rPr>
        <w:t>2</w:t>
      </w:r>
      <w:r>
        <w:rPr>
          <w:rFonts w:hAnsi="宋体" w:cs="Times New Roman"/>
        </w:rPr>
        <w:t>）专利许可：被申请人可以与申请人谈判获得使用专利的许可，并交纳合理的许可费。专利许可费可以用被许可方的利润为基数，从利润中支付。如果专利权人坚持要用销售额为基数，被许可方应当通过谈判，争取不以整个产品，而仅以涉及专利的零部件的价值为基数，尽量降低专利许可费。</w:t>
      </w:r>
    </w:p>
    <w:p>
      <w:pPr>
        <w:ind w:firstLine="480"/>
        <w:rPr>
          <w:rFonts w:hAnsi="宋体" w:cs="Times New Roman"/>
        </w:rPr>
      </w:pPr>
      <w:r>
        <w:rPr>
          <w:rFonts w:hAnsi="宋体" w:cs="Times New Roman"/>
        </w:rPr>
        <w:t>（</w:t>
      </w:r>
      <w:r>
        <w:rPr>
          <w:rFonts w:cs="Times New Roman"/>
        </w:rPr>
        <w:t>3</w:t>
      </w:r>
      <w:r>
        <w:rPr>
          <w:rFonts w:hAnsi="宋体" w:cs="Times New Roman"/>
        </w:rPr>
        <w:t>）战略合作：被申请人可以与申请人商讨开展战略合作。例如，谈判探讨成立合资企业等。</w:t>
      </w:r>
    </w:p>
    <w:p>
      <w:pPr>
        <w:ind w:firstLine="562"/>
        <w:outlineLvl w:val="2"/>
        <w:rPr>
          <w:rFonts w:ascii="黑体" w:hAnsi="黑体" w:eastAsia="黑体" w:cs="Helvetica"/>
          <w:b/>
          <w:color w:val="000000" w:themeColor="text1"/>
          <w:kern w:val="0"/>
          <w:sz w:val="28"/>
          <w:szCs w:val="28"/>
        </w:rPr>
      </w:pPr>
      <w:bookmarkStart w:id="75" w:name="_Toc121146307"/>
      <w:bookmarkStart w:id="76" w:name="_Toc203057715"/>
      <w:r>
        <w:rPr>
          <w:rFonts w:ascii="黑体" w:hAnsi="黑体" w:eastAsia="黑体" w:cs="Helvetica"/>
          <w:b/>
          <w:color w:val="000000" w:themeColor="text1"/>
          <w:kern w:val="0"/>
          <w:sz w:val="28"/>
          <w:szCs w:val="28"/>
        </w:rPr>
        <w:t xml:space="preserve">4.3.3 </w:t>
      </w:r>
      <w:r>
        <w:rPr>
          <w:rFonts w:hint="eastAsia" w:ascii="黑体" w:hAnsi="黑体" w:eastAsia="黑体" w:cs="Helvetica"/>
          <w:b/>
          <w:color w:val="000000" w:themeColor="text1"/>
          <w:kern w:val="0"/>
          <w:sz w:val="28"/>
          <w:szCs w:val="28"/>
        </w:rPr>
        <w:t>美国专利诉讼及常规应对策略</w:t>
      </w:r>
      <w:bookmarkEnd w:id="75"/>
      <w:bookmarkEnd w:id="76"/>
    </w:p>
    <w:p>
      <w:pPr>
        <w:ind w:firstLine="480"/>
        <w:rPr>
          <w:rFonts w:cs="Times New Roman"/>
        </w:rPr>
      </w:pPr>
      <w:r>
        <w:rPr>
          <w:rFonts w:hAnsi="宋体" w:cs="Times New Roman"/>
        </w:rPr>
        <w:t>美国专利诉讼的司法体系：美国联邦地区法院是专利侵权纠纷的初审管辖法院，受理案件的第一审法院为被告居住地、被告公司主要营业机构所在地或侵权行为发生地的联邦地区法院（涉及到外贸的专利侵权纠纷，也可以向美国准司法机构国际贸易委员会提起</w:t>
      </w:r>
      <w:r>
        <w:rPr>
          <w:rFonts w:cs="Times New Roman"/>
        </w:rPr>
        <w:t>“337</w:t>
      </w:r>
      <w:r>
        <w:rPr>
          <w:rFonts w:hAnsi="宋体" w:cs="Times New Roman"/>
        </w:rPr>
        <w:t>调查</w:t>
      </w:r>
      <w:r>
        <w:rPr>
          <w:rFonts w:cs="Times New Roman"/>
        </w:rPr>
        <w:t>”</w:t>
      </w:r>
      <w:r>
        <w:rPr>
          <w:rFonts w:hAnsi="宋体" w:cs="Times New Roman"/>
        </w:rPr>
        <w:t>）。美国共有</w:t>
      </w:r>
      <w:r>
        <w:rPr>
          <w:rFonts w:cs="Times New Roman"/>
        </w:rPr>
        <w:t>94</w:t>
      </w:r>
      <w:r>
        <w:rPr>
          <w:rFonts w:hAnsi="宋体" w:cs="Times New Roman"/>
        </w:rPr>
        <w:t>个联邦地区法院。对联邦地区法院裁决不服的任何一方当事人可以上诉至美国联邦巡回上诉法院。当事人对联邦巡回上诉法院裁决不服的，可以向美国最高法院提出复审请求。</w:t>
      </w:r>
    </w:p>
    <w:p>
      <w:pPr>
        <w:ind w:firstLine="482"/>
        <w:rPr>
          <w:rFonts w:cs="Times New Roman"/>
          <w:b/>
          <w:bCs/>
        </w:rPr>
      </w:pPr>
      <w:r>
        <w:rPr>
          <w:rFonts w:hint="eastAsia" w:hAnsi="宋体" w:cs="Times New Roman"/>
          <w:b/>
          <w:bCs/>
        </w:rPr>
        <w:t>一、</w:t>
      </w:r>
      <w:r>
        <w:rPr>
          <w:rFonts w:hAnsi="宋体" w:cs="Times New Roman"/>
          <w:b/>
          <w:bCs/>
        </w:rPr>
        <w:t>美国专利诉讼特点及风险</w:t>
      </w:r>
    </w:p>
    <w:p>
      <w:pPr>
        <w:ind w:firstLine="480"/>
        <w:rPr>
          <w:rFonts w:cs="Times New Roman"/>
        </w:rPr>
      </w:pPr>
      <w:r>
        <w:rPr>
          <w:rFonts w:hint="eastAsia" w:cs="Times New Roman"/>
        </w:rPr>
        <w:t>（1）</w:t>
      </w:r>
      <w:r>
        <w:rPr>
          <w:rFonts w:hAnsi="宋体" w:cs="Times New Roman"/>
        </w:rPr>
        <w:t>时间长，诉讼时间一般在</w:t>
      </w:r>
      <w:r>
        <w:rPr>
          <w:rFonts w:cs="Times New Roman"/>
        </w:rPr>
        <w:t>2~6</w:t>
      </w:r>
      <w:r>
        <w:rPr>
          <w:rFonts w:hAnsi="宋体" w:cs="Times New Roman"/>
        </w:rPr>
        <w:t>年间；</w:t>
      </w:r>
    </w:p>
    <w:p>
      <w:pPr>
        <w:ind w:firstLine="480"/>
        <w:rPr>
          <w:rFonts w:cs="Times New Roman"/>
        </w:rPr>
      </w:pPr>
      <w:r>
        <w:rPr>
          <w:rFonts w:hint="eastAsia" w:cs="Times New Roman"/>
        </w:rPr>
        <w:t>（2）</w:t>
      </w:r>
      <w:r>
        <w:rPr>
          <w:rFonts w:hAnsi="宋体" w:cs="Times New Roman"/>
        </w:rPr>
        <w:t>侵权赔偿，美国对专利侵权以强救济著称，侵权赔偿数额往往较大，另外，如果被裁定故意侵权，企业可能面临高达三倍的侵权赔偿，以及在特定情节下负担对方律师费用的代价；</w:t>
      </w:r>
    </w:p>
    <w:p>
      <w:pPr>
        <w:ind w:firstLine="480"/>
        <w:rPr>
          <w:rFonts w:cs="Times New Roman"/>
        </w:rPr>
      </w:pPr>
      <w:r>
        <w:rPr>
          <w:rFonts w:hint="eastAsia" w:cs="Times New Roman"/>
        </w:rPr>
        <w:t>（3）</w:t>
      </w:r>
      <w:r>
        <w:rPr>
          <w:rFonts w:hAnsi="宋体" w:cs="Times New Roman"/>
        </w:rPr>
        <w:t>丧失市场，如果法院还发出了永久禁令，则被告将被禁止在美国生产或销售被诉侵权产品，这将极大影响企业的市场与长期发展；</w:t>
      </w:r>
    </w:p>
    <w:p>
      <w:pPr>
        <w:ind w:firstLine="480"/>
        <w:rPr>
          <w:rFonts w:cs="Times New Roman"/>
        </w:rPr>
      </w:pPr>
      <w:r>
        <w:rPr>
          <w:rFonts w:hint="eastAsia" w:cs="Times New Roman"/>
        </w:rPr>
        <w:t>（4）</w:t>
      </w:r>
      <w:r>
        <w:rPr>
          <w:rFonts w:hAnsi="宋体" w:cs="Times New Roman"/>
        </w:rPr>
        <w:t>诉讼成本，除了损害赔偿金外，潜在的诉讼成本十分昂贵，其中包括律师费用（几十万到几百万美元），以及聘用专家、差旅等费用（一般为律师费用的</w:t>
      </w:r>
      <w:r>
        <w:rPr>
          <w:rFonts w:cs="Times New Roman"/>
        </w:rPr>
        <w:t>25%</w:t>
      </w:r>
      <w:r>
        <w:rPr>
          <w:rFonts w:hAnsi="宋体" w:cs="Times New Roman"/>
        </w:rPr>
        <w:t>）等，近年来更有逐年增高之势；</w:t>
      </w:r>
    </w:p>
    <w:p>
      <w:pPr>
        <w:ind w:firstLine="480"/>
        <w:rPr>
          <w:rFonts w:cs="Times New Roman"/>
        </w:rPr>
      </w:pPr>
      <w:r>
        <w:rPr>
          <w:rFonts w:hint="eastAsia" w:cs="Times New Roman"/>
        </w:rPr>
        <w:t>（5）</w:t>
      </w:r>
      <w:r>
        <w:rPr>
          <w:rFonts w:hAnsi="宋体" w:cs="Times New Roman"/>
        </w:rPr>
        <w:t>企业形象与业务机会损失，专利诉讼还会耗费企业主要管理、技术、财务人员的大量时间，影响企业的正常经营，伤害企业商誉而流失客户，造成业务机会损失等。</w:t>
      </w:r>
    </w:p>
    <w:p>
      <w:pPr>
        <w:ind w:firstLine="480"/>
        <w:rPr>
          <w:rFonts w:cs="Times New Roman"/>
        </w:rPr>
      </w:pPr>
      <w:r>
        <w:rPr>
          <w:rFonts w:hAnsi="宋体" w:cs="Times New Roman"/>
        </w:rPr>
        <w:t>美国专利诉讼的基本程序</w:t>
      </w:r>
    </w:p>
    <w:p>
      <w:pPr>
        <w:ind w:firstLine="480"/>
        <w:rPr>
          <w:rFonts w:cs="Times New Roman"/>
        </w:rPr>
      </w:pPr>
      <w:r>
        <w:rPr>
          <w:rFonts w:hAnsi="宋体" w:cs="Times New Roman"/>
        </w:rPr>
        <w:t>美国专利诉讼主要包括诉前警告、提起诉讼请求、调查取证、马克曼听证（权利要求解释听证）、审前动议、审理等主要程序，如下图</w:t>
      </w:r>
      <w:r>
        <w:rPr>
          <w:rFonts w:cs="Times New Roman"/>
        </w:rPr>
        <w:t>5.1-2</w:t>
      </w:r>
      <w:r>
        <w:rPr>
          <w:rFonts w:hAnsi="宋体" w:cs="Times New Roman"/>
        </w:rPr>
        <w:t>所示。</w:t>
      </w:r>
    </w:p>
    <w:p>
      <w:pPr>
        <w:ind w:firstLine="0" w:firstLineChars="0"/>
        <w:rPr>
          <w:rFonts w:cs="Times New Roman"/>
        </w:rPr>
      </w:pPr>
      <w:r>
        <w:rPr>
          <w:rFonts w:cs="Times New Roman"/>
        </w:rPr>
        <w:drawing>
          <wp:inline distT="0" distB="0" distL="0" distR="0">
            <wp:extent cx="5274310" cy="2433955"/>
            <wp:effectExtent l="0" t="0" r="8890" b="4445"/>
            <wp:docPr id="2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pic:cNvPicPr>
                      <a:picLocks noChangeAspect="1" noChangeArrowheads="1"/>
                    </pic:cNvPicPr>
                  </pic:nvPicPr>
                  <pic:blipFill>
                    <a:blip r:embed="rId35"/>
                    <a:srcRect/>
                    <a:stretch>
                      <a:fillRect/>
                    </a:stretch>
                  </pic:blipFill>
                  <pic:spPr>
                    <a:xfrm>
                      <a:off x="0" y="0"/>
                      <a:ext cx="5274310" cy="2434530"/>
                    </a:xfrm>
                    <a:prstGeom prst="rect">
                      <a:avLst/>
                    </a:prstGeom>
                    <a:noFill/>
                    <a:ln w="9525">
                      <a:noFill/>
                      <a:miter lim="800000"/>
                      <a:headEnd/>
                      <a:tailEnd/>
                    </a:ln>
                  </pic:spPr>
                </pic:pic>
              </a:graphicData>
            </a:graphic>
          </wp:inline>
        </w:drawing>
      </w:r>
    </w:p>
    <w:p>
      <w:pPr>
        <w:ind w:firstLine="482"/>
        <w:jc w:val="center"/>
        <w:rPr>
          <w:rFonts w:cs="Times New Roman"/>
          <w:b/>
          <w:bCs/>
        </w:rPr>
      </w:pPr>
      <w:r>
        <w:rPr>
          <w:rFonts w:hAnsi="宋体" w:cs="Times New Roman"/>
          <w:b/>
          <w:bCs/>
        </w:rPr>
        <w:t>图</w:t>
      </w:r>
      <w:r>
        <w:rPr>
          <w:rFonts w:cs="Times New Roman"/>
          <w:b/>
          <w:bCs/>
        </w:rPr>
        <w:t>4.1</w:t>
      </w:r>
      <w:r>
        <w:rPr>
          <w:rFonts w:hint="eastAsia" w:cs="Times New Roman"/>
          <w:b/>
          <w:bCs/>
        </w:rPr>
        <w:t>-</w:t>
      </w:r>
      <w:r>
        <w:rPr>
          <w:rFonts w:cs="Times New Roman"/>
          <w:b/>
          <w:bCs/>
        </w:rPr>
        <w:t xml:space="preserve">2 </w:t>
      </w:r>
      <w:r>
        <w:rPr>
          <w:rFonts w:hAnsi="宋体" w:cs="Times New Roman"/>
          <w:b/>
          <w:bCs/>
        </w:rPr>
        <w:t>美国专利诉讼程序</w:t>
      </w:r>
    </w:p>
    <w:p>
      <w:pPr>
        <w:ind w:firstLine="482"/>
        <w:rPr>
          <w:rFonts w:hAnsi="宋体" w:cs="Times New Roman"/>
          <w:b/>
          <w:bCs/>
        </w:rPr>
      </w:pPr>
      <w:r>
        <w:rPr>
          <w:rFonts w:hint="eastAsia" w:hAnsi="宋体" w:cs="Times New Roman"/>
          <w:b/>
          <w:bCs/>
        </w:rPr>
        <w:t>二、</w:t>
      </w:r>
      <w:r>
        <w:rPr>
          <w:rFonts w:hAnsi="宋体" w:cs="Times New Roman"/>
          <w:b/>
          <w:bCs/>
        </w:rPr>
        <w:t>美国专利诉讼的应对策略</w:t>
      </w:r>
    </w:p>
    <w:p>
      <w:pPr>
        <w:ind w:firstLine="480"/>
        <w:rPr>
          <w:rFonts w:cs="Times New Roman"/>
        </w:rPr>
      </w:pPr>
      <w:r>
        <w:rPr>
          <w:rFonts w:hAnsi="宋体" w:cs="Times New Roman"/>
        </w:rPr>
        <w:t>（</w:t>
      </w:r>
      <w:r>
        <w:rPr>
          <w:rFonts w:cs="Times New Roman"/>
        </w:rPr>
        <w:t>1</w:t>
      </w:r>
      <w:r>
        <w:rPr>
          <w:rFonts w:hAnsi="宋体" w:cs="Times New Roman"/>
        </w:rPr>
        <w:t>）重视警告信，评估侵权风险</w:t>
      </w:r>
    </w:p>
    <w:p>
      <w:pPr>
        <w:ind w:firstLine="480"/>
        <w:rPr>
          <w:rFonts w:cs="Times New Roman"/>
        </w:rPr>
      </w:pPr>
      <w:r>
        <w:rPr>
          <w:rFonts w:hAnsi="宋体" w:cs="Times New Roman"/>
        </w:rPr>
        <w:t>美国专利权人发出的警告信是诉讼风险的强烈信号，当收到警告信后，不能不理不睬。急于答复对方往往会在谈判中处于不利地位，但迟迟不答复，可能使企业面临因故意侵权处以</w:t>
      </w:r>
      <w:r>
        <w:rPr>
          <w:rFonts w:cs="Times New Roman"/>
        </w:rPr>
        <w:t>2~3</w:t>
      </w:r>
      <w:r>
        <w:rPr>
          <w:rFonts w:hAnsi="宋体" w:cs="Times New Roman"/>
        </w:rPr>
        <w:t>倍的惩罚性赔偿。对产品是否侵权及专利权是否有效做出分析评议；如需要，聘请具有技术背景和执业经验的美国专利律师出具法律意见书。</w:t>
      </w:r>
    </w:p>
    <w:p>
      <w:pPr>
        <w:ind w:firstLine="480"/>
        <w:rPr>
          <w:rFonts w:cs="Times New Roman"/>
        </w:rPr>
      </w:pPr>
      <w:r>
        <w:rPr>
          <w:rFonts w:hAnsi="宋体" w:cs="Times New Roman"/>
        </w:rPr>
        <w:t>（</w:t>
      </w:r>
      <w:r>
        <w:rPr>
          <w:rFonts w:cs="Times New Roman"/>
        </w:rPr>
        <w:t>2</w:t>
      </w:r>
      <w:r>
        <w:rPr>
          <w:rFonts w:hAnsi="宋体" w:cs="Times New Roman"/>
        </w:rPr>
        <w:t>）挑战专利权有效性</w:t>
      </w:r>
    </w:p>
    <w:p>
      <w:pPr>
        <w:ind w:firstLine="480"/>
        <w:rPr>
          <w:rFonts w:cs="Times New Roman"/>
        </w:rPr>
      </w:pPr>
      <w:r>
        <w:rPr>
          <w:rFonts w:hAnsi="宋体" w:cs="Times New Roman"/>
        </w:rPr>
        <w:t>在美国司法</w:t>
      </w:r>
      <w:r>
        <w:rPr>
          <w:rFonts w:cs="Times New Roman"/>
        </w:rPr>
        <w:t>/</w:t>
      </w:r>
      <w:r>
        <w:rPr>
          <w:rFonts w:hAnsi="宋体" w:cs="Times New Roman"/>
        </w:rPr>
        <w:t>行政体系，挑战专利权的有效性有两个途径：可以向美国专利商标局提起专利无效请求，也可以向法院提起诉讼。企业可结合现实情况、证据类型以及需求，选择合适的方式。</w:t>
      </w:r>
    </w:p>
    <w:p>
      <w:pPr>
        <w:ind w:firstLine="480"/>
        <w:rPr>
          <w:rFonts w:cs="Times New Roman"/>
        </w:rPr>
      </w:pPr>
      <w:r>
        <w:rPr>
          <w:rFonts w:hAnsi="宋体" w:cs="Times New Roman"/>
        </w:rPr>
        <w:t>（</w:t>
      </w:r>
      <w:r>
        <w:rPr>
          <w:rFonts w:cs="Times New Roman"/>
        </w:rPr>
        <w:t>3</w:t>
      </w:r>
      <w:r>
        <w:rPr>
          <w:rFonts w:hAnsi="宋体" w:cs="Times New Roman"/>
        </w:rPr>
        <w:t>）提交诉状及应答诉状</w:t>
      </w:r>
    </w:p>
    <w:p>
      <w:pPr>
        <w:ind w:firstLine="480"/>
        <w:rPr>
          <w:rFonts w:cs="Times New Roman"/>
        </w:rPr>
      </w:pPr>
      <w:r>
        <w:rPr>
          <w:rFonts w:hAnsi="宋体" w:cs="Times New Roman"/>
        </w:rPr>
        <w:t>在美国打专利侵权官司耗时耗钱，被告的企业可从成本利益和自身发展战略的角度综合考虑是否应诉。如果被告的企业决定应诉，可以选择和委托美国专业律师事务所，分析诉状，研究抗辩理由，考虑可以采取的应对措施，积极应诉。被告在应答诉状中可以考虑的抗辩理由主要包括：</w:t>
      </w:r>
      <w:r>
        <w:rPr>
          <w:rFonts w:cs="Times New Roman"/>
        </w:rPr>
        <w:t>1</w:t>
      </w:r>
      <w:r>
        <w:rPr>
          <w:rFonts w:hAnsi="宋体" w:cs="Times New Roman"/>
        </w:rPr>
        <w:t>）主张没有侵犯专利权，主要包括与专利客体不相同和提出专利权无效两个方面，</w:t>
      </w:r>
      <w:r>
        <w:rPr>
          <w:rFonts w:cs="Times New Roman"/>
        </w:rPr>
        <w:t>2</w:t>
      </w:r>
      <w:r>
        <w:rPr>
          <w:rFonts w:hAnsi="宋体" w:cs="Times New Roman"/>
        </w:rPr>
        <w:t>）不视为侵犯专利权的行为，以不承担侵权责任进行抗辩，包括：已得到专利权人授权，如专利权用尽、明示或默示许可等情况；在先使用（先用权）；科学试验目的的使用；超过损害赔偿主张时效；懈怠和禁止反悔的情形等；</w:t>
      </w:r>
      <w:r>
        <w:rPr>
          <w:rFonts w:cs="Times New Roman"/>
        </w:rPr>
        <w:t>3</w:t>
      </w:r>
      <w:r>
        <w:rPr>
          <w:rFonts w:hAnsi="宋体" w:cs="Times New Roman"/>
        </w:rPr>
        <w:t>）主张专利权不可实施，包括专利权的获取不公正以及专利权滥用和垄断等情况。</w:t>
      </w:r>
    </w:p>
    <w:p>
      <w:pPr>
        <w:ind w:firstLine="480"/>
        <w:rPr>
          <w:rFonts w:cs="Times New Roman"/>
        </w:rPr>
      </w:pPr>
      <w:r>
        <w:rPr>
          <w:rFonts w:hAnsi="宋体" w:cs="Times New Roman"/>
        </w:rPr>
        <w:t>（</w:t>
      </w:r>
      <w:r>
        <w:rPr>
          <w:rFonts w:cs="Times New Roman"/>
        </w:rPr>
        <w:t>4</w:t>
      </w:r>
      <w:r>
        <w:rPr>
          <w:rFonts w:hAnsi="宋体" w:cs="Times New Roman"/>
        </w:rPr>
        <w:t>）和解策略</w:t>
      </w:r>
    </w:p>
    <w:p>
      <w:pPr>
        <w:ind w:firstLine="480"/>
        <w:rPr>
          <w:rFonts w:hAnsi="宋体" w:cs="Times New Roman"/>
        </w:rPr>
      </w:pPr>
      <w:r>
        <w:rPr>
          <w:rFonts w:hAnsi="宋体" w:cs="Times New Roman"/>
        </w:rPr>
        <w:t>企业在选择和解前，需要明确自己的商业目标，当和解条件能够实现商业目标时，可以考虑达成和解。企业需考虑的因素包括：分析产品是否侵权、专利权是否可能被无效，法院发出禁令的可能性，侵权赔偿额度，权利人的诉讼能力，诉讼成本，双方市场份额，可以制约对方的知识产权，是否拥有与对方相同产品线或互补性产品的技术，产品赢利性，有无第三方的侵权补偿义务，有无商业替代方案及技术替代方案，技术更新的可能性，权利人的商业目的或需求等。企业需要构建和解战略，确定可接受的许可使用费，制定谈判计划，选择谈判团队和地点。</w:t>
      </w:r>
    </w:p>
    <w:p>
      <w:pPr>
        <w:ind w:firstLine="562"/>
        <w:outlineLvl w:val="2"/>
        <w:rPr>
          <w:rFonts w:ascii="黑体" w:hAnsi="黑体" w:eastAsia="黑体" w:cs="Helvetica"/>
          <w:b/>
          <w:color w:val="000000" w:themeColor="text1"/>
          <w:kern w:val="0"/>
          <w:sz w:val="28"/>
          <w:szCs w:val="28"/>
        </w:rPr>
      </w:pPr>
      <w:bookmarkStart w:id="77" w:name="_Toc121146308"/>
      <w:bookmarkStart w:id="78" w:name="_Toc203057716"/>
      <w:r>
        <w:rPr>
          <w:rFonts w:ascii="黑体" w:hAnsi="黑体" w:eastAsia="黑体" w:cs="Helvetica"/>
          <w:b/>
          <w:color w:val="000000" w:themeColor="text1"/>
          <w:kern w:val="0"/>
          <w:sz w:val="28"/>
          <w:szCs w:val="28"/>
        </w:rPr>
        <w:t xml:space="preserve">4.3.4 </w:t>
      </w:r>
      <w:r>
        <w:rPr>
          <w:rFonts w:hint="eastAsia" w:ascii="黑体" w:hAnsi="黑体" w:eastAsia="黑体" w:cs="Helvetica"/>
          <w:b/>
          <w:color w:val="000000" w:themeColor="text1"/>
          <w:kern w:val="0"/>
          <w:sz w:val="28"/>
          <w:szCs w:val="28"/>
        </w:rPr>
        <w:t>美国侵权诉讼中的反诉及抗辩</w:t>
      </w:r>
      <w:bookmarkEnd w:id="77"/>
      <w:bookmarkEnd w:id="78"/>
    </w:p>
    <w:p>
      <w:pPr>
        <w:ind w:firstLine="480"/>
      </w:pPr>
      <w:r>
        <w:t>在受到专利侵权的指控时，被告也可以依据法律的规定，采取一系列的反诉或者抗辩手段，以证明自身的行为实质不侵权或者尽管侵权但可以不承担或者少承担法律责任。</w:t>
      </w:r>
    </w:p>
    <w:p>
      <w:pPr>
        <w:ind w:firstLine="482"/>
        <w:rPr>
          <w:b/>
          <w:bCs/>
        </w:rPr>
      </w:pPr>
      <w:r>
        <w:rPr>
          <w:rFonts w:asciiTheme="minorEastAsia" w:hAnsiTheme="minorEastAsia" w:eastAsiaTheme="minorEastAsia"/>
          <w:b/>
          <w:bCs/>
        </w:rPr>
        <w:t>1</w:t>
      </w:r>
      <w:r>
        <w:rPr>
          <w:rFonts w:hint="eastAsia" w:asciiTheme="minorEastAsia" w:hAnsiTheme="minorEastAsia" w:eastAsiaTheme="minorEastAsia"/>
          <w:b/>
          <w:bCs/>
        </w:rPr>
        <w:t>．</w:t>
      </w:r>
      <w:r>
        <w:rPr>
          <w:b/>
          <w:bCs/>
        </w:rPr>
        <w:t>反诉专利权无效</w:t>
      </w:r>
    </w:p>
    <w:p>
      <w:pPr>
        <w:ind w:firstLine="480"/>
      </w:pPr>
      <w:r>
        <w:t>专利权无效是指有关专利不符合新颖性、非显而易见性、实用性或者未能充分披露技术方案等法定要件，而导致专利权被判定为无效。根据美国的法律，美国专利商标局的专利授权只是初步假定专利为有效，而其最终的效力由法院来决定。在专利侵权诉讼中，反诉专利权人专利无效是最常见的未侵权抗辩手段。几乎所有的被告在面临侵权指控时首先考虑和提出的辩解就是专利权无效。</w:t>
      </w:r>
      <w:r>
        <w:br w:type="textWrapping"/>
      </w:r>
      <w:r>
        <w:t>在美国除了被指控侵权者之外，任何人都可以挑战专利权的有效性，但其中是否包括与专利权人签订许可协议的被许可人则是一个需要仔细讨论的问题。是否允许被许可人挑战专利权的效力，实际上涉及两种法律传统的冲突，即合同法上的不得反悔理论和专利法上不保护公有领域发明创造的传统。传统上，合同法上的禁止反悔原则曾经占据上风，专利的被许可人不得对有关专利权的效力提出挑战，尤其禁止为了逃避专利许可费而挑战专利权的有效性。但在著名的“利尔”案中，美国联邦最高法院以美国专利法不保护公有领域的发明这一基本原则为出发点，详细讨论了以两种不同的观点来判断是否允许被许可人挑战专利权有效性对专利制度以及市场竞争的影响，认为所有在公众中流传的思想观念应当由公众自由享有，如果不允许被许可人挑战专利权的效力，可能产生公众向可能的垄断者支付不必要的代价等不利于竞争的后果。</w:t>
      </w:r>
    </w:p>
    <w:p>
      <w:pPr>
        <w:ind w:firstLine="482"/>
        <w:rPr>
          <w:b/>
          <w:bCs/>
        </w:rPr>
      </w:pPr>
      <w:r>
        <w:rPr>
          <w:rFonts w:hint="eastAsia" w:asciiTheme="minorEastAsia" w:hAnsiTheme="minorEastAsia" w:eastAsiaTheme="minorEastAsia"/>
          <w:b/>
          <w:bCs/>
        </w:rPr>
        <w:t>2．</w:t>
      </w:r>
      <w:r>
        <w:rPr>
          <w:b/>
          <w:bCs/>
        </w:rPr>
        <w:t>反诉专利权不可实施</w:t>
      </w:r>
    </w:p>
    <w:p>
      <w:pPr>
        <w:ind w:firstLine="480"/>
      </w:pPr>
      <w:r>
        <w:t>专利权不可实施通常是由专利权人在获得专利授权时采取了不正当手段而导致的。专利权不可实施理论和实践由衡平法中的“不干净之手”发展而来。按照美国专利法的规定，在申请获得专利授权时，申请人应当向专利局如实提供有关申请案的新颖性、非显而易见性和实用性的信息，包括完全披露有关发明。如果申请人在专利审批过程中提供了虚假信息，尤其是在答复专利审查员的询问时提供了虚假的证明，则很可能在未来的诉讼中导致专利权不可实施。</w:t>
      </w:r>
    </w:p>
    <w:p>
      <w:pPr>
        <w:ind w:firstLine="480"/>
      </w:pPr>
      <w:r>
        <w:t>在侵权诉讼中，如果被告需要证明对方专利系不可实施，需要提供清楚而且具有说服力的证据，说明申请人确实在申请专利的过程中向专利审查员作出过误导性陈述或者隐瞒了某些重要信息。这些情况均会导致相关的专利不可实施。即使申请人的错误仅仅与专利权的一项权利要求相关，也会导致整个专利权的不可实施。而且，权利人在申请专利过程中在某一项专利申请上的不正当行为，有时甚至会导致与这项专利相关的其他专利的不可实施。</w:t>
      </w:r>
    </w:p>
    <w:p>
      <w:pPr>
        <w:ind w:firstLine="482"/>
        <w:rPr>
          <w:b/>
          <w:bCs/>
        </w:rPr>
      </w:pPr>
      <w:r>
        <w:rPr>
          <w:rFonts w:hint="eastAsia" w:asciiTheme="minorEastAsia" w:hAnsiTheme="minorEastAsia" w:eastAsiaTheme="minorEastAsia"/>
          <w:b/>
          <w:bCs/>
        </w:rPr>
        <w:t>3.</w:t>
      </w:r>
      <w:r>
        <w:rPr>
          <w:b/>
          <w:bCs/>
        </w:rPr>
        <w:t>反诉专利权人滥用专利权</w:t>
      </w:r>
    </w:p>
    <w:p>
      <w:pPr>
        <w:ind w:firstLine="480"/>
      </w:pPr>
      <w:r>
        <w:t>滥用专利权是指专利权人超出法律允许的范围利用专利权限制市场竞争的行为。传统上，竞争被认为既是经济人的本性也是资本主义自由经济的基石，同时也被认为是经济繁荣的重要保证。但过度竞争与垄断之间常常是一个问题的两个方面，自由放任竞争的结果往往导致垄断的产生。因此世界各国少有从正面鼓励、促进竞争的法律，而把对影响正常竞争的行为进行限制和控制作为维护竞争的主要途径。</w:t>
      </w:r>
    </w:p>
    <w:p>
      <w:pPr>
        <w:ind w:firstLine="480"/>
      </w:pPr>
      <w:r>
        <w:t>在美国滥用是被指控侵权者常用的抗辩手段之一，如果专利权人被裁定滥用专利权，则被告的侵权责任不但得以免除，而且专利权人可能会因为其滥用专利权的行为受到反垄断法的处罚。但由于专利保护涉及促进创新、为社会公众提供更高水平的福利等价值目标，其与反垄断的政策目标和价值取向之间的平衡，常常根据经济形式和市场竞争状态的发展而不断地进行修正。这一点在美国专利法的修订过程中能够鲜明地体现出来。1952年美国大幅修订美国专利法时增加了第271条d款，规定了3种不属于滥用专利权的行为，1988年再次重修美国专利法时，增加了2种不属于滥用专利权的行为。</w:t>
      </w:r>
    </w:p>
    <w:p>
      <w:pPr>
        <w:ind w:firstLine="480"/>
      </w:pPr>
      <w:r>
        <w:t>在美国司法实践中，专利侵权诉讼中的专利权滥用与非滥用，主要是就搭售与发明专利有关的，而又不为专利权所覆盖的产品而言。专利权的滥用多与帮助侵权有关。当法律允许专利权人以搭售的方式行使自己的权利时，他人如果销售专用于实施专利的设备、零部件时即构成帮助侵权，即使该设备、零部件并非专利权保护范围所覆盖；当法律不允许专利权人以搭售的方式行使专利权时，他人销售相关设备很难构成帮助侵权。</w:t>
      </w:r>
    </w:p>
    <w:p>
      <w:pPr>
        <w:ind w:firstLine="482"/>
        <w:rPr>
          <w:b/>
          <w:bCs/>
        </w:rPr>
      </w:pPr>
      <w:r>
        <w:rPr>
          <w:rFonts w:asciiTheme="minorEastAsia" w:hAnsiTheme="minorEastAsia" w:eastAsiaTheme="minorEastAsia"/>
          <w:b/>
          <w:bCs/>
        </w:rPr>
        <w:t>4</w:t>
      </w:r>
      <w:r>
        <w:rPr>
          <w:rFonts w:hint="eastAsia" w:asciiTheme="minorEastAsia" w:hAnsiTheme="minorEastAsia" w:eastAsiaTheme="minorEastAsia"/>
          <w:b/>
          <w:bCs/>
        </w:rPr>
        <w:t>．</w:t>
      </w:r>
      <w:r>
        <w:rPr>
          <w:b/>
          <w:bCs/>
        </w:rPr>
        <w:t>权利用尽的抗辩</w:t>
      </w:r>
    </w:p>
    <w:p>
      <w:pPr>
        <w:ind w:firstLine="480"/>
      </w:pPr>
      <w:r>
        <w:t>权利用尽是指如果专利权人不对专利产品进行限制且将专利产品自行销售或者授权他人销售至市场，则购买人得对产品进行使用或者予以再次销售。购买人的使用或者销售行为不构成对专利的侵权。然而，尽管产品是由专利权人自行销售或者授权销售，通过在专利产品的首次销售契约上所记载的排他性文字也可以对其进行限制。</w:t>
      </w:r>
    </w:p>
    <w:p>
      <w:pPr>
        <w:ind w:firstLine="480"/>
      </w:pPr>
      <w:r>
        <w:t>由销售导致的权利用尽也有例外情况。进口者从专利权人以外的销售者手中于外国购入专利产品，将其于国内进行销售的行为构成侵权。这种自国外合法销售商手中获得专利产品并进口到美国的行为被称为“平行进口”。美国专利法第271条a款和第271条g款将这种平行进口认定为作为侵权行为，但是需要专利权人明确保留该专利权。专利权人可以在销售许可协议中设定地域限制而实现前述所谓权利保留。</w:t>
      </w:r>
    </w:p>
    <w:p>
      <w:pPr>
        <w:ind w:firstLine="482"/>
        <w:rPr>
          <w:b/>
          <w:bCs/>
        </w:rPr>
      </w:pPr>
      <w:r>
        <w:rPr>
          <w:rFonts w:asciiTheme="minorEastAsia" w:hAnsiTheme="minorEastAsia" w:eastAsiaTheme="minorEastAsia"/>
          <w:b/>
          <w:bCs/>
        </w:rPr>
        <w:t>5</w:t>
      </w:r>
      <w:r>
        <w:rPr>
          <w:rFonts w:hint="eastAsia" w:asciiTheme="minorEastAsia" w:hAnsiTheme="minorEastAsia" w:eastAsiaTheme="minorEastAsia"/>
          <w:b/>
          <w:bCs/>
        </w:rPr>
        <w:t>．</w:t>
      </w:r>
      <w:r>
        <w:rPr>
          <w:b/>
          <w:bCs/>
        </w:rPr>
        <w:t>实施许可或者默示实施许可</w:t>
      </w:r>
    </w:p>
    <w:p>
      <w:pPr>
        <w:ind w:firstLine="480"/>
      </w:pPr>
      <w:r>
        <w:t>实施许可是被指控侵权者的一项积极的抗辩形式。如果获得了明确的实施许可，专利权人即应受此约束，被许可人有在协议范围内使用专利权利的自由。实施许可通常通过明示的协议而成立，但也存在默示的情况。</w:t>
      </w:r>
    </w:p>
    <w:p>
      <w:pPr>
        <w:ind w:firstLine="480"/>
      </w:pPr>
      <w:r>
        <w:t>默示实施许诺也是对专利侵权的抗辩。默示实施许诺意味着专利权人放弃了排他权。被指控侵权人具有证明存在默认实施许诺的责任。默示实施许诺通常可以通过默认、行为、基于平衡法或者法定禁止反悔原则而形成。根据美国判例法，由禁止反悔原则而形成的默示实施许诺通常需要满足的条件为专利权人的某种行为使得被指控侵权者产生了专利权人放弃权利或者默示许可其行使侵权行为的误解，并且被指控侵权人对这种误解有着较高程度的信赖。这种行为包括，权利人在得知被指控侵权者销售专利产品但并没有采取维护自身权益的行为等。</w:t>
      </w:r>
    </w:p>
    <w:p>
      <w:pPr>
        <w:ind w:firstLine="482"/>
        <w:rPr>
          <w:b/>
          <w:bCs/>
        </w:rPr>
      </w:pPr>
      <w:r>
        <w:rPr>
          <w:rFonts w:asciiTheme="minorEastAsia" w:hAnsiTheme="minorEastAsia" w:eastAsiaTheme="minorEastAsia"/>
          <w:b/>
          <w:bCs/>
        </w:rPr>
        <w:t>6</w:t>
      </w:r>
      <w:r>
        <w:rPr>
          <w:rFonts w:hint="eastAsia" w:asciiTheme="minorEastAsia" w:hAnsiTheme="minorEastAsia" w:eastAsiaTheme="minorEastAsia"/>
          <w:b/>
          <w:bCs/>
        </w:rPr>
        <w:t>．</w:t>
      </w:r>
      <w:r>
        <w:rPr>
          <w:b/>
          <w:bCs/>
        </w:rPr>
        <w:t>研究实验目的的抗辩和bolar例外</w:t>
      </w:r>
    </w:p>
    <w:p>
      <w:pPr>
        <w:ind w:firstLine="480"/>
      </w:pPr>
      <w:r>
        <w:t>研究实验的抗辩是指为了科学研究和满足个人兴趣而使用他人专利，此类行为不构成专利侵权。在美国法上，为研究实验而使用是一个非常狭窄的概念，仅仅针对科学研究和满足个人兴趣。如果被告是为了商业目的而使用，包括为了开发新产品或作出新发明而使用，即不属于为研究实验的目的。即使被指控侵权者为个人方便而使用专利技术，也不属于为研究实验目的使用。</w:t>
      </w:r>
    </w:p>
    <w:p>
      <w:pPr>
        <w:ind w:firstLine="480"/>
      </w:pPr>
      <w:r>
        <w:t>Bolar例外来源于医药的专利保护领域。在美国，药品的上市需要获得美国联邦食品与药品管理局的批准，为获得这种批准，申请人需要提交大量的实验报告。在专利药品即将过期之前，即有仿制药品生产厂商开始对该药品进行实验，并提交实验报告等待食品与药品管理局的审批。如果此时以专利侵权为由禁止仿制药品生产厂商对专利药品进行以商业目的的实验，即有可能导致实质上延长专利药品的20年保护期。因此，1998年美国修订专利法时，在第271条e款中规定，为了向联邦有关机构提供信息而使用专利药品不构成侵权。</w:t>
      </w:r>
    </w:p>
    <w:p>
      <w:pPr>
        <w:ind w:firstLine="482"/>
        <w:rPr>
          <w:b/>
          <w:bCs/>
        </w:rPr>
      </w:pPr>
      <w:r>
        <w:rPr>
          <w:rFonts w:asciiTheme="minorEastAsia" w:hAnsiTheme="minorEastAsia" w:eastAsiaTheme="minorEastAsia"/>
          <w:b/>
          <w:bCs/>
        </w:rPr>
        <w:t>7</w:t>
      </w:r>
      <w:r>
        <w:rPr>
          <w:rFonts w:hint="eastAsia" w:asciiTheme="minorEastAsia" w:hAnsiTheme="minorEastAsia" w:eastAsiaTheme="minorEastAsia"/>
          <w:b/>
          <w:bCs/>
        </w:rPr>
        <w:t>．</w:t>
      </w:r>
      <w:r>
        <w:rPr>
          <w:b/>
          <w:bCs/>
        </w:rPr>
        <w:t>在先使用的抗辩</w:t>
      </w:r>
    </w:p>
    <w:p>
      <w:pPr>
        <w:ind w:firstLine="480"/>
      </w:pPr>
      <w:r>
        <w:t>美国是先发明制国家，本不存在先申请制国家中所谓先用权问题。但是为了协调商业秘密保护和专利保护制度之间的关系，美国仍然允许以在先使用为条件对专利侵权的指控进行抗辩。根据美国专利法的规定，如果在专利有效申请日至少1年之前，被指控侵权人以诚实的行为自己发明了相关技术方案或者以其他合法方式获得了处于保密状态的技术方案，并且在专利的生效日之前对专利权利要求所述的技术方案进行使用，则不负有侵权的责任。</w:t>
      </w:r>
    </w:p>
    <w:p>
      <w:pPr>
        <w:ind w:firstLine="562"/>
        <w:outlineLvl w:val="1"/>
      </w:pPr>
      <w:bookmarkStart w:id="79" w:name="_Toc203057717"/>
      <w:r>
        <w:rPr>
          <w:rFonts w:ascii="黑体" w:hAnsi="黑体" w:eastAsia="黑体"/>
          <w:b/>
          <w:bCs/>
          <w:sz w:val="28"/>
          <w:szCs w:val="28"/>
        </w:rPr>
        <w:t>4</w:t>
      </w:r>
      <w:r>
        <w:rPr>
          <w:rFonts w:hint="eastAsia" w:ascii="黑体" w:hAnsi="黑体" w:eastAsia="黑体"/>
          <w:b/>
          <w:bCs/>
          <w:sz w:val="28"/>
          <w:szCs w:val="28"/>
        </w:rPr>
        <w:t>.</w:t>
      </w:r>
      <w:r>
        <w:rPr>
          <w:rFonts w:ascii="黑体" w:hAnsi="黑体" w:eastAsia="黑体"/>
          <w:b/>
          <w:bCs/>
          <w:sz w:val="28"/>
          <w:szCs w:val="28"/>
        </w:rPr>
        <w:t xml:space="preserve">4 </w:t>
      </w:r>
      <w:r>
        <w:rPr>
          <w:rFonts w:hint="eastAsia" w:ascii="黑体" w:hAnsi="黑体" w:eastAsia="黑体"/>
          <w:b/>
          <w:bCs/>
          <w:sz w:val="28"/>
          <w:szCs w:val="28"/>
        </w:rPr>
        <w:t>德国知识产权风险防控分析</w:t>
      </w:r>
      <w:bookmarkEnd w:id="79"/>
    </w:p>
    <w:p>
      <w:pPr>
        <w:ind w:firstLine="562"/>
        <w:outlineLvl w:val="2"/>
        <w:rPr>
          <w:rFonts w:ascii="黑体" w:hAnsi="黑体" w:eastAsia="黑体" w:cs="Helvetica"/>
          <w:b/>
          <w:color w:val="000000" w:themeColor="text1"/>
          <w:kern w:val="0"/>
          <w:sz w:val="28"/>
          <w:szCs w:val="28"/>
        </w:rPr>
      </w:pPr>
      <w:bookmarkStart w:id="80" w:name="_Toc203057718"/>
      <w:bookmarkStart w:id="81" w:name="_Toc121146314"/>
      <w:r>
        <w:rPr>
          <w:rFonts w:ascii="黑体" w:hAnsi="黑体" w:eastAsia="黑体" w:cs="Helvetica"/>
          <w:b/>
          <w:color w:val="000000" w:themeColor="text1"/>
          <w:kern w:val="0"/>
          <w:sz w:val="28"/>
          <w:szCs w:val="28"/>
        </w:rPr>
        <w:t xml:space="preserve">4.4.1 </w:t>
      </w:r>
      <w:r>
        <w:rPr>
          <w:rFonts w:hint="eastAsia" w:ascii="黑体" w:hAnsi="黑体" w:eastAsia="黑体" w:cs="Helvetica"/>
          <w:b/>
          <w:color w:val="000000" w:themeColor="text1"/>
          <w:kern w:val="0"/>
          <w:sz w:val="28"/>
          <w:szCs w:val="28"/>
        </w:rPr>
        <w:t>德国专利侵权行为及其例外</w:t>
      </w:r>
      <w:bookmarkEnd w:id="80"/>
      <w:bookmarkEnd w:id="81"/>
    </w:p>
    <w:p>
      <w:pPr>
        <w:ind w:firstLine="480"/>
      </w:pPr>
      <w:r>
        <w:t>德国专利法第9～14条是关于侵权要件的主要来源。其中第9条规定哪些行为构成直接侵权，第10条规定直接侵权的含义，第11～13条规定在不同情形下专利权行使的某些限制，第14条是关于权利要求解释的条款。</w:t>
      </w:r>
    </w:p>
    <w:p>
      <w:pPr>
        <w:ind w:firstLine="482"/>
        <w:rPr>
          <w:b/>
          <w:bCs/>
        </w:rPr>
      </w:pPr>
      <w:bookmarkStart w:id="82" w:name="_Toc121146315"/>
      <w:r>
        <w:rPr>
          <w:rFonts w:hint="eastAsia"/>
          <w:b/>
          <w:bCs/>
        </w:rPr>
        <w:t>一、专利侵权的种类和表现</w:t>
      </w:r>
      <w:bookmarkEnd w:id="82"/>
    </w:p>
    <w:p>
      <w:pPr>
        <w:ind w:firstLine="482"/>
        <w:rPr>
          <w:b/>
          <w:bCs/>
        </w:rPr>
      </w:pPr>
      <w:r>
        <w:rPr>
          <w:rFonts w:hint="eastAsia"/>
          <w:b/>
          <w:bCs/>
        </w:rPr>
        <w:t>（一）</w:t>
      </w:r>
      <w:r>
        <w:rPr>
          <w:b/>
          <w:bCs/>
        </w:rPr>
        <w:t>直接侵权</w:t>
      </w:r>
    </w:p>
    <w:p>
      <w:pPr>
        <w:ind w:firstLine="480"/>
      </w:pPr>
      <w:r>
        <w:t>明确了专利或实用新型的保护范围之后，判断产品或方法是否侵权还需要判断当事人是否实施了侵权行为，即判断当事人是否符合德国专利法或实用新型法关于侵权构成的条件</w:t>
      </w:r>
      <w:r>
        <w:rPr>
          <w:rFonts w:hint="eastAsia" w:ascii="宋体" w:hAnsi="宋体" w:cs="宋体"/>
        </w:rPr>
        <w:t>∶</w:t>
      </w:r>
      <w:r>
        <w:t>（1）当事人行为系以营利为目的或从事公开行为；（2）当事人实施了侵权行为。</w:t>
      </w:r>
    </w:p>
    <w:p>
      <w:pPr>
        <w:ind w:firstLine="482"/>
      </w:pPr>
      <w:r>
        <w:rPr>
          <w:rFonts w:asciiTheme="minorEastAsia" w:hAnsiTheme="minorEastAsia" w:eastAsiaTheme="minorEastAsia"/>
          <w:b/>
          <w:bCs/>
        </w:rPr>
        <w:t>1.</w:t>
      </w:r>
      <w:r>
        <w:rPr>
          <w:b/>
          <w:bCs/>
        </w:rPr>
        <w:t>以营利为目的或者公开行为</w:t>
      </w:r>
    </w:p>
    <w:p>
      <w:pPr>
        <w:ind w:firstLine="480"/>
      </w:pPr>
      <w:r>
        <w:t>当事人行为只要具备“以营利为目的”或者“公开方式”二者之一，就满足本条件，这一点与我国专利法上的“为生产经营目的”有着很大差异。“以营利为目”的是指当事人生产相关产品或使用方法非以自己私人享用为目的。关键是需要理解“私人享用”的范围以及含义，家庭主妇利用公开的专利或实用新型文献制造专为家用的厨房工具当然属于“私人享用”的范畴，但是如果该家庭主妇把厨房工具制造出来之后，赠送给邻居或好友使用则不属于私人享用的范畴。因此，“以营利为目的”并非指生产专利产品或使用专利方法以赚钱为目的，一切超出制造人本人或家庭使用范围的行为均属于“以营利为目的”。“公开行为”一般理解为当事人从事相关行为非私人亲力、亲为。还是以上述家庭主妇根据公开的专利或实用新型文献制造厨房用品为例，当事人仅以自己一人之力或者借助于家庭其他成员或亲友的帮助制造专利产品属于“私人行为”，但如果雇用专业技术人员制造相关产品则属于"公开方式"，具备专利或实用新型侵权的条件。</w:t>
      </w:r>
    </w:p>
    <w:p>
      <w:pPr>
        <w:ind w:firstLine="482"/>
      </w:pPr>
      <w:r>
        <w:rPr>
          <w:rFonts w:asciiTheme="minorEastAsia" w:hAnsiTheme="minorEastAsia" w:eastAsiaTheme="minorEastAsia"/>
          <w:b/>
          <w:bCs/>
        </w:rPr>
        <w:t>2.</w:t>
      </w:r>
      <w:r>
        <w:rPr>
          <w:b/>
          <w:bCs/>
        </w:rPr>
        <w:t>直接实施了侵权行为</w:t>
      </w:r>
    </w:p>
    <w:p>
      <w:pPr>
        <w:ind w:firstLine="480"/>
      </w:pPr>
      <w:r>
        <w:t>实施了侵权行为是指当事人从事了专利或实用新型权人有权禁止的行为。德国专利法和实用新型法均授予权利人禁止他人未经许可从事制造、许诺销售、销售、使用或为上述目的而进口或存储、占有专利或实用新型产品的权利；以及使用专利方法或许诺销售、销售、使用或为上述目的而进口或存储、占有以专利方法直接制造的产品。如果当事人直接实施了上述权利人有权禁止的行为即构成专利或实用新型直接侵权。</w:t>
      </w:r>
    </w:p>
    <w:p>
      <w:pPr>
        <w:ind w:firstLine="480"/>
      </w:pPr>
      <w:r>
        <w:t>（1）对产品专利实施了制造、销售、许诺销售等行为。</w:t>
      </w:r>
    </w:p>
    <w:p>
      <w:pPr>
        <w:ind w:firstLine="480"/>
      </w:pPr>
      <w:r>
        <w:t>制造是指任何再现受专利或实用新型保护的产品的行为，包括大规模机器制造和手工制造等各种方式。受保护产品的制造权受到法律的绝对保护，除不以营利为目的的私人行为之外，任何制造专利或实用新型产品的行为均为德国法律所禁止。但是在判断再现专利或实用新型产品行为是否侵权时，需要对制造和修理行为进行区分。消费者购买专利产品之后，有权购买零配件对损坏的产品进行修理，但修理过程中不得在事实上产生一件新的产品。多次购买多种零部件对同一件产品进行维修与生产一件新的产品并无差异，在德国这种行为是被禁止的。</w:t>
      </w:r>
    </w:p>
    <w:p>
      <w:pPr>
        <w:ind w:firstLine="480"/>
      </w:pPr>
      <w:r>
        <w:t>授予专利或实用新型权人“许诺销售权”，是为了尽可能早地制止专利或实用新型产品的交易，使权利人能够在侵权产品扩散之前就有可能制止对其发明创造的侵权使用。在德国专利法和实用新型法上，此项权利被称为“of-fering”。构成许诺销售行为与行为人采取何种行为方式无关，书面形式、口头形式、电话电传、显示、展示以及广告等行为都可以构成“许诺销售”。也就是说，任何在商业意义上的提供受专利或实用新型保护的意思表示，或者导致被提供者获得或享有某种权利的行为，都构成许诺销售意义上的侵权。此外，构成许诺销售与交易由谁提出、产品由谁提供等也没有关系，产品信息发布人或合同要约提出人并不是实际的产品提供者，但仍然需要承担侵权责任。事实上从展会与知识产权保护的关系来说，许诺销售是最值得参展商注意的一项权利，展示侵权商品本身即构成专利或实用新型侵权。当事人未经许可而实施对专利或实用新型产品的许诺销售行为即构成直接侵权，与产品是否实际销售无关。</w:t>
      </w:r>
    </w:p>
    <w:p>
      <w:pPr>
        <w:ind w:firstLine="480"/>
      </w:pPr>
      <w:r>
        <w:t>与我国专利法中规定相对应的是德国专利法和实用新型法中的禁止未经许可的“putting on the market”权利。但德国法上的“putting on the market”较我国专利法上的销售权含义和范围要宽得多。除了完成交割、权利发生转移的交易行为之外，签订合同、尚未完成产品产权交割的行为也属于"put-ting on the market”行为之列。在德国展会上就侵权商品签订的买卖合同、订单等虽然并未立刻导致侵权商品实际进入市场，但仍然将被认为侵犯了专利或实用新型权利。</w:t>
      </w:r>
    </w:p>
    <w:p>
      <w:pPr>
        <w:ind w:firstLine="480"/>
      </w:pPr>
      <w:r>
        <w:t>德国法上产品的“使用权”（using the product）是指权利人有权禁止他人未经允许利用专利或实用新型产品，使专利或实用新型产品的技术功能得到发挥。一般来说，使用者无论是未经许可自己制造专利或实用新型产品，继而予以利用，还是购买他人未经许可而制造并售出的专利或实用新型产品，继而予以利用，都构成侵权。在法律上，当事人使用产品的方式对判定是否侵权一般没有限制，使用者可以直接利用受保护产品以获得其产生的效果，也可以将受保护产品作为生产工具，制造其他产品，还可以将受保护产品作为零部件，生产其他产品。在把受保护产品作为零部件生产其他制成品时，无论该产品在最终制成品中占有核心地位，还是仅仅起到次要作用，都构成使用受保护产品的行为。</w:t>
      </w:r>
    </w:p>
    <w:p>
      <w:pPr>
        <w:ind w:firstLine="480"/>
      </w:pPr>
      <w:r>
        <w:t>为销售、许诺销售、使用目的而进口受保护产品的行为，是指为把受法律保护的产品投放到德国或欧盟市场上，而从国外制造商、销售商进口产品的行为。此外，德国法规定“为销售等目的而占有、存储或者保存受保护产品的行为”是侵权行为，这点与我国不同。展会上的商品如果确实落入德国专利或实用新型的保护范围，即使参展商并未把该产品放上展台，也没有发布该产品的任何销售信息，参展商拥有该产品的事实本身即可构成侵权。</w:t>
      </w:r>
    </w:p>
    <w:p>
      <w:pPr>
        <w:ind w:firstLine="480"/>
      </w:pPr>
      <w:r>
        <w:t>（2）实施了侵犯方法专利的行为。</w:t>
      </w:r>
    </w:p>
    <w:p>
      <w:pPr>
        <w:ind w:firstLine="480"/>
      </w:pPr>
      <w:r>
        <w:t>对于方法专利而言，实施了直接侵权行为是指当事人在商业活动中使用了受专利保护的生产方法、工艺、流程等。一般来说，权利人很难证明嫌疑人是否确实在生产过程中使用了方法专利。但是现行德国专利法确定了方法专利保护延及依方法直接生产的产品的原则。根据该原则，在德国销售、许诺销售、使用以及为前述目的存储和进口依专利方法直接制造的产品的行为得为权利人所禁止，在德国展会上展示了按照方法专利生产的产品因此也被德国法律所禁止。适用方法专利延伸保护至直接生产产品的原则，需要理解两个问题，以明确方法专利保护的边界</w:t>
      </w:r>
      <w:r>
        <w:rPr>
          <w:rFonts w:hint="eastAsia" w:ascii="宋体" w:hAnsi="宋体" w:cs="宋体"/>
        </w:rPr>
        <w:t>∶</w:t>
      </w:r>
    </w:p>
    <w:p>
      <w:pPr>
        <w:ind w:firstLine="480"/>
      </w:pPr>
      <w:r>
        <w:t>一是何谓依方法专利所获得或生产的产品。方法专利从技术内容上划分，至少可以包括三种类型</w:t>
      </w:r>
      <w:r>
        <w:rPr>
          <w:rFonts w:hint="eastAsia" w:ascii="宋体" w:hAnsi="宋体" w:cs="宋体"/>
        </w:rPr>
        <w:t>∶</w:t>
      </w:r>
      <w:r>
        <w:t>第一种是制造方法，通常是指改变原材料物品的结构、形状或者化学性质，产生新产品的方法；第二种是作业方法，如测量、检验、采掘、运输等不以改变物品本身结构、特性或功能为目的的方法；第三种是使用方法，是指对某种已知物品的新的应用方式，其目的是产生某种新的技术效果，不改变物品本身。对于这三种类型的方法来说，第一种方法因为改变了物品的外形结构或化学性质，所以一般会涉及方法专利延伸保护产品的问题；第三种方法则因为仅仅是新的用途，物品本身的物理结构和化学性质均不发生改变，所以一般不会涉及方法专利延伸保护的问题。对于作业方法来说，在德国判例司法实践中，一般认为方法专利延伸保护至作业后，产品需要满足两个条件</w:t>
      </w:r>
      <w:r>
        <w:rPr>
          <w:rFonts w:hint="eastAsia" w:ascii="宋体" w:hAnsi="宋体" w:cs="宋体"/>
        </w:rPr>
        <w:t>∶</w:t>
      </w:r>
      <w:r>
        <w:t>第一，这样的产品应当限于物质产品，能量等不属于延伸保护的范畴；第二，标的物经过专利方法的加工之后，应当在结构或物理化学特性上产生足够大的变化，使之从公众的眼光看来已经成为一种与处理之前的物品不相同的物品。</w:t>
      </w:r>
    </w:p>
    <w:p>
      <w:pPr>
        <w:ind w:firstLine="480"/>
      </w:pPr>
      <w:r>
        <w:t>二是如何理解产品是否“直接”经方法专利获得，也就是说需要明确方法专利延伸保护的范围和程度。德国的司法实践对“直接”的含义采取的是广义的理解方式，即所谓“直接”获得，不仅包括实施方法专利获得的最初产品，而且在满足一定条件的情况下，还包括对最初产品作进一步加工、处理后获得的产品。前述所提到的“一定条件”，按照德国法院的解释，是指最终获得的产品的价值或主要特点，系由专利方法所处理的最初产品所决定。也就是说根据德国经验，一项最终产品经过专利方法处理之后，无论再经过多少项其他方法的处理，只要其主要价值或特点系由最初专利方法处理之后产生的产品所决定，该最终产品即受方法专利所延伸保护。</w:t>
      </w:r>
    </w:p>
    <w:p>
      <w:pPr>
        <w:ind w:firstLine="482"/>
      </w:pPr>
      <w:r>
        <w:rPr>
          <w:rFonts w:asciiTheme="majorEastAsia" w:hAnsiTheme="majorEastAsia" w:eastAsiaTheme="majorEastAsia"/>
          <w:b/>
          <w:bCs/>
        </w:rPr>
        <w:t>3</w:t>
      </w:r>
      <w:r>
        <w:rPr>
          <w:rFonts w:hint="eastAsia" w:asciiTheme="majorEastAsia" w:hAnsiTheme="majorEastAsia" w:eastAsiaTheme="majorEastAsia"/>
          <w:b/>
          <w:bCs/>
        </w:rPr>
        <w:t>．</w:t>
      </w:r>
      <w:r>
        <w:rPr>
          <w:b/>
          <w:bCs/>
        </w:rPr>
        <w:t>落入了专利或实用新型权利要求的保护范围</w:t>
      </w:r>
    </w:p>
    <w:p>
      <w:pPr>
        <w:ind w:firstLine="480"/>
      </w:pPr>
      <w:r>
        <w:t>判定参展商品是否侵犯德国专利或实用新型权，关键的一点是了解产品以及生产产品的方法是否落入德国专利或实用新型权利要求的保护范围。一般是判断被控侵权的产品或方法中能否找出与专利或实用新型权利要求中记载的每一个技术特征相同或等同的对应技术特征。</w:t>
      </w:r>
    </w:p>
    <w:p>
      <w:pPr>
        <w:ind w:firstLine="482"/>
        <w:rPr>
          <w:b/>
          <w:bCs/>
        </w:rPr>
      </w:pPr>
      <w:r>
        <w:rPr>
          <w:rFonts w:hint="eastAsia"/>
          <w:b/>
          <w:bCs/>
        </w:rPr>
        <w:t>（二）</w:t>
      </w:r>
      <w:r>
        <w:rPr>
          <w:b/>
          <w:bCs/>
        </w:rPr>
        <w:t>其他类型的侵权</w:t>
      </w:r>
    </w:p>
    <w:p>
      <w:pPr>
        <w:ind w:firstLine="482"/>
        <w:rPr>
          <w:b/>
          <w:bCs/>
        </w:rPr>
      </w:pPr>
      <w:r>
        <w:rPr>
          <w:rFonts w:hint="eastAsia" w:asciiTheme="majorEastAsia" w:hAnsiTheme="majorEastAsia" w:eastAsiaTheme="majorEastAsia"/>
          <w:b/>
          <w:bCs/>
        </w:rPr>
        <w:t>1．</w:t>
      </w:r>
      <w:r>
        <w:rPr>
          <w:b/>
          <w:bCs/>
        </w:rPr>
        <w:t>帮助侵权</w:t>
      </w:r>
    </w:p>
    <w:p>
      <w:pPr>
        <w:ind w:firstLine="480"/>
      </w:pPr>
      <w:r>
        <w:t>德国专利法第10条涉及帮助侵权问题。设置帮助侵权条款的目的在于，如果无权使用专利发明的人使用了专利发明，专利权人可以有效维护自身的利益。根据德国专利法的规定，任何第三人知道或者显然应当知道涉及专利发明基本要素的手段适于并且专门用于实施发明专利，那么该第三人在德国专利法的有效地域范围内向他人提供该手段的行为构成帮助侵权。因而，构成德国法上专利帮助侵权需要满足如下要求</w:t>
      </w:r>
      <w:r>
        <w:rPr>
          <w:rFonts w:hint="eastAsia" w:ascii="宋体" w:hAnsi="宋体" w:cs="宋体"/>
        </w:rPr>
        <w:t>∶</w:t>
      </w:r>
      <w:r>
        <w:t>（1）第三人知道或者应当知道，其向侵权人提供的是适于或者专门用于实施发明专利的技术手段；（2）该技术手段在公开市场上无法得到；（3）在德国国内进行“提出或者提供"，向无权限人提出或者提供。</w:t>
      </w:r>
    </w:p>
    <w:p>
      <w:pPr>
        <w:ind w:firstLine="480"/>
      </w:pPr>
      <w:r>
        <w:t>对于德国专利法上的帮助侵权需要说明的是，第三人向他人提供的技术手段原则上是没有授予专利的技术方案，该技术手段对专利发明的实施是基本的，且位于包括等同范围在内的保护范围之外。无权使用的他人必须知道，或者至少显然应当知道其是以侵权的形式使用上述基本技术手段。需要注意的是，即使实际上不存在最终的直接侵权行为，帮助侵权行为也有可能成立，但是至少必须有要实施发明的意图。</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诱导侵权</w:t>
      </w:r>
    </w:p>
    <w:p>
      <w:pPr>
        <w:ind w:firstLine="480"/>
      </w:pPr>
      <w:r>
        <w:t>诱导侵权是指向他人提供制造受专利保护的装置的部件，该部件具有专利发明的基本特征，并且起初便打算与其他的（常规）部件组合以生产成品装置。构成诱导侵权必须是提供部件的人在主观上存在故意，且被提供人实施了直接侵权行为。</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b/>
          <w:bCs/>
        </w:rPr>
        <w:t>间接侵权</w:t>
      </w:r>
    </w:p>
    <w:p>
      <w:pPr>
        <w:ind w:firstLine="480"/>
      </w:pPr>
      <w:r>
        <w:t>1981年德国专利法第10条规定了对间接使用即间接侵权的禁止。设定间接侵权的目的是给予权利人充分的权利防止他人未经许可的使用行为，禁止购买者对第三者请求和/或提供违法使用专利发明的具有本质意义的技术手段。根据德国法律，构成间接侵权的条件为</w:t>
      </w:r>
      <w:r>
        <w:rPr>
          <w:rFonts w:hint="eastAsia" w:ascii="宋体" w:hAnsi="宋体" w:cs="宋体"/>
        </w:rPr>
        <w:t>∶</w:t>
      </w:r>
      <w:r>
        <w:t>（1）侵权行为的发生与受保护发明的本质要素相关；（2）第三者（间接侵权人）知晓该技术手段可用于专利的实施，并知晓为实施专利而使用该技术手段的意图，或者上述事实是显而易见的。</w:t>
      </w:r>
    </w:p>
    <w:p>
      <w:pPr>
        <w:ind w:firstLine="482"/>
        <w:rPr>
          <w:b/>
          <w:bCs/>
        </w:rPr>
      </w:pPr>
      <w:bookmarkStart w:id="83" w:name="_Toc121146316"/>
      <w:r>
        <w:rPr>
          <w:rFonts w:hint="eastAsia"/>
          <w:b/>
          <w:bCs/>
        </w:rPr>
        <w:t>二、专利侵权的例外</w:t>
      </w:r>
      <w:bookmarkEnd w:id="83"/>
    </w:p>
    <w:p>
      <w:pPr>
        <w:ind w:firstLine="480"/>
        <w:rPr>
          <w:rFonts w:cs="楷体" w:asciiTheme="minorEastAsia" w:hAnsiTheme="minorEastAsia" w:eastAsiaTheme="minorEastAsia"/>
        </w:rPr>
      </w:pPr>
      <w:r>
        <w:t>德国专利侵权的例外是指虽然实施了专利，但是因为存在合法的实施理由，则认为这种专利实施行为不属于侵权的范围。</w:t>
      </w:r>
    </w:p>
    <w:p>
      <w:pPr>
        <w:ind w:firstLine="482"/>
        <w:rPr>
          <w:b/>
          <w:bCs/>
        </w:rPr>
      </w:pPr>
      <w:r>
        <w:rPr>
          <w:rFonts w:asciiTheme="majorEastAsia" w:hAnsiTheme="majorEastAsia" w:eastAsiaTheme="majorEastAsia"/>
          <w:b/>
          <w:bCs/>
        </w:rPr>
        <w:t>1</w:t>
      </w:r>
      <w:r>
        <w:rPr>
          <w:rFonts w:hint="eastAsia" w:asciiTheme="majorEastAsia" w:hAnsiTheme="majorEastAsia" w:eastAsiaTheme="majorEastAsia"/>
          <w:b/>
          <w:bCs/>
        </w:rPr>
        <w:t>．</w:t>
      </w:r>
      <w:r>
        <w:rPr>
          <w:b/>
          <w:bCs/>
        </w:rPr>
        <w:t>获得专利实施的许可证</w:t>
      </w:r>
    </w:p>
    <w:p>
      <w:pPr>
        <w:ind w:firstLine="480"/>
      </w:pPr>
      <w:r>
        <w:t>根据德国专利法第9条的规定，专利的禁止效力仅涉及在未经持有人同意的情况下第三人的行为。因此，如果被告能够证明存在实施专利行为的许可证则可以拒绝权利人的侵权主张。根据德国专利法第24条取得的强制许可，相同的结论也成立。</w:t>
      </w:r>
    </w:p>
    <w:p>
      <w:pPr>
        <w:ind w:firstLine="480"/>
      </w:pPr>
      <w:r>
        <w:t>如果专利权人以书面形式向德国专利局提出声明，表明他人在支付合理的使用费情况下可以使用专利，任何第三人均可以在支付权利人要求的使用费的情况下，使用专利。</w:t>
      </w:r>
    </w:p>
    <w:p>
      <w:pPr>
        <w:ind w:firstLine="482"/>
        <w:rPr>
          <w:b/>
          <w:bCs/>
        </w:rPr>
      </w:pPr>
      <w:r>
        <w:rPr>
          <w:rFonts w:asciiTheme="majorEastAsia" w:hAnsiTheme="majorEastAsia" w:eastAsiaTheme="majorEastAsia"/>
          <w:b/>
          <w:bCs/>
        </w:rPr>
        <w:t>2</w:t>
      </w:r>
      <w:r>
        <w:rPr>
          <w:rFonts w:hint="eastAsia" w:asciiTheme="majorEastAsia" w:hAnsiTheme="majorEastAsia" w:eastAsiaTheme="majorEastAsia"/>
          <w:b/>
          <w:bCs/>
        </w:rPr>
        <w:t>．</w:t>
      </w:r>
      <w:r>
        <w:rPr>
          <w:b/>
          <w:bCs/>
        </w:rPr>
        <w:t>先用权</w:t>
      </w:r>
    </w:p>
    <w:p>
      <w:pPr>
        <w:ind w:firstLine="480"/>
      </w:pPr>
      <w:r>
        <w:t>先用权是指在专利优先权日之前，第三人已经在德国专利法有效地域内使用相同的技术方案或者已经为这种使用作出了必要的准备，则该第三人享有继续使用的权利。法律承认先用权的意义在于保护首先作出发明但未能递交专利申请的自然人或者法人，使其产业上或者经济上的资产不受专利权人的侵扰。</w:t>
      </w:r>
    </w:p>
    <w:p>
      <w:pPr>
        <w:ind w:firstLine="480"/>
      </w:pPr>
      <w:r>
        <w:t>根据德国专利法的规定，主张优先使用权的人必须"已经使用发明"，判例法对上述法律文字进行了拓展，使其成为拥有优先使用权的权利持有人还必须具备发明的概念。因此，先使用人在优先权（申请）日之时，必须理解发明的概念，必须在现实中使用发明或者至少进行了发明的使用准备工作。例如，为了检查新产品在治疗上的有用性在动物身上对发明进行试验，仅仅表示了产业使用等使用意图，则不满足这一要件。取得先使用权必须满足的另一个必要前提条件是在该专利的申请日或者优先权日之前必须已经正在德国国内使用该专利发明。</w:t>
      </w:r>
    </w:p>
    <w:p>
      <w:pPr>
        <w:ind w:firstLine="480"/>
      </w:pPr>
      <w:r>
        <w:t>先使用权并不局限于对发生先使用权之时的事业必要的范围。先使用人可以继续实施与在申请日前已实施的该发明相同的技术课题有关的发明，对其生产数量没有限制。但是，先使用权应和先使用人的事业相结合。因此，允许进行工厂和设备的扩张和增产。然而，对于与先使用权无直接关系的其他工厂的生产，仅当拥有先使用权的人仍然对该工厂的生产种类和范围负有责任时，才可包含在先使用权的范围中。除此之外，先使用权不能转让。</w:t>
      </w:r>
    </w:p>
    <w:p>
      <w:pPr>
        <w:ind w:firstLine="482"/>
        <w:rPr>
          <w:b/>
          <w:bCs/>
        </w:rPr>
      </w:pPr>
      <w:r>
        <w:rPr>
          <w:rFonts w:asciiTheme="majorEastAsia" w:hAnsiTheme="majorEastAsia" w:eastAsiaTheme="majorEastAsia"/>
          <w:b/>
          <w:bCs/>
        </w:rPr>
        <w:t>3</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利权的用尽和平行输入</w:t>
      </w:r>
    </w:p>
    <w:p>
      <w:pPr>
        <w:ind w:firstLine="480"/>
      </w:pPr>
      <w:r>
        <w:t>专利权人无法再对使用受保护发明的第三人主张自己的专利权利，称为专利权利用尽。这是因为专利权人或者得到其许可的第三人已经将专利产品（或者专利保护的过程的直接产品）销售到市场，如果任由专利权人再次对产品进行控制不利于商品市场的流通。这种权利用尽通常仅在一个国家内发生。例如，产品在德国投放市场时，仅在德国国内权利用尽。除此之外，根据某种要件，专利权人（或者得到其许可的第三人）将受保护的产品销售至欧洲联盟加盟国的市场时也会发生权利用尽。</w:t>
      </w:r>
    </w:p>
    <w:p>
      <w:pPr>
        <w:ind w:firstLine="480"/>
      </w:pPr>
      <w:r>
        <w:t>关于专利权利用尽有所谓的国际用尽问题。根据德国的判例法，目前只承认在欧盟市场上的国际用尽，对于其他国家尚不存在这个问题。也就是说，自欧盟以外的其他国家的平行进口仍然构成对德国专利权的侵犯。</w:t>
      </w:r>
    </w:p>
    <w:p>
      <w:pPr>
        <w:ind w:firstLine="480"/>
      </w:pPr>
      <w:r>
        <w:t>直到出现了日本最高法院著名的BBS铝制车轮判决，专利界才开始实际考虑国际用尽的问题。该判决虽然引起了轩然大波，但默默无闻的许可证概念在一些国家长期以来一直存在。</w:t>
      </w:r>
    </w:p>
    <w:p>
      <w:pPr>
        <w:ind w:firstLine="482"/>
        <w:rPr>
          <w:b/>
          <w:bCs/>
        </w:rPr>
      </w:pPr>
      <w:r>
        <w:rPr>
          <w:rFonts w:asciiTheme="majorEastAsia" w:hAnsiTheme="majorEastAsia" w:eastAsiaTheme="majorEastAsia"/>
          <w:b/>
          <w:bCs/>
        </w:rPr>
        <w:t>4</w:t>
      </w:r>
      <w:r>
        <w:rPr>
          <w:rFonts w:hint="eastAsia" w:asciiTheme="majorEastAsia" w:hAnsiTheme="majorEastAsia" w:eastAsiaTheme="majorEastAsia"/>
          <w:b/>
          <w:bCs/>
        </w:rPr>
        <w:t>．</w:t>
      </w:r>
      <w:r>
        <w:rPr>
          <w:rFonts w:asciiTheme="majorEastAsia" w:hAnsiTheme="majorEastAsia" w:eastAsiaTheme="majorEastAsia"/>
          <w:b/>
          <w:bCs/>
        </w:rPr>
        <w:t>实</w:t>
      </w:r>
      <w:r>
        <w:rPr>
          <w:b/>
          <w:bCs/>
        </w:rPr>
        <w:t>验和临床试验</w:t>
      </w:r>
    </w:p>
    <w:p>
      <w:pPr>
        <w:ind w:firstLine="480"/>
      </w:pPr>
      <w:r>
        <w:t>在医药和植物保护药品的领域内，新的活性成分在得到销售许可之前，必须进行广泛的临床试验和实地试验，并且必须向当局提出请求。这会产生一个问题，即什么试验构成专利侵权，什么试验不构成专利侵权?根据1981 年德国专利法的规定，专利的效力不能涵盖与专利发明主题有关的以实验目的实施的行为。为了判断取得医药专利的活性物质是否适于治疗或者减轻人类疾病，在临床试验中以任何形式使用活性物质，属于围绕发明主题以试验目的实施的行为，因此可以明确地认为是合法行为。德国联邦最高法院还强调，德国专利法第11条第2款规定的实验包括以获得知识为目的的（计划的）所有试验。为了确立这一概念，法律规定要求试验必须符合发明专利的主题。专利效力的这种免除超出了试验的纯粹研究性质，与试验背后是否有销售方面的考虑（无论什么情况下均不会参考这一点）无关。即使进行该试验的目的是获取用于医药合成物的销售许可的数据，也是允许的。试验在商业上的定位和试验所得结果的商业使用意图本身不会使试验行为成为非法的专利侵权。但是，如果此类临床试验的范围过于广泛，以至于超出了正当范围，或者此类试验妨碍了专利权人的产品的销售或者以这种妨碍为意图进行此类试验，则情况会有所不同。</w:t>
      </w:r>
    </w:p>
    <w:p>
      <w:pPr>
        <w:ind w:firstLine="482"/>
        <w:rPr>
          <w:b/>
          <w:bCs/>
        </w:rPr>
      </w:pPr>
      <w:r>
        <w:rPr>
          <w:rFonts w:asciiTheme="majorEastAsia" w:hAnsiTheme="majorEastAsia" w:eastAsiaTheme="majorEastAsia"/>
          <w:b/>
          <w:bCs/>
        </w:rPr>
        <w:t>5</w:t>
      </w:r>
      <w:r>
        <w:rPr>
          <w:rFonts w:hint="eastAsia" w:asciiTheme="majorEastAsia" w:hAnsiTheme="majorEastAsia" w:eastAsiaTheme="majorEastAsia"/>
          <w:b/>
          <w:bCs/>
        </w:rPr>
        <w:t>．</w:t>
      </w:r>
      <w:r>
        <w:rPr>
          <w:rFonts w:asciiTheme="majorEastAsia" w:hAnsiTheme="majorEastAsia" w:eastAsiaTheme="majorEastAsia"/>
          <w:b/>
          <w:bCs/>
        </w:rPr>
        <w:t>专</w:t>
      </w:r>
      <w:r>
        <w:rPr>
          <w:b/>
          <w:bCs/>
        </w:rPr>
        <w:t>利权的限制</w:t>
      </w:r>
    </w:p>
    <w:p>
      <w:pPr>
        <w:ind w:firstLine="480"/>
      </w:pPr>
      <w:r>
        <w:t>德国专利法第11条记载了一些专利效力无法涵盖的行为。首先，最需要注意的是，该条款规定专利权的效力无法涵盖出于个人的或者非商业的目的而实施的行为（德国专利法第11条第1款）。这里的“非商业的”是指仅在纯粹个人的私人范围内进行使用。同样，对于得到专利授权的装置，只要不是以销售为目的展示装置，在公开展览会上进行演示不被认为是商业性的。</w:t>
      </w:r>
    </w:p>
    <w:p>
      <w:pPr>
        <w:ind w:firstLine="480"/>
      </w:pPr>
      <w:r>
        <w:t>其次，专利的效果无法涵盖与专利发明的主题有关的出于实验目的而实施的行为（德国专利法第11条第2款）。这种情况并不要求以个人或者非商业为目的进行实验。因此，允许对发明进行实验性使用，即使这种实验性使用具有商业目的也是如此，例如工业研究所为了开发发明进行的可用性和可能性试验。</w:t>
      </w:r>
    </w:p>
    <w:p>
      <w:pPr>
        <w:ind w:firstLine="480"/>
        <w:rPr>
          <w:rFonts w:cs="楷体" w:asciiTheme="minorEastAsia" w:hAnsiTheme="minorEastAsia" w:eastAsiaTheme="minorEastAsia"/>
        </w:rPr>
      </w:pPr>
      <w:r>
        <w:t>最后，专利无法禁止药房按照处方对个别药品进行实时配方和与该配方医药有关的行为（德国专利法第11条第3款）。</w:t>
      </w:r>
    </w:p>
    <w:p>
      <w:pPr>
        <w:ind w:firstLine="562"/>
        <w:outlineLvl w:val="2"/>
        <w:rPr>
          <w:rFonts w:ascii="黑体" w:hAnsi="黑体" w:eastAsia="黑体" w:cs="Helvetica"/>
          <w:b/>
          <w:color w:val="000000" w:themeColor="text1"/>
          <w:kern w:val="0"/>
          <w:sz w:val="28"/>
          <w:szCs w:val="28"/>
        </w:rPr>
      </w:pPr>
      <w:bookmarkStart w:id="84" w:name="_Toc121146317"/>
      <w:bookmarkStart w:id="85" w:name="_Toc203057719"/>
      <w:r>
        <w:rPr>
          <w:rFonts w:ascii="黑体" w:hAnsi="黑体" w:eastAsia="黑体" w:cs="Helvetica"/>
          <w:b/>
          <w:color w:val="000000" w:themeColor="text1"/>
          <w:kern w:val="0"/>
          <w:sz w:val="28"/>
          <w:szCs w:val="28"/>
        </w:rPr>
        <w:t xml:space="preserve">4.4.2 </w:t>
      </w:r>
      <w:r>
        <w:rPr>
          <w:rFonts w:hint="eastAsia" w:ascii="黑体" w:hAnsi="黑体" w:eastAsia="黑体" w:cs="Helvetica"/>
          <w:b/>
          <w:color w:val="000000" w:themeColor="text1"/>
          <w:kern w:val="0"/>
          <w:sz w:val="28"/>
          <w:szCs w:val="28"/>
        </w:rPr>
        <w:t>德国侵权诉讼的反诉及抗辩</w:t>
      </w:r>
      <w:bookmarkEnd w:id="84"/>
      <w:bookmarkEnd w:id="85"/>
    </w:p>
    <w:p>
      <w:pPr>
        <w:ind w:firstLine="480"/>
      </w:pPr>
      <w:r>
        <w:rPr>
          <w:rFonts w:hint="eastAsia" w:cs="Times New Roman"/>
        </w:rPr>
        <w:t>在侵权诉讼中，针对专利权人的侵权主张，被告也存着着诸多的抗辩手段，</w:t>
      </w:r>
      <w:r>
        <w:t>比如可以从根本上起诉对方权利无效；主张不侵权或者主张对方权利虽然有效，自己也使用了对方的专利技术方案，但是自己的使用存在合理的理由等等。对对方的侵权损害赔偿也可以提出自己的不同意见。本节仅介绍其中最为重要的几项。</w:t>
      </w:r>
    </w:p>
    <w:p>
      <w:pPr>
        <w:ind w:firstLine="482"/>
        <w:rPr>
          <w:b/>
          <w:bCs/>
        </w:rPr>
      </w:pPr>
      <w:r>
        <w:rPr>
          <w:rFonts w:hint="eastAsia"/>
          <w:b/>
          <w:bCs/>
        </w:rPr>
        <w:t>一、</w:t>
      </w:r>
      <w:r>
        <w:rPr>
          <w:b/>
          <w:bCs/>
        </w:rPr>
        <w:t>诉原告专利无效</w:t>
      </w:r>
    </w:p>
    <w:p>
      <w:pPr>
        <w:ind w:firstLine="480"/>
      </w:pPr>
      <w:r>
        <w:t>根据德国专利法的规定，被告可以基于如下理由诉原告专利权无效</w:t>
      </w:r>
      <w:r>
        <w:rPr>
          <w:rFonts w:hint="eastAsia" w:ascii="宋体" w:hAnsi="宋体" w:cs="宋体"/>
        </w:rPr>
        <w:t>∶</w:t>
      </w:r>
      <w:r>
        <w:t>（1）专利不具有新颖性或者创造性；（2）专利权利要求中记载的技术方案不属于发明的范畴（如属于发现、科学理论、美学上的创作作品等）；（3）专利发明的技术方案属于法律上的禁止范围（例如，违反道德的发明、植物或者动物品种、生产植物或者动物的本质上的生物学过程）；（4）专利缺乏实用性（例如疾病的治疗方法等）；（5）说明书未充分公开发明内容，以至于非经创造性劳动无法实施；（6）专利的内容超出了申请时最初记载的内容；（7）专利的保护范围与登记时的范围相比有所扩大；（8）专利权人不具备行使权利的能力。诉原告专利无效不仅可针对德国专利局签发的德国专利，而且可以就欧洲专利局签发并在德国生效的欧洲专利提出。受理专利无效诉讼的法院是总部设在慕尼黑的德国专利法院，不服专利法院判决书的，当事人可以向德国联邦最高法院提起上诉。与侵权诉讼的上诉不同，联邦最高法院不仅就法律问题进行审查还对该案件的实体内容作出决定。根据德国法律，在超过了专利异议期的任何时间内（包括专利有效期已结束），当事人均可以向德国专利法院提起专利无效的诉讼。</w:t>
      </w:r>
    </w:p>
    <w:p>
      <w:pPr>
        <w:ind w:firstLine="482"/>
        <w:rPr>
          <w:b/>
          <w:bCs/>
        </w:rPr>
      </w:pPr>
      <w:r>
        <w:rPr>
          <w:rFonts w:hint="eastAsia"/>
          <w:b/>
          <w:bCs/>
        </w:rPr>
        <w:t>二、</w:t>
      </w:r>
      <w:r>
        <w:rPr>
          <w:b/>
          <w:bCs/>
        </w:rPr>
        <w:t>诉原告专利不能行使</w:t>
      </w:r>
    </w:p>
    <w:p>
      <w:pPr>
        <w:ind w:firstLine="480"/>
      </w:pPr>
      <w:r>
        <w:t>除了专利无效，被告还可以在侵权诉讼中提出证据证明对方专利不能行使。专利权利不能行使是指专利权虽然在表面具备法律上的效力，但是由于存在法律上障碍，导致该专利权不能对被告产生实质性的禁止使用效力。产生专利权利不能行使的情形有包括</w:t>
      </w:r>
      <w:r>
        <w:rPr>
          <w:rFonts w:hint="eastAsia" w:ascii="宋体" w:hAnsi="宋体" w:cs="宋体"/>
        </w:rPr>
        <w:t>∶</w:t>
      </w:r>
      <w:r>
        <w:t>（1）专利权人未能及时支付专利年费；（2）该专利属于双重专利；（3）专利权人存在滥用专利的行为；（4）由于专利权人的懈怠，导致被告有理由相信其继续使用专利也不会被追诉赔偿。</w:t>
      </w:r>
    </w:p>
    <w:p>
      <w:pPr>
        <w:ind w:firstLine="482"/>
        <w:rPr>
          <w:b/>
          <w:bCs/>
        </w:rPr>
      </w:pPr>
      <w:r>
        <w:rPr>
          <w:rFonts w:hint="eastAsia"/>
          <w:b/>
          <w:bCs/>
        </w:rPr>
        <w:t>三、</w:t>
      </w:r>
      <w:r>
        <w:rPr>
          <w:b/>
          <w:bCs/>
        </w:rPr>
        <w:t>其他抗辩方式</w:t>
      </w:r>
    </w:p>
    <w:p>
      <w:pPr>
        <w:ind w:firstLine="480"/>
        <w:rPr>
          <w:rFonts w:cs="Times New Roman"/>
        </w:rPr>
      </w:pPr>
      <w:r>
        <w:t>事实上，对专利侵权的抗辩还包括前述侵权例外中的内容。只要属于侵权例外中的实施方式，均属于被告可自由使用的范围。因此，被告当然可以在侵权诉讼中主张先用权、存在实施协议或者默许的实施等</w:t>
      </w:r>
      <w:r>
        <w:rPr>
          <w:rFonts w:hint="eastAsia"/>
        </w:rPr>
        <w:t>。</w:t>
      </w:r>
    </w:p>
    <w:p>
      <w:pPr>
        <w:pStyle w:val="2"/>
        <w:ind w:firstLine="480"/>
      </w:pPr>
      <w:r>
        <w:br w:type="page"/>
      </w:r>
    </w:p>
    <w:p>
      <w:pPr>
        <w:pStyle w:val="3"/>
        <w:spacing w:before="312" w:after="312"/>
      </w:pPr>
      <w:bookmarkStart w:id="86" w:name="_Toc24515"/>
      <w:bookmarkStart w:id="87" w:name="_Toc199407985"/>
      <w:bookmarkStart w:id="88" w:name="_Toc203057720"/>
      <w:r>
        <w:rPr>
          <w:rFonts w:hint="eastAsia"/>
        </w:rPr>
        <w:t>第五章 应对措施</w:t>
      </w:r>
      <w:bookmarkEnd w:id="86"/>
      <w:bookmarkEnd w:id="87"/>
      <w:bookmarkEnd w:id="88"/>
    </w:p>
    <w:p>
      <w:pPr>
        <w:ind w:firstLine="562"/>
        <w:outlineLvl w:val="1"/>
        <w:rPr>
          <w:rFonts w:ascii="黑体" w:hAnsi="黑体" w:eastAsia="黑体"/>
          <w:b/>
          <w:bCs/>
          <w:sz w:val="28"/>
          <w:szCs w:val="28"/>
        </w:rPr>
      </w:pPr>
      <w:bookmarkStart w:id="89" w:name="_Toc199407986"/>
      <w:bookmarkStart w:id="90" w:name="_Toc203057721"/>
      <w:bookmarkStart w:id="91" w:name="OLE_LINK35"/>
      <w:r>
        <w:rPr>
          <w:rFonts w:hint="eastAsia" w:ascii="黑体" w:hAnsi="黑体" w:eastAsia="黑体"/>
          <w:b/>
          <w:bCs/>
          <w:sz w:val="28"/>
          <w:szCs w:val="28"/>
        </w:rPr>
        <w:t>5.1</w:t>
      </w:r>
      <w:r>
        <w:rPr>
          <w:rFonts w:ascii="黑体" w:hAnsi="黑体" w:eastAsia="黑体"/>
          <w:b/>
          <w:bCs/>
          <w:sz w:val="28"/>
          <w:szCs w:val="28"/>
        </w:rPr>
        <w:t xml:space="preserve"> </w:t>
      </w:r>
      <w:r>
        <w:rPr>
          <w:rFonts w:hint="eastAsia" w:ascii="黑体" w:hAnsi="黑体" w:eastAsia="黑体"/>
          <w:b/>
          <w:bCs/>
          <w:sz w:val="28"/>
          <w:szCs w:val="28"/>
        </w:rPr>
        <w:t>产业现状与海外知识产权风险研判</w:t>
      </w:r>
      <w:bookmarkEnd w:id="89"/>
      <w:bookmarkEnd w:id="90"/>
    </w:p>
    <w:bookmarkEnd w:id="91"/>
    <w:p>
      <w:pPr>
        <w:pStyle w:val="2"/>
        <w:ind w:firstLine="480"/>
      </w:pPr>
      <w:r>
        <w:t>随着全球环保意识的提升以及一次性餐具市场需求的持续增长，聊城市一次性餐具产业在海外市场的拓展步伐不断加快。像山东聊城泰德实业有限公司，凭借先进精密注塑设备及自主研发的</w:t>
      </w:r>
      <w:r>
        <w:rPr>
          <w:rFonts w:hint="eastAsia"/>
        </w:rPr>
        <w:t>多</w:t>
      </w:r>
      <w:r>
        <w:t>项专利技术，其生产的一次性水晶餐具不仅畅销国内，还成功打入欧洲市场。山东泉林秸秆高科环保股份有限公司，利用麦草浆为原料生产一次性环保餐具，产品涵盖多个系列和品种，在海外市场也具有一定的竞争力。然而，随着产业国际化进程的推进，海外知识产权侵权风险逐渐凸显。这些风险不仅可能导致企业面临法律诉讼、巨额赔偿，还会损害企业声誉，阻碍产业的可持续发展。</w:t>
      </w:r>
      <w:bookmarkStart w:id="92" w:name="_Hlk203055517"/>
      <w:r>
        <w:t>因此，分析聊城市一次性餐具产业现状，提出针对性的海外知识产权侵权风险应对措施具有重要的现实意义。</w:t>
      </w:r>
      <w:r>
        <w:rPr>
          <w:rFonts w:hint="eastAsia"/>
        </w:rPr>
        <w:t>具体应付措施如下文所示。</w:t>
      </w:r>
    </w:p>
    <w:bookmarkEnd w:id="92"/>
    <w:p>
      <w:pPr>
        <w:ind w:firstLine="562"/>
        <w:outlineLvl w:val="1"/>
        <w:rPr>
          <w:rFonts w:ascii="黑体" w:hAnsi="黑体" w:eastAsia="黑体"/>
          <w:b/>
          <w:bCs/>
          <w:sz w:val="28"/>
          <w:szCs w:val="28"/>
        </w:rPr>
      </w:pPr>
      <w:bookmarkStart w:id="93" w:name="_Toc203057722"/>
      <w:r>
        <w:rPr>
          <w:rFonts w:hint="eastAsia" w:ascii="黑体" w:hAnsi="黑体" w:eastAsia="黑体"/>
          <w:b/>
          <w:bCs/>
          <w:sz w:val="28"/>
          <w:szCs w:val="28"/>
        </w:rPr>
        <w:t>5.</w:t>
      </w:r>
      <w:r>
        <w:rPr>
          <w:rFonts w:ascii="黑体" w:hAnsi="黑体" w:eastAsia="黑体"/>
          <w:b/>
          <w:bCs/>
          <w:sz w:val="28"/>
          <w:szCs w:val="28"/>
        </w:rPr>
        <w:t>2 加强知识产权风险预警与监测</w:t>
      </w:r>
      <w:r>
        <w:rPr>
          <w:rFonts w:hint="eastAsia" w:ascii="MS Gothic" w:hAnsi="MS Gothic" w:eastAsia="MS Gothic" w:cs="MS Gothic"/>
          <w:b/>
          <w:bCs/>
          <w:sz w:val="28"/>
          <w:szCs w:val="28"/>
        </w:rPr>
        <w:t>​</w:t>
      </w:r>
      <w:bookmarkEnd w:id="93"/>
    </w:p>
    <w:p>
      <w:pPr>
        <w:pStyle w:val="2"/>
        <w:ind w:firstLine="480"/>
      </w:pPr>
      <w:r>
        <w:t>建立专业预警团队或合作机制：聊城市一次性餐具产业内的企业，尤其是具有一定规模和出口业务的企业，应建立自己的知识产权预警团队。团队成员可包括熟悉知识产权法律法规的法务人员、具有技术背景的专利分析师等。对于一些中小企业，由于资源有限，可联合行业协会或专业知识产权服务机构，建立合作机制，共同开展知识产权风险预警工作。例如，聊城市一次性餐具行业协会可以组织会员企业，与本地专业的知识产权代理机构合作，定期对海外市场的知识产权动态进行监测和分析，为企业提供风险预警信息。辰骐环保新材料科技公司、泉林秸秆高科环保股份有限公司等规模较大的企业可率先建立自己的预警团队，而一些小型企业则可通过行业协会的合作机制，共享知识产权风险预警资源。​</w:t>
      </w:r>
    </w:p>
    <w:p>
      <w:pPr>
        <w:pStyle w:val="2"/>
        <w:ind w:firstLine="480"/>
      </w:pPr>
      <w:r>
        <w:t>利用大数据技术进行监测：充分利用大数据技术，构建海外知识产权监测平台。通过设定关键词、专利分类号、商标类别等信息，对全球范围内与一次性餐具相关的专利申请、商标注册、著作权登记等信息进行实时监测。例如，企业可以借助专业的知识产权数据库，如德温特世界专利索引（DWPI）、欧洲商标数据库（EUIPO）等，定期检索和分析相关数据，及时发现潜在的知识产权侵权风险。当监测到与本企业产品或技术相似的知识产权申请时，系统能够及时发出预警，提醒企业采取相应措施。泉林秸秆高科环保股份有限公司可利用大数据技术，重点监测与麦草浆原料使用、纸浆模塑工艺相关的知识产权动态；泰德实业则可针对一次性塑料餐具的产品设计、注塑工艺等方面进行监测。​</w:t>
      </w:r>
    </w:p>
    <w:p>
      <w:pPr>
        <w:ind w:firstLine="562"/>
        <w:outlineLvl w:val="1"/>
        <w:rPr>
          <w:rFonts w:ascii="黑体" w:hAnsi="黑体" w:eastAsia="黑体"/>
          <w:b/>
          <w:bCs/>
          <w:sz w:val="28"/>
          <w:szCs w:val="28"/>
        </w:rPr>
      </w:pPr>
      <w:bookmarkStart w:id="94" w:name="_Toc203057723"/>
      <w:r>
        <w:rPr>
          <w:rFonts w:hint="eastAsia" w:ascii="黑体" w:hAnsi="黑体" w:eastAsia="黑体"/>
          <w:b/>
          <w:bCs/>
          <w:sz w:val="28"/>
          <w:szCs w:val="28"/>
        </w:rPr>
        <w:t>5</w:t>
      </w:r>
      <w:r>
        <w:rPr>
          <w:rFonts w:ascii="黑体" w:hAnsi="黑体" w:eastAsia="黑体"/>
          <w:b/>
          <w:bCs/>
          <w:sz w:val="28"/>
          <w:szCs w:val="28"/>
        </w:rPr>
        <w:t>.3 强化知识产权海外布局</w:t>
      </w:r>
      <w:r>
        <w:rPr>
          <w:rFonts w:hint="eastAsia" w:ascii="MS Gothic" w:hAnsi="MS Gothic" w:eastAsia="MS Gothic" w:cs="MS Gothic"/>
          <w:b/>
          <w:bCs/>
          <w:sz w:val="28"/>
          <w:szCs w:val="28"/>
        </w:rPr>
        <w:t>​</w:t>
      </w:r>
      <w:bookmarkEnd w:id="94"/>
    </w:p>
    <w:p>
      <w:pPr>
        <w:pStyle w:val="2"/>
        <w:ind w:firstLine="480"/>
      </w:pPr>
      <w:r>
        <w:t>专利布局策略：​</w:t>
      </w:r>
    </w:p>
    <w:p>
      <w:pPr>
        <w:pStyle w:val="2"/>
        <w:ind w:firstLine="480"/>
      </w:pPr>
      <w:r>
        <w:t>提前规划海外专利申请：企业在研发新产品或新技术时，应同步考虑海外专利申请。根据产品的目标市场和销售计划，制定合理的专利申请策略。对于具有核心竞争力的技术，如一次性餐具的新型材料配方、独特的成型工艺等，企业应尽快通过《专利合作条约》（PCT）途径或直接向目标国家或地区提出专利申请。例如，泉林秸秆高科环保股份有限公司若研发出一种新的麦草浆处理工艺，可通过 PCT 途径在多个国家同时申请专利，以保护其技术创新成果在海外市场的独占权。辰骐环保新材料科技公司在扩大生产规模的过程中，若有新的纸浆模塑技术突破，也应及时进行海外专利布局。​</w:t>
      </w:r>
    </w:p>
    <w:p>
      <w:pPr>
        <w:pStyle w:val="2"/>
        <w:ind w:firstLine="480"/>
      </w:pPr>
      <w:r>
        <w:t>构建专利组合保护：企业不应仅依赖单一专利，而应围绕核心技术构建专利组合。通过申请基础专利、改进专利以及外围专利等，形成多层次的专利保护体系。以一次性塑料餐具生产企业为例，除了对主要的注塑工艺申请基础专利外，还可以针对生产过程中的模具改进、产品的结构优化等方面申请改进专利和外围专利，防止竞争对手通过规避设计等方式绕过专利保护。泰德实业可以在其现有的专利技术基础上，进一步挖掘相关的改进技术和外围技术，构建更完善的专利组合。​</w:t>
      </w:r>
    </w:p>
    <w:p>
      <w:pPr>
        <w:pStyle w:val="2"/>
        <w:ind w:firstLine="480"/>
      </w:pPr>
      <w:r>
        <w:t>商标布局策略：​</w:t>
      </w:r>
    </w:p>
    <w:p>
      <w:pPr>
        <w:pStyle w:val="2"/>
        <w:ind w:firstLine="480"/>
      </w:pPr>
      <w:r>
        <w:t>及时注册目标市场商标：企业应在产品进入海外市场之前，及时在目标国家或地区进行商标注册。可以通过马德里体系提出领土延伸申请，也可以直接向目标国家或地区的商标主管机关递交商标注册申请。例如，聊城泰德实业有限公司计划将其一次性水晶餐具推向更多欧洲国家市场，可通过马德里体系，一次性指定多个欧洲国家进行商标注册，以确保其品牌在欧洲市场的合法权益。泉林秸秆高科环保股份有限公司在拓展海外市场时，也应根据目标市场的情况，及时注册其产品商标，避免商标被抢注。​</w:t>
      </w:r>
    </w:p>
    <w:p>
      <w:pPr>
        <w:pStyle w:val="2"/>
        <w:ind w:firstLine="480"/>
      </w:pPr>
      <w:r>
        <w:t>多元化商标布局：除了注册与企业品牌名称相同的商标外，企业还应考虑注册防御商标和联合商标。防御商标是将与自己商标相近似的商标在其他类别上进行注册，防止他人在不同类别商品或服务上使用相似商标，误导消费者。联合商标则是在同一类商品或服务上注册若干个近似商标，以保护主商标不被淡化或侵权。例如，某一次性餐具企业除了注册主商标 “CleanTableware” 外，还可以注册 “CleanTable”“TablewareClean” 等联合商标，以及在与一次性餐具相关的原材料、包装等类别上注册防御商标。聊城的一次性餐具企业可根据自身品牌特点和市场定位，进行多元化的商标布局。​</w:t>
      </w:r>
    </w:p>
    <w:p>
      <w:pPr>
        <w:ind w:firstLine="562"/>
        <w:outlineLvl w:val="1"/>
        <w:rPr>
          <w:rFonts w:ascii="黑体" w:hAnsi="黑体" w:eastAsia="黑体"/>
          <w:b/>
          <w:bCs/>
          <w:sz w:val="28"/>
          <w:szCs w:val="28"/>
        </w:rPr>
      </w:pPr>
      <w:bookmarkStart w:id="95" w:name="_Toc203057724"/>
      <w:r>
        <w:rPr>
          <w:rFonts w:hint="eastAsia" w:ascii="黑体" w:hAnsi="黑体" w:eastAsia="黑体"/>
          <w:b/>
          <w:bCs/>
          <w:sz w:val="28"/>
          <w:szCs w:val="28"/>
        </w:rPr>
        <w:t>5</w:t>
      </w:r>
      <w:r>
        <w:rPr>
          <w:rFonts w:ascii="黑体" w:hAnsi="黑体" w:eastAsia="黑体"/>
          <w:b/>
          <w:bCs/>
          <w:sz w:val="28"/>
          <w:szCs w:val="28"/>
        </w:rPr>
        <w:t>.4 提升企业知识产权管理水平</w:t>
      </w:r>
      <w:r>
        <w:rPr>
          <w:rFonts w:hint="eastAsia" w:ascii="MS Gothic" w:hAnsi="MS Gothic" w:eastAsia="MS Gothic" w:cs="MS Gothic"/>
          <w:b/>
          <w:bCs/>
          <w:sz w:val="28"/>
          <w:szCs w:val="28"/>
        </w:rPr>
        <w:t>​</w:t>
      </w:r>
      <w:bookmarkEnd w:id="95"/>
    </w:p>
    <w:p>
      <w:pPr>
        <w:pStyle w:val="2"/>
        <w:ind w:firstLine="480"/>
      </w:pPr>
      <w:r>
        <w:t>建立健全知识产权管理制度：企业应制定完善的知识产权管理制度，明确知识产权的创造、运用、保护和管理等各个环节的职责和流程。设立专门的知识产权管理部门或岗位，配备专业人员，负责企业知识产权事务的日常管理。例如，制定专利申请流程规范，从技术创新的提出、评估到专利申请文件的撰写、提交等环节，都有明确的规定和责任人。同时，建立商标使用管理制度，规范商标的使用范围、使用方式以及商标标识的制作和管理等。辰骐环保新材料科技公司在扩大生产规模和拓展海外市场的过程中，应建立健全知识产权管理制度，确保知识产权工作的有序开展。​</w:t>
      </w:r>
    </w:p>
    <w:p>
      <w:pPr>
        <w:pStyle w:val="2"/>
        <w:ind w:firstLine="480"/>
      </w:pPr>
      <w:r>
        <w:t>加强员工知识产权培训：对企业员工进行定期的知识产权培训，提高员工的知识产权意识和法律素养。培训内容可包括知识产权法律法规、专利申请与保护、商标注册与使用、著作权保护等方面的知识。通过培训，使员工了解知识产权的重要性，掌握在日常工作中如何避免知识产权侵权行为。例如，对于从事产品设计的员工，要培训其如何进行专利检索，避免设计方案侵犯他人专利权；对于市场营销人员，要培训其在宣传推广过程中如何正确使用商标和避免使用未经授权的图片、文字等。泉林秸秆高科环保股份有限公司可定期组织员工参加知识产权培训，提升全体员工的知识产权意识。​</w:t>
      </w:r>
    </w:p>
    <w:p>
      <w:pPr>
        <w:pStyle w:val="2"/>
        <w:ind w:firstLine="480"/>
      </w:pPr>
      <w:r>
        <w:t>完善知识产权档案管理：企业应建立完善的知识产权档案，对企业的专利申请文件、商标注册证书、著作权登记证书、授权许可文件、侵权纠纷处理记录等资料进行分类整理和妥善保存。知识产权档案不仅是企业知识产权资产的重要体现，也是在发生知识产权纠纷时，企业进行维权和抗辩的重要证据。例如，在应对专利侵权诉讼时，企业可以通过查阅专利申请文件，证明自己的技术创新在先，或者通过授权许可文件，证明自己的使用行为合法。聊城的一次性餐具企业应重视知识产权档案管理，为知识产权保护提供有力支持。​</w:t>
      </w:r>
    </w:p>
    <w:p>
      <w:pPr>
        <w:ind w:firstLine="562"/>
        <w:outlineLvl w:val="1"/>
        <w:rPr>
          <w:rFonts w:ascii="黑体" w:hAnsi="黑体" w:eastAsia="黑体"/>
          <w:b/>
          <w:bCs/>
          <w:sz w:val="28"/>
          <w:szCs w:val="28"/>
        </w:rPr>
      </w:pPr>
      <w:bookmarkStart w:id="96" w:name="_Toc203057725"/>
      <w:r>
        <w:rPr>
          <w:rFonts w:hint="eastAsia" w:ascii="黑体" w:hAnsi="黑体" w:eastAsia="黑体"/>
          <w:b/>
          <w:bCs/>
          <w:sz w:val="28"/>
          <w:szCs w:val="28"/>
        </w:rPr>
        <w:t>5</w:t>
      </w:r>
      <w:r>
        <w:rPr>
          <w:rFonts w:ascii="黑体" w:hAnsi="黑体" w:eastAsia="黑体"/>
          <w:b/>
          <w:bCs/>
          <w:sz w:val="28"/>
          <w:szCs w:val="28"/>
        </w:rPr>
        <w:t>.5 积极应对知识产权纠纷</w:t>
      </w:r>
      <w:r>
        <w:rPr>
          <w:rFonts w:hint="eastAsia" w:ascii="MS Gothic" w:hAnsi="MS Gothic" w:eastAsia="MS Gothic" w:cs="MS Gothic"/>
          <w:b/>
          <w:bCs/>
          <w:sz w:val="28"/>
          <w:szCs w:val="28"/>
        </w:rPr>
        <w:t>​</w:t>
      </w:r>
      <w:bookmarkEnd w:id="96"/>
    </w:p>
    <w:p>
      <w:pPr>
        <w:pStyle w:val="2"/>
        <w:ind w:firstLine="480"/>
      </w:pPr>
      <w:r>
        <w:t>建立纠纷应对机制：企业应制定知识产权纠纷应对预案，明确在发生纠纷时的应对流程和责任分工。当收到知识产权侵权指控时，企业能够迅速启动应对机制，组织专业的法律团队和技术人员进行分析和评估。例如，成立由法务人员、技术专家、高层管理人员组成的知识产权纠纷应对小组，负责与对方沟通、收集证据、制定应对策略等工作。泰德实业等企业可提前制定知识产权纠纷应对预案，以便在遇到纠纷时能够迅速做出反应。​</w:t>
      </w:r>
    </w:p>
    <w:p>
      <w:pPr>
        <w:pStyle w:val="2"/>
        <w:ind w:firstLine="480"/>
      </w:pPr>
      <w:r>
        <w:t>合理选择纠纷解决方式：在应对知识产权纠纷时，企业应根据具体情况合理选择纠纷解决方式。对于一些争议较小、涉及金额不大的纠纷，可以尝试通过协商、调解等方式解决，以降低成本和维护企业间的合作关系。例如，在商标侵权纠纷中，如果双方争议焦点在于商标的相似程度和使用范围，企业可以通过与对方协商，签订商标共存协议或调整自己的商标使用方式，避免进入诉讼程序。对于一些争议较大、无法通过协商解决的纠纷，则应积极应诉，维护自己的合法权益。在应诉过程中，企业要充分收集证据，如研发记录、专利申请文件、商标使用证据等，证明自己的行为不构成侵权或具有合法的抗辩理由。泉林秸秆高科环保股份有限公司在遇到知识产权纠纷时，应根据纠纷的具体情况，合理选择解决方式，维护企业的利益。​</w:t>
      </w:r>
    </w:p>
    <w:p>
      <w:pPr>
        <w:pStyle w:val="2"/>
        <w:ind w:firstLine="480"/>
      </w:pPr>
      <w:r>
        <w:t>寻求外部支持与合作：在应对海外知识产权纠纷时，企业可以寻求行业协会、政府部门以及专业知识产权服务机构的支持与合作。行业协会可以利用其行业资源和影响力，为企业提供专业建议和协调服务。政府部门可以在政策层面给予支持和指导，帮助企业维护合法权益。例如，聊城市市场监督管理局、知识产权事业发展中心等部门可以为企业提供海外知识产权维权援助，组织专家为企业进行纠纷应对指导。专业知识产权服务机构，如律师事务所、专利代理机构等，具有丰富的经验和专业知识，能够为企业提供高质量的法律服务和技术支持。企业可以与这些机构建立长期合作关系，在遇到纠纷时及时获得专业帮助。聊城的一次性餐具企业在面临海外知识产权纠纷时，应积极寻求外部支持，共同应对挑战。</w:t>
      </w:r>
    </w:p>
    <w:p>
      <w:pPr>
        <w:pStyle w:val="2"/>
        <w:ind w:firstLine="480"/>
      </w:pPr>
      <w:r>
        <w:br w:type="page"/>
      </w:r>
    </w:p>
    <w:p>
      <w:pPr>
        <w:ind w:firstLine="0" w:firstLineChars="0"/>
        <w:jc w:val="center"/>
        <w:outlineLvl w:val="0"/>
        <w:rPr>
          <w:rFonts w:ascii="宋体" w:hAnsi="宋体"/>
          <w:b/>
          <w:bCs/>
          <w:sz w:val="30"/>
          <w:szCs w:val="30"/>
        </w:rPr>
      </w:pPr>
      <w:bookmarkStart w:id="97" w:name="_Toc203057726"/>
      <w:bookmarkStart w:id="98" w:name="_Toc199407992"/>
      <w:r>
        <w:rPr>
          <w:rFonts w:hint="eastAsia" w:ascii="宋体" w:hAnsi="宋体"/>
          <w:b/>
          <w:bCs/>
          <w:sz w:val="30"/>
          <w:szCs w:val="30"/>
        </w:rPr>
        <w:t>附件1：</w:t>
      </w:r>
      <w:r>
        <w:rPr>
          <w:rFonts w:ascii="宋体" w:hAnsi="宋体"/>
          <w:b/>
          <w:bCs/>
          <w:sz w:val="30"/>
          <w:szCs w:val="30"/>
        </w:rPr>
        <w:t>海外知识产权侵权风险防控标准化流程</w:t>
      </w:r>
      <w:bookmarkEnd w:id="97"/>
      <w:bookmarkEnd w:id="98"/>
    </w:p>
    <w:p>
      <w:pPr>
        <w:ind w:firstLine="482"/>
        <w:rPr>
          <w:rFonts w:ascii="宋体" w:hAnsi="宋体"/>
          <w:b/>
          <w:bCs/>
        </w:rPr>
      </w:pPr>
      <w:r>
        <w:rPr>
          <w:rFonts w:ascii="宋体" w:hAnsi="宋体"/>
          <w:b/>
          <w:bCs/>
        </w:rPr>
        <w:t>一、前期调研与风险识别</w:t>
      </w:r>
    </w:p>
    <w:p>
      <w:pPr>
        <w:ind w:firstLine="482"/>
        <w:rPr>
          <w:rFonts w:ascii="宋体" w:hAnsi="宋体"/>
          <w:b/>
          <w:bCs/>
        </w:rPr>
      </w:pPr>
      <w:r>
        <w:rPr>
          <w:rFonts w:ascii="宋体" w:hAnsi="宋体"/>
          <w:b/>
          <w:bCs/>
        </w:rPr>
        <w:t>1.明确目标市场知识产权法律体系</w:t>
      </w:r>
    </w:p>
    <w:p>
      <w:pPr>
        <w:ind w:firstLine="480"/>
        <w:rPr>
          <w:rFonts w:ascii="宋体" w:hAnsi="宋体"/>
        </w:rPr>
      </w:pPr>
      <w:r>
        <w:rPr>
          <w:rFonts w:ascii="宋体" w:hAnsi="宋体"/>
        </w:rPr>
        <w:t>调研内容：</w:t>
      </w:r>
    </w:p>
    <w:p>
      <w:pPr>
        <w:ind w:firstLine="480"/>
        <w:rPr>
          <w:rFonts w:ascii="宋体" w:hAnsi="宋体"/>
        </w:rPr>
      </w:pPr>
      <w:r>
        <w:rPr>
          <w:rFonts w:ascii="宋体" w:hAnsi="宋体"/>
        </w:rPr>
        <w:t>目标国家/地区的知识产权法律类型（如大陆法系、普通法系）、专利/商标/版权的保护范围及期限。</w:t>
      </w:r>
    </w:p>
    <w:p>
      <w:pPr>
        <w:ind w:firstLine="480"/>
        <w:rPr>
          <w:rFonts w:ascii="宋体" w:hAnsi="宋体"/>
        </w:rPr>
      </w:pPr>
      <w:r>
        <w:rPr>
          <w:rFonts w:ascii="宋体" w:hAnsi="宋体"/>
        </w:rPr>
        <w:t>特殊法律要求：例如欧盟对药品专利的补充保护证书（SPC）、美国对外观设计专利的“实质相似”判定标准等。</w:t>
      </w:r>
    </w:p>
    <w:p>
      <w:pPr>
        <w:ind w:firstLine="480"/>
        <w:rPr>
          <w:rFonts w:ascii="宋体" w:hAnsi="宋体"/>
        </w:rPr>
      </w:pPr>
      <w:r>
        <w:rPr>
          <w:rFonts w:ascii="宋体" w:hAnsi="宋体"/>
        </w:rPr>
        <w:t>工具与渠道：</w:t>
      </w:r>
    </w:p>
    <w:p>
      <w:pPr>
        <w:ind w:firstLine="480"/>
        <w:rPr>
          <w:rFonts w:ascii="宋体" w:hAnsi="宋体"/>
        </w:rPr>
      </w:pPr>
      <w:r>
        <w:rPr>
          <w:rFonts w:ascii="宋体" w:hAnsi="宋体"/>
        </w:rPr>
        <w:t>官方数据库：美国专利商标局（USPTO）、欧洲知识产权局（EPO）、世界知识产权组织（WIPO）等。</w:t>
      </w:r>
    </w:p>
    <w:p>
      <w:pPr>
        <w:ind w:firstLine="480"/>
        <w:rPr>
          <w:rFonts w:ascii="宋体" w:hAnsi="宋体"/>
        </w:rPr>
      </w:pPr>
      <w:r>
        <w:rPr>
          <w:rFonts w:ascii="宋体" w:hAnsi="宋体"/>
        </w:rPr>
        <w:t>专业机构：委托当地律所或知识产权代理机构提供法律合规报告。</w:t>
      </w:r>
    </w:p>
    <w:p>
      <w:pPr>
        <w:ind w:firstLine="482"/>
        <w:rPr>
          <w:rFonts w:ascii="宋体" w:hAnsi="宋体"/>
          <w:b/>
          <w:bCs/>
        </w:rPr>
      </w:pPr>
      <w:r>
        <w:rPr>
          <w:rFonts w:ascii="宋体" w:hAnsi="宋体"/>
          <w:b/>
          <w:bCs/>
        </w:rPr>
        <w:t>2.全面排查自身知识产权状态</w:t>
      </w:r>
    </w:p>
    <w:p>
      <w:pPr>
        <w:ind w:firstLine="480"/>
        <w:rPr>
          <w:rFonts w:ascii="宋体" w:hAnsi="宋体"/>
        </w:rPr>
      </w:pPr>
      <w:r>
        <w:rPr>
          <w:rFonts w:ascii="宋体" w:hAnsi="宋体"/>
        </w:rPr>
        <w:t>内部资产盘点：</w:t>
      </w:r>
    </w:p>
    <w:p>
      <w:pPr>
        <w:ind w:firstLine="480"/>
        <w:rPr>
          <w:rFonts w:ascii="宋体" w:hAnsi="宋体"/>
        </w:rPr>
      </w:pPr>
      <w:r>
        <w:rPr>
          <w:rFonts w:ascii="宋体" w:hAnsi="宋体"/>
        </w:rPr>
        <w:t>梳理核心技术、产品设计、品牌标识等，明确是否已在目标市场申请专利、商标或版权登记。</w:t>
      </w:r>
    </w:p>
    <w:p>
      <w:pPr>
        <w:ind w:firstLine="480"/>
        <w:rPr>
          <w:rFonts w:ascii="宋体" w:hAnsi="宋体"/>
        </w:rPr>
      </w:pPr>
      <w:r>
        <w:rPr>
          <w:rFonts w:ascii="宋体" w:hAnsi="宋体"/>
        </w:rPr>
        <w:t>示例：某消费电子企业需确认其产品的外观设计、芯片技术是否在欧盟申请外观专利或发明专利。</w:t>
      </w:r>
    </w:p>
    <w:p>
      <w:pPr>
        <w:ind w:firstLine="480"/>
        <w:rPr>
          <w:rFonts w:ascii="宋体" w:hAnsi="宋体"/>
        </w:rPr>
      </w:pPr>
      <w:r>
        <w:rPr>
          <w:rFonts w:ascii="宋体" w:hAnsi="宋体"/>
        </w:rPr>
        <w:t>权利稳定性审查：</w:t>
      </w:r>
    </w:p>
    <w:p>
      <w:pPr>
        <w:ind w:firstLine="480"/>
        <w:rPr>
          <w:rFonts w:ascii="宋体" w:hAnsi="宋体"/>
        </w:rPr>
      </w:pPr>
      <w:r>
        <w:rPr>
          <w:rFonts w:ascii="宋体" w:hAnsi="宋体"/>
        </w:rPr>
        <w:t>对已获授权的知识产权，核查是否存在权利瑕疵（如专利新颖性缺陷、商标显著性不足），避免因权利不稳定引发侵权指控。</w:t>
      </w:r>
    </w:p>
    <w:p>
      <w:pPr>
        <w:ind w:firstLine="482"/>
        <w:rPr>
          <w:rFonts w:ascii="宋体" w:hAnsi="宋体"/>
          <w:b/>
          <w:bCs/>
        </w:rPr>
      </w:pPr>
      <w:r>
        <w:rPr>
          <w:rFonts w:ascii="宋体" w:hAnsi="宋体"/>
          <w:b/>
          <w:bCs/>
        </w:rPr>
        <w:t>3.竞品与核心技术的侵权预警</w:t>
      </w:r>
    </w:p>
    <w:p>
      <w:pPr>
        <w:ind w:firstLine="480"/>
        <w:rPr>
          <w:rFonts w:ascii="宋体" w:hAnsi="宋体"/>
        </w:rPr>
      </w:pPr>
      <w:r>
        <w:rPr>
          <w:rFonts w:ascii="宋体" w:hAnsi="宋体"/>
        </w:rPr>
        <w:t>FTO（自由实施）调查：</w:t>
      </w:r>
    </w:p>
    <w:p>
      <w:pPr>
        <w:ind w:firstLine="480"/>
        <w:rPr>
          <w:rFonts w:ascii="宋体" w:hAnsi="宋体"/>
        </w:rPr>
      </w:pPr>
      <w:r>
        <w:rPr>
          <w:rFonts w:ascii="宋体" w:hAnsi="宋体"/>
        </w:rPr>
        <w:t>针对核心产品或技术，检索目标市场的现有专利、商标注册信息，分析是否落入他人权利保护范围。</w:t>
      </w:r>
    </w:p>
    <w:p>
      <w:pPr>
        <w:ind w:firstLine="480"/>
        <w:rPr>
          <w:rFonts w:ascii="宋体" w:hAnsi="宋体"/>
        </w:rPr>
      </w:pPr>
      <w:r>
        <w:rPr>
          <w:rFonts w:ascii="宋体" w:hAnsi="宋体"/>
        </w:rPr>
        <w:t>案例：某新能源企业出口电池组件前，通过FTO检索发现其电池热管理技术与美国某公司专利的权利要求高度重叠，及时调整技术路线避免侵权。</w:t>
      </w:r>
    </w:p>
    <w:p>
      <w:pPr>
        <w:ind w:firstLine="480"/>
        <w:rPr>
          <w:rFonts w:ascii="宋体" w:hAnsi="宋体"/>
        </w:rPr>
      </w:pPr>
      <w:r>
        <w:rPr>
          <w:rFonts w:ascii="宋体" w:hAnsi="宋体"/>
        </w:rPr>
        <w:t>商标clearance搜索：</w:t>
      </w:r>
    </w:p>
    <w:p>
      <w:pPr>
        <w:ind w:firstLine="480"/>
        <w:rPr>
          <w:rFonts w:ascii="宋体" w:hAnsi="宋体"/>
        </w:rPr>
      </w:pPr>
      <w:r>
        <w:rPr>
          <w:rFonts w:ascii="宋体" w:hAnsi="宋体"/>
        </w:rPr>
        <w:t>确认企业品牌、产品名称、Logo等是否与目标市场已注册商标构成近似或相同，尤其注意跨类别近似（如服装类商标与箱包类的关联）。</w:t>
      </w:r>
    </w:p>
    <w:p>
      <w:pPr>
        <w:ind w:firstLine="482"/>
        <w:rPr>
          <w:rFonts w:ascii="宋体" w:hAnsi="宋体"/>
          <w:b/>
          <w:bCs/>
        </w:rPr>
      </w:pPr>
      <w:r>
        <w:rPr>
          <w:rFonts w:ascii="宋体" w:hAnsi="宋体"/>
          <w:b/>
          <w:bCs/>
        </w:rPr>
        <w:t>二、风险评估与分级管理</w:t>
      </w:r>
    </w:p>
    <w:p>
      <w:pPr>
        <w:ind w:firstLine="482"/>
        <w:rPr>
          <w:rFonts w:ascii="宋体" w:hAnsi="宋体"/>
          <w:b/>
          <w:bCs/>
        </w:rPr>
      </w:pPr>
      <w:r>
        <w:rPr>
          <w:rFonts w:ascii="宋体" w:hAnsi="宋体"/>
          <w:b/>
          <w:bCs/>
        </w:rPr>
        <w:t>1.建立侵权风险评估模型</w:t>
      </w:r>
    </w:p>
    <w:p>
      <w:pPr>
        <w:ind w:firstLine="480"/>
        <w:rPr>
          <w:rFonts w:ascii="宋体" w:hAnsi="宋体"/>
        </w:rPr>
      </w:pPr>
      <w:r>
        <w:rPr>
          <w:rFonts w:ascii="宋体" w:hAnsi="宋体"/>
        </w:rPr>
        <w:t>评估维度：</w:t>
      </w:r>
    </w:p>
    <w:tbl>
      <w:tblPr>
        <w:tblStyle w:val="21"/>
        <w:tblW w:w="808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208"/>
        <w:gridCol w:w="5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blHeader/>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风险维度</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评估标准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法律合规性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目标国法律对知识产权的保护强度、司法实践倾向（如美国的“禁令救济”门槛）。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侵权可能性</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技术特征比对（专利）、商标近似度（商标）、实质性相似（版权）。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atLeast"/>
        </w:trPr>
        <w:tc>
          <w:tcPr>
            <w:tcW w:w="2208" w:type="dxa"/>
            <w:tcMar>
              <w:top w:w="180" w:type="dxa"/>
              <w:left w:w="270" w:type="dxa"/>
              <w:bottom w:w="180" w:type="dxa"/>
              <w:right w:w="270" w:type="dxa"/>
            </w:tcMar>
            <w:vAlign w:val="center"/>
          </w:tcPr>
          <w:p>
            <w:pPr>
              <w:ind w:firstLine="480"/>
              <w:jc w:val="center"/>
              <w:rPr>
                <w:rFonts w:ascii="宋体" w:hAnsi="宋体"/>
              </w:rPr>
            </w:pPr>
            <w:r>
              <w:rPr>
                <w:rFonts w:ascii="宋体" w:hAnsi="宋体"/>
              </w:rPr>
              <w:t>商业影响</w:t>
            </w:r>
          </w:p>
        </w:tc>
        <w:tc>
          <w:tcPr>
            <w:tcW w:w="5872" w:type="dxa"/>
            <w:tcMar>
              <w:top w:w="180" w:type="dxa"/>
              <w:left w:w="270" w:type="dxa"/>
              <w:bottom w:w="180" w:type="dxa"/>
              <w:right w:w="270" w:type="dxa"/>
            </w:tcMar>
            <w:vAlign w:val="center"/>
          </w:tcPr>
          <w:p>
            <w:pPr>
              <w:ind w:firstLine="480"/>
              <w:jc w:val="center"/>
              <w:rPr>
                <w:rFonts w:ascii="宋体" w:hAnsi="宋体"/>
              </w:rPr>
            </w:pPr>
            <w:r>
              <w:rPr>
                <w:rFonts w:ascii="宋体" w:hAnsi="宋体"/>
              </w:rPr>
              <w:t>潜在赔偿金额、市场禁售风险、品牌声誉损失。</w:t>
            </w:r>
          </w:p>
        </w:tc>
      </w:tr>
    </w:tbl>
    <w:p>
      <w:pPr>
        <w:ind w:firstLine="480"/>
        <w:rPr>
          <w:rFonts w:ascii="宋体" w:hAnsi="宋体"/>
        </w:rPr>
      </w:pPr>
      <w:r>
        <w:rPr>
          <w:rFonts w:ascii="宋体" w:hAnsi="宋体"/>
        </w:rPr>
        <w:t>风险分级：</w:t>
      </w:r>
    </w:p>
    <w:p>
      <w:pPr>
        <w:ind w:firstLine="480"/>
        <w:rPr>
          <w:rFonts w:ascii="宋体" w:hAnsi="宋体"/>
        </w:rPr>
      </w:pPr>
      <w:r>
        <w:rPr>
          <w:rFonts w:ascii="宋体" w:hAnsi="宋体"/>
        </w:rPr>
        <w:t>高风险：直接侵权且无有效抗辩理由，可能面临高额赔偿或禁令（如仿制药企业未获强制许可生产专利药）。</w:t>
      </w:r>
    </w:p>
    <w:p>
      <w:pPr>
        <w:ind w:firstLine="480"/>
        <w:rPr>
          <w:rFonts w:ascii="宋体" w:hAnsi="宋体"/>
        </w:rPr>
      </w:pPr>
      <w:r>
        <w:rPr>
          <w:rFonts w:ascii="宋体" w:hAnsi="宋体"/>
        </w:rPr>
        <w:t>中风险：存在权利冲突或边缘性侵权，需通过法律程序（如专利无效、商标异议）解决。</w:t>
      </w:r>
    </w:p>
    <w:p>
      <w:pPr>
        <w:ind w:firstLine="480"/>
        <w:rPr>
          <w:rFonts w:ascii="宋体" w:hAnsi="宋体"/>
        </w:rPr>
      </w:pPr>
      <w:r>
        <w:rPr>
          <w:rFonts w:ascii="宋体" w:hAnsi="宋体"/>
        </w:rPr>
        <w:t>低风险：非实质性侵权或权利状态不明确，可通过优化设计规避。</w:t>
      </w:r>
    </w:p>
    <w:p>
      <w:pPr>
        <w:ind w:firstLine="482"/>
        <w:rPr>
          <w:rFonts w:ascii="宋体" w:hAnsi="宋体"/>
          <w:b/>
          <w:bCs/>
        </w:rPr>
      </w:pPr>
      <w:r>
        <w:rPr>
          <w:rFonts w:ascii="宋体" w:hAnsi="宋体"/>
          <w:b/>
          <w:bCs/>
        </w:rPr>
        <w:t>2.制定风险应对优先级</w:t>
      </w:r>
    </w:p>
    <w:p>
      <w:pPr>
        <w:ind w:firstLine="480"/>
        <w:rPr>
          <w:rFonts w:ascii="宋体" w:hAnsi="宋体"/>
        </w:rPr>
      </w:pPr>
      <w:r>
        <w:rPr>
          <w:rFonts w:ascii="宋体" w:hAnsi="宋体"/>
        </w:rPr>
        <w:t>高风险事项：立即启动技术规避或获取许可，必要时调整市场进入策略。</w:t>
      </w:r>
    </w:p>
    <w:p>
      <w:pPr>
        <w:ind w:firstLine="480"/>
        <w:rPr>
          <w:rFonts w:ascii="宋体" w:hAnsi="宋体"/>
        </w:rPr>
      </w:pPr>
      <w:r>
        <w:rPr>
          <w:rFonts w:ascii="宋体" w:hAnsi="宋体"/>
        </w:rPr>
        <w:t>中风险事项：在产品上市前完成权利冲突解决（如申请专利无效、提交商标异议）。</w:t>
      </w:r>
    </w:p>
    <w:p>
      <w:pPr>
        <w:ind w:firstLine="480"/>
        <w:rPr>
          <w:rFonts w:ascii="宋体" w:hAnsi="宋体"/>
        </w:rPr>
      </w:pPr>
      <w:r>
        <w:rPr>
          <w:rFonts w:ascii="宋体" w:hAnsi="宋体"/>
        </w:rPr>
        <w:t>低风险事项：持续监控市场动态，保留研发记录以备抗辩。</w:t>
      </w:r>
    </w:p>
    <w:p>
      <w:pPr>
        <w:ind w:firstLine="482"/>
        <w:rPr>
          <w:rFonts w:ascii="宋体" w:hAnsi="宋体"/>
          <w:b/>
          <w:bCs/>
        </w:rPr>
      </w:pPr>
      <w:r>
        <w:rPr>
          <w:rFonts w:ascii="宋体" w:hAnsi="宋体"/>
          <w:b/>
          <w:bCs/>
        </w:rPr>
        <w:t>三、风险控制与合规布局</w:t>
      </w:r>
    </w:p>
    <w:p>
      <w:pPr>
        <w:ind w:firstLine="482"/>
        <w:rPr>
          <w:rFonts w:ascii="宋体" w:hAnsi="宋体"/>
          <w:b/>
          <w:bCs/>
        </w:rPr>
      </w:pPr>
      <w:r>
        <w:rPr>
          <w:rFonts w:ascii="宋体" w:hAnsi="宋体"/>
          <w:b/>
          <w:bCs/>
        </w:rPr>
        <w:t>1.知识产权海外布局策略</w:t>
      </w:r>
    </w:p>
    <w:p>
      <w:pPr>
        <w:ind w:firstLine="480"/>
        <w:rPr>
          <w:rFonts w:ascii="宋体" w:hAnsi="宋体"/>
        </w:rPr>
      </w:pPr>
      <w:r>
        <w:rPr>
          <w:rFonts w:ascii="宋体" w:hAnsi="宋体"/>
        </w:rPr>
        <w:t>专利布局：</w:t>
      </w:r>
    </w:p>
    <w:p>
      <w:pPr>
        <w:ind w:firstLine="480"/>
        <w:rPr>
          <w:rFonts w:ascii="宋体" w:hAnsi="宋体"/>
        </w:rPr>
      </w:pPr>
      <w:r>
        <w:rPr>
          <w:rFonts w:ascii="宋体" w:hAnsi="宋体"/>
        </w:rPr>
        <w:t>通过《专利合作条约》（PCT）或巴黎公约途径申请国际专利，重点布局核心技术和改进技术。</w:t>
      </w:r>
    </w:p>
    <w:p>
      <w:pPr>
        <w:ind w:firstLine="480"/>
        <w:rPr>
          <w:rFonts w:ascii="宋体" w:hAnsi="宋体"/>
        </w:rPr>
      </w:pPr>
      <w:r>
        <w:rPr>
          <w:rFonts w:ascii="宋体" w:hAnsi="宋体"/>
        </w:rPr>
        <w:t>示例：中国车企在欧洲申请电动车电池专利时，同步布局快充技术的系列专利，形成专利壁垒。</w:t>
      </w:r>
    </w:p>
    <w:p>
      <w:pPr>
        <w:ind w:firstLine="480"/>
        <w:rPr>
          <w:rFonts w:ascii="宋体" w:hAnsi="宋体"/>
        </w:rPr>
      </w:pPr>
      <w:r>
        <w:rPr>
          <w:rFonts w:ascii="宋体" w:hAnsi="宋体"/>
        </w:rPr>
        <w:t>商标先行注册：</w:t>
      </w:r>
    </w:p>
    <w:p>
      <w:pPr>
        <w:ind w:firstLine="480"/>
        <w:rPr>
          <w:rFonts w:ascii="宋体" w:hAnsi="宋体"/>
        </w:rPr>
      </w:pPr>
      <w:r>
        <w:rPr>
          <w:rFonts w:ascii="宋体" w:hAnsi="宋体"/>
        </w:rPr>
        <w:t>遵循“注册在先”原则，在产品上市前6-12个月申请商标，覆盖核心类别及关联类别（如第9类电子产品、第35类广告销售）。</w:t>
      </w:r>
    </w:p>
    <w:p>
      <w:pPr>
        <w:ind w:firstLine="480"/>
        <w:rPr>
          <w:rFonts w:ascii="宋体" w:hAnsi="宋体"/>
        </w:rPr>
      </w:pPr>
      <w:r>
        <w:rPr>
          <w:rFonts w:ascii="宋体" w:hAnsi="宋体"/>
        </w:rPr>
        <w:t>防御性注册：在目标市场注册近似商标，防止他人恶意抢注（如“华为”在全球多个国家注册“HUAWEI”及图形商标）。</w:t>
      </w:r>
    </w:p>
    <w:p>
      <w:pPr>
        <w:ind w:firstLine="480"/>
        <w:rPr>
          <w:rFonts w:ascii="宋体" w:hAnsi="宋体"/>
        </w:rPr>
      </w:pPr>
      <w:r>
        <w:rPr>
          <w:rFonts w:ascii="宋体" w:hAnsi="宋体"/>
        </w:rPr>
        <w:t>版权登记：</w:t>
      </w:r>
    </w:p>
    <w:p>
      <w:pPr>
        <w:ind w:firstLine="480"/>
        <w:rPr>
          <w:rFonts w:ascii="宋体" w:hAnsi="宋体"/>
        </w:rPr>
      </w:pPr>
      <w:r>
        <w:rPr>
          <w:rFonts w:ascii="宋体" w:hAnsi="宋体"/>
        </w:rPr>
        <w:t>对软件代码、产品设计图、包装装潢等及时在当地进行版权登记，作为侵权诉讼的初步证据。</w:t>
      </w:r>
    </w:p>
    <w:p>
      <w:pPr>
        <w:ind w:firstLine="482"/>
        <w:rPr>
          <w:rFonts w:ascii="宋体" w:hAnsi="宋体"/>
          <w:b/>
          <w:bCs/>
        </w:rPr>
      </w:pPr>
      <w:r>
        <w:rPr>
          <w:rFonts w:ascii="宋体" w:hAnsi="宋体"/>
          <w:b/>
          <w:bCs/>
        </w:rPr>
        <w:t>2.供应链与合作伙伴合规管理</w:t>
      </w:r>
    </w:p>
    <w:p>
      <w:pPr>
        <w:ind w:firstLine="480"/>
        <w:rPr>
          <w:rFonts w:ascii="宋体" w:hAnsi="宋体"/>
        </w:rPr>
      </w:pPr>
      <w:r>
        <w:rPr>
          <w:rFonts w:ascii="宋体" w:hAnsi="宋体"/>
        </w:rPr>
        <w:t>供应商审查：</w:t>
      </w:r>
    </w:p>
    <w:p>
      <w:pPr>
        <w:ind w:firstLine="480"/>
        <w:rPr>
          <w:rFonts w:ascii="宋体" w:hAnsi="宋体"/>
        </w:rPr>
      </w:pPr>
      <w:r>
        <w:rPr>
          <w:rFonts w:ascii="宋体" w:hAnsi="宋体"/>
        </w:rPr>
        <w:t>要求供应商提供知识产权声明，确保原材料、零部件不侵犯第三方权利（如使用开源软件需遵守GPL协议）。</w:t>
      </w:r>
    </w:p>
    <w:p>
      <w:pPr>
        <w:ind w:firstLine="480"/>
        <w:rPr>
          <w:rFonts w:ascii="宋体" w:hAnsi="宋体"/>
        </w:rPr>
      </w:pPr>
      <w:r>
        <w:rPr>
          <w:rFonts w:ascii="宋体" w:hAnsi="宋体"/>
        </w:rPr>
        <w:t>合同条款设计：</w:t>
      </w:r>
    </w:p>
    <w:p>
      <w:pPr>
        <w:ind w:firstLine="480"/>
        <w:rPr>
          <w:rFonts w:ascii="宋体" w:hAnsi="宋体"/>
        </w:rPr>
      </w:pPr>
      <w:r>
        <w:rPr>
          <w:rFonts w:ascii="宋体" w:hAnsi="宋体"/>
        </w:rPr>
        <w:t>在采购、经销合同中明确知识产权担保条款，约定侵权赔偿责任归属（如“供应商需承担因专利侵权导致的全部损失”）。</w:t>
      </w:r>
    </w:p>
    <w:p>
      <w:pPr>
        <w:ind w:firstLine="480"/>
        <w:rPr>
          <w:rFonts w:ascii="宋体" w:hAnsi="宋体"/>
        </w:rPr>
      </w:pPr>
      <w:r>
        <w:rPr>
          <w:rFonts w:ascii="宋体" w:hAnsi="宋体"/>
        </w:rPr>
        <w:t>跨境电商平台合规：</w:t>
      </w:r>
    </w:p>
    <w:p>
      <w:pPr>
        <w:ind w:firstLine="480"/>
        <w:rPr>
          <w:rFonts w:ascii="宋体" w:hAnsi="宋体"/>
        </w:rPr>
      </w:pPr>
      <w:r>
        <w:rPr>
          <w:rFonts w:ascii="宋体" w:hAnsi="宋体"/>
        </w:rPr>
        <w:t>熟悉亚马逊、eBay等平台的知识产权投诉机制（如TRO临时禁令），建立产品上架前的知识产权筛查流程。</w:t>
      </w:r>
    </w:p>
    <w:p>
      <w:pPr>
        <w:ind w:firstLine="482"/>
        <w:rPr>
          <w:rFonts w:ascii="宋体" w:hAnsi="宋体"/>
          <w:b/>
          <w:bCs/>
        </w:rPr>
      </w:pPr>
      <w:r>
        <w:rPr>
          <w:rFonts w:ascii="宋体" w:hAnsi="宋体"/>
          <w:b/>
          <w:bCs/>
        </w:rPr>
        <w:t>3.技术规避与自由实施（FTO）方案</w:t>
      </w:r>
    </w:p>
    <w:p>
      <w:pPr>
        <w:ind w:firstLine="480"/>
        <w:rPr>
          <w:rFonts w:ascii="宋体" w:hAnsi="宋体"/>
        </w:rPr>
      </w:pPr>
      <w:r>
        <w:rPr>
          <w:rFonts w:ascii="宋体" w:hAnsi="宋体"/>
        </w:rPr>
        <w:t>专利规避设计（DesignAround）：</w:t>
      </w:r>
    </w:p>
    <w:p>
      <w:pPr>
        <w:ind w:firstLine="480"/>
        <w:rPr>
          <w:rFonts w:ascii="宋体" w:hAnsi="宋体"/>
        </w:rPr>
      </w:pPr>
      <w:r>
        <w:rPr>
          <w:rFonts w:ascii="宋体" w:hAnsi="宋体"/>
        </w:rPr>
        <w:t>修改侵权技术特征，如替换专利权利要求中的必要技术特征（如将“螺栓连接”改为“卡扣连接”），确保不落入保护范围。</w:t>
      </w:r>
    </w:p>
    <w:p>
      <w:pPr>
        <w:ind w:firstLine="480"/>
        <w:rPr>
          <w:rFonts w:ascii="宋体" w:hAnsi="宋体"/>
        </w:rPr>
      </w:pPr>
      <w:r>
        <w:rPr>
          <w:rFonts w:ascii="宋体" w:hAnsi="宋体"/>
        </w:rPr>
        <w:t>获取知识产权许可：</w:t>
      </w:r>
    </w:p>
    <w:p>
      <w:pPr>
        <w:ind w:firstLine="480"/>
        <w:rPr>
          <w:rFonts w:ascii="宋体" w:hAnsi="宋体"/>
        </w:rPr>
      </w:pPr>
      <w:r>
        <w:rPr>
          <w:rFonts w:ascii="宋体" w:hAnsi="宋体"/>
        </w:rPr>
        <w:t>通过交叉许可、分许可等方式与权利方合作（如高通与手机厂商的专利许可模式），支付合理许可费降低风险。</w:t>
      </w:r>
    </w:p>
    <w:p>
      <w:pPr>
        <w:ind w:firstLine="480"/>
        <w:rPr>
          <w:rFonts w:ascii="宋体" w:hAnsi="宋体"/>
        </w:rPr>
      </w:pPr>
      <w:r>
        <w:rPr>
          <w:rFonts w:ascii="宋体" w:hAnsi="宋体"/>
        </w:rPr>
        <w:t>利用法律例外条款：</w:t>
      </w:r>
    </w:p>
    <w:p>
      <w:pPr>
        <w:ind w:firstLine="480"/>
        <w:rPr>
          <w:rFonts w:ascii="宋体" w:hAnsi="宋体"/>
        </w:rPr>
      </w:pPr>
      <w:r>
        <w:rPr>
          <w:rFonts w:ascii="宋体" w:hAnsi="宋体"/>
        </w:rPr>
        <w:t>合理使用（版权）、先用权（专利）、权利用尽（商标）等原则，作为侵权抗辩的法律依据。</w:t>
      </w:r>
    </w:p>
    <w:p>
      <w:pPr>
        <w:ind w:firstLine="482"/>
        <w:rPr>
          <w:rFonts w:ascii="宋体" w:hAnsi="宋体"/>
          <w:b/>
          <w:bCs/>
        </w:rPr>
      </w:pPr>
      <w:r>
        <w:rPr>
          <w:rFonts w:ascii="宋体" w:hAnsi="宋体"/>
          <w:b/>
          <w:bCs/>
        </w:rPr>
        <w:t>四、侵权争议应对与救济</w:t>
      </w:r>
    </w:p>
    <w:p>
      <w:pPr>
        <w:ind w:firstLine="482"/>
        <w:rPr>
          <w:rFonts w:ascii="宋体" w:hAnsi="宋体"/>
          <w:b/>
          <w:bCs/>
        </w:rPr>
      </w:pPr>
      <w:r>
        <w:rPr>
          <w:rFonts w:ascii="宋体" w:hAnsi="宋体"/>
          <w:b/>
          <w:bCs/>
        </w:rPr>
        <w:t>1.建立侵权预警响应机制</w:t>
      </w:r>
    </w:p>
    <w:p>
      <w:pPr>
        <w:ind w:firstLine="480"/>
        <w:rPr>
          <w:rFonts w:ascii="宋体" w:hAnsi="宋体"/>
        </w:rPr>
      </w:pPr>
      <w:r>
        <w:rPr>
          <w:rFonts w:ascii="宋体" w:hAnsi="宋体"/>
        </w:rPr>
        <w:t>监测渠道：</w:t>
      </w:r>
    </w:p>
    <w:p>
      <w:pPr>
        <w:ind w:firstLine="480"/>
        <w:rPr>
          <w:rFonts w:ascii="宋体" w:hAnsi="宋体"/>
        </w:rPr>
      </w:pPr>
      <w:r>
        <w:rPr>
          <w:rFonts w:ascii="宋体" w:hAnsi="宋体"/>
        </w:rPr>
        <w:t>定期检索目标市场知识产权数据库，监控竞争对手的新申请动态。</w:t>
      </w:r>
    </w:p>
    <w:p>
      <w:pPr>
        <w:ind w:firstLine="480"/>
        <w:rPr>
          <w:rFonts w:ascii="宋体" w:hAnsi="宋体"/>
        </w:rPr>
      </w:pPr>
      <w:r>
        <w:rPr>
          <w:rFonts w:ascii="宋体" w:hAnsi="宋体"/>
        </w:rPr>
        <w:t>委托第三方机构提供侵权预警报告（如LexisNexis、Questel）。</w:t>
      </w:r>
    </w:p>
    <w:p>
      <w:pPr>
        <w:ind w:firstLine="480"/>
        <w:rPr>
          <w:rFonts w:ascii="宋体" w:hAnsi="宋体"/>
        </w:rPr>
      </w:pPr>
      <w:r>
        <w:rPr>
          <w:rFonts w:ascii="宋体" w:hAnsi="宋体"/>
        </w:rPr>
        <w:t>应急小组：</w:t>
      </w:r>
    </w:p>
    <w:p>
      <w:pPr>
        <w:ind w:firstLine="480"/>
        <w:rPr>
          <w:rFonts w:ascii="宋体" w:hAnsi="宋体"/>
        </w:rPr>
      </w:pPr>
      <w:r>
        <w:rPr>
          <w:rFonts w:ascii="宋体" w:hAnsi="宋体"/>
        </w:rPr>
        <w:t>组建由技术、法务、市场组成的应急团队，制定《侵权争议应对手册》，明确内部沟通流程和外部律师聘用标准。</w:t>
      </w:r>
    </w:p>
    <w:p>
      <w:pPr>
        <w:ind w:firstLine="482"/>
        <w:rPr>
          <w:rFonts w:ascii="宋体" w:hAnsi="宋体"/>
          <w:b/>
          <w:bCs/>
        </w:rPr>
      </w:pPr>
      <w:r>
        <w:rPr>
          <w:rFonts w:ascii="宋体" w:hAnsi="宋体"/>
          <w:b/>
          <w:bCs/>
        </w:rPr>
        <w:t>2.争议解决策略选择</w:t>
      </w:r>
    </w:p>
    <w:p>
      <w:pPr>
        <w:ind w:firstLine="480"/>
        <w:rPr>
          <w:rFonts w:ascii="宋体" w:hAnsi="宋体"/>
        </w:rPr>
      </w:pPr>
      <w:r>
        <w:rPr>
          <w:rFonts w:ascii="宋体" w:hAnsi="宋体"/>
        </w:rPr>
        <w:t>协商与和解：</w:t>
      </w:r>
    </w:p>
    <w:p>
      <w:pPr>
        <w:ind w:firstLine="480"/>
        <w:rPr>
          <w:rFonts w:ascii="宋体" w:hAnsi="宋体"/>
        </w:rPr>
      </w:pPr>
      <w:r>
        <w:rPr>
          <w:rFonts w:ascii="宋体" w:hAnsi="宋体"/>
        </w:rPr>
        <w:t>适用于侵权事实明确但损失较小的案件，通过谈判达成许可协议或赔偿方案，降低诉讼成本。</w:t>
      </w:r>
    </w:p>
    <w:p>
      <w:pPr>
        <w:ind w:firstLine="480"/>
        <w:rPr>
          <w:rFonts w:ascii="宋体" w:hAnsi="宋体"/>
        </w:rPr>
      </w:pPr>
      <w:r>
        <w:rPr>
          <w:rFonts w:ascii="宋体" w:hAnsi="宋体"/>
        </w:rPr>
        <w:t>行政程序：</w:t>
      </w:r>
    </w:p>
    <w:p>
      <w:pPr>
        <w:ind w:firstLine="480"/>
        <w:rPr>
          <w:rFonts w:ascii="宋体" w:hAnsi="宋体"/>
        </w:rPr>
      </w:pPr>
      <w:r>
        <w:rPr>
          <w:rFonts w:ascii="宋体" w:hAnsi="宋体"/>
        </w:rPr>
        <w:t>利用目标国的知识产权行政救济途径，如美国的USPTO专利审判和上诉委员会（PTAB）可申请专利无效，欧盟知识产权局（EUIPO）可申请商标撤销。</w:t>
      </w:r>
    </w:p>
    <w:p>
      <w:pPr>
        <w:ind w:firstLine="480"/>
        <w:rPr>
          <w:rFonts w:ascii="宋体" w:hAnsi="宋体"/>
        </w:rPr>
      </w:pPr>
      <w:r>
        <w:rPr>
          <w:rFonts w:ascii="宋体" w:hAnsi="宋体"/>
        </w:rPr>
        <w:t>司法诉讼：</w:t>
      </w:r>
    </w:p>
    <w:p>
      <w:pPr>
        <w:ind w:firstLine="480"/>
        <w:rPr>
          <w:rFonts w:ascii="宋体" w:hAnsi="宋体"/>
        </w:rPr>
      </w:pPr>
      <w:r>
        <w:rPr>
          <w:rFonts w:ascii="宋体" w:hAnsi="宋体"/>
        </w:rPr>
        <w:t>主动发起确认不侵权之诉（如中国企业在美遭遇337调查时，可在深圳中院提起反请求），或积极应诉并提出抗辩理由（如专利无效、现有技术抗辩）。</w:t>
      </w:r>
    </w:p>
    <w:p>
      <w:pPr>
        <w:ind w:firstLine="480"/>
        <w:rPr>
          <w:rFonts w:ascii="宋体" w:hAnsi="宋体"/>
        </w:rPr>
      </w:pPr>
      <w:r>
        <w:rPr>
          <w:rFonts w:ascii="宋体" w:hAnsi="宋体"/>
        </w:rPr>
        <w:t>仲裁与调解：</w:t>
      </w:r>
    </w:p>
    <w:p>
      <w:pPr>
        <w:ind w:firstLine="480"/>
        <w:rPr>
          <w:rFonts w:ascii="宋体" w:hAnsi="宋体"/>
        </w:rPr>
      </w:pPr>
      <w:r>
        <w:rPr>
          <w:rFonts w:ascii="宋体" w:hAnsi="宋体"/>
        </w:rPr>
        <w:t>在合同中约定仲裁条款（如选择新加坡国际仲裁中心），通过非诉讼方式解决跨境知识产权纠纷。</w:t>
      </w:r>
    </w:p>
    <w:p>
      <w:pPr>
        <w:ind w:firstLine="482"/>
        <w:rPr>
          <w:rFonts w:ascii="宋体" w:hAnsi="宋体"/>
          <w:b/>
          <w:bCs/>
        </w:rPr>
      </w:pPr>
      <w:r>
        <w:rPr>
          <w:rFonts w:ascii="宋体" w:hAnsi="宋体"/>
          <w:b/>
          <w:bCs/>
        </w:rPr>
        <w:t>3.证据保全与抗辩准备</w:t>
      </w:r>
    </w:p>
    <w:p>
      <w:pPr>
        <w:ind w:firstLine="480"/>
        <w:rPr>
          <w:rFonts w:ascii="宋体" w:hAnsi="宋体"/>
        </w:rPr>
      </w:pPr>
      <w:r>
        <w:rPr>
          <w:rFonts w:ascii="宋体" w:hAnsi="宋体"/>
        </w:rPr>
        <w:t>证据收集：</w:t>
      </w:r>
    </w:p>
    <w:p>
      <w:pPr>
        <w:ind w:firstLine="480"/>
        <w:rPr>
          <w:rFonts w:ascii="宋体" w:hAnsi="宋体"/>
        </w:rPr>
      </w:pPr>
      <w:r>
        <w:rPr>
          <w:rFonts w:ascii="宋体" w:hAnsi="宋体"/>
        </w:rPr>
        <w:t>侵权对比证据：技术特征比对表、商标近似度分析报告。</w:t>
      </w:r>
    </w:p>
    <w:p>
      <w:pPr>
        <w:ind w:firstLine="480"/>
        <w:rPr>
          <w:rFonts w:ascii="宋体" w:hAnsi="宋体"/>
        </w:rPr>
      </w:pPr>
      <w:r>
        <w:rPr>
          <w:rFonts w:ascii="宋体" w:hAnsi="宋体"/>
        </w:rPr>
        <w:t>权利稳定性证据：专利检索报告、商标使用证据（如销售合同、广告宣传）。</w:t>
      </w:r>
    </w:p>
    <w:p>
      <w:pPr>
        <w:ind w:firstLine="480"/>
        <w:rPr>
          <w:rFonts w:ascii="宋体" w:hAnsi="宋体"/>
        </w:rPr>
      </w:pPr>
      <w:r>
        <w:rPr>
          <w:rFonts w:ascii="宋体" w:hAnsi="宋体"/>
        </w:rPr>
        <w:t>在先使用证据：研发记录、产品原型、早期销售发票等。</w:t>
      </w:r>
    </w:p>
    <w:p>
      <w:pPr>
        <w:ind w:firstLine="480"/>
        <w:rPr>
          <w:rFonts w:ascii="宋体" w:hAnsi="宋体"/>
        </w:rPr>
      </w:pPr>
      <w:r>
        <w:rPr>
          <w:rFonts w:ascii="宋体" w:hAnsi="宋体"/>
        </w:rPr>
        <w:t>核心抗辩理由：</w:t>
      </w:r>
    </w:p>
    <w:p>
      <w:pPr>
        <w:ind w:firstLine="480"/>
        <w:rPr>
          <w:rFonts w:ascii="宋体" w:hAnsi="宋体"/>
        </w:rPr>
      </w:pPr>
      <w:r>
        <w:rPr>
          <w:rFonts w:ascii="宋体" w:hAnsi="宋体"/>
        </w:rPr>
        <w:t>专利：现有技术/设计抗辩、专利权无效、禁止反悔原则。</w:t>
      </w:r>
    </w:p>
    <w:p>
      <w:pPr>
        <w:ind w:firstLine="480"/>
        <w:rPr>
          <w:rFonts w:ascii="宋体" w:hAnsi="宋体"/>
        </w:rPr>
      </w:pPr>
      <w:r>
        <w:rPr>
          <w:rFonts w:ascii="宋体" w:hAnsi="宋体"/>
        </w:rPr>
        <w:t>商标：非商标性使用、合理使用（如描述性使用）、在先权利抗辩。</w:t>
      </w:r>
    </w:p>
    <w:p>
      <w:pPr>
        <w:ind w:firstLine="480"/>
        <w:rPr>
          <w:rFonts w:ascii="宋体" w:hAnsi="宋体"/>
        </w:rPr>
      </w:pPr>
      <w:r>
        <w:rPr>
          <w:rFonts w:ascii="宋体" w:hAnsi="宋体"/>
        </w:rPr>
        <w:t>版权：独立创作、合理使用（如新闻报道、学术研究）。</w:t>
      </w:r>
    </w:p>
    <w:p>
      <w:pPr>
        <w:ind w:firstLine="482"/>
        <w:rPr>
          <w:rFonts w:ascii="宋体" w:hAnsi="宋体"/>
          <w:b/>
          <w:bCs/>
        </w:rPr>
      </w:pPr>
      <w:r>
        <w:rPr>
          <w:rFonts w:ascii="宋体" w:hAnsi="宋体"/>
          <w:b/>
          <w:bCs/>
        </w:rPr>
        <w:t>五、持续监控与体系优化</w:t>
      </w:r>
    </w:p>
    <w:p>
      <w:pPr>
        <w:ind w:firstLine="482"/>
        <w:rPr>
          <w:rFonts w:ascii="宋体" w:hAnsi="宋体"/>
          <w:b/>
          <w:bCs/>
        </w:rPr>
      </w:pPr>
      <w:r>
        <w:rPr>
          <w:rFonts w:ascii="宋体" w:hAnsi="宋体"/>
          <w:b/>
          <w:bCs/>
        </w:rPr>
        <w:t>1.知识产权动态管理</w:t>
      </w:r>
    </w:p>
    <w:p>
      <w:pPr>
        <w:ind w:firstLine="480"/>
        <w:rPr>
          <w:rFonts w:ascii="宋体" w:hAnsi="宋体"/>
        </w:rPr>
      </w:pPr>
      <w:r>
        <w:rPr>
          <w:rFonts w:ascii="宋体" w:hAnsi="宋体"/>
        </w:rPr>
        <w:t>定期复核：</w:t>
      </w:r>
    </w:p>
    <w:p>
      <w:pPr>
        <w:ind w:firstLine="480"/>
        <w:rPr>
          <w:rFonts w:ascii="宋体" w:hAnsi="宋体"/>
        </w:rPr>
      </w:pPr>
      <w:r>
        <w:rPr>
          <w:rFonts w:ascii="宋体" w:hAnsi="宋体"/>
        </w:rPr>
        <w:t>每年更新知识产权资产清单，评估海外专利/商标的维持成本与商业价值，适时放弃非核心权利。</w:t>
      </w:r>
    </w:p>
    <w:p>
      <w:pPr>
        <w:ind w:firstLine="480"/>
        <w:rPr>
          <w:rFonts w:ascii="宋体" w:hAnsi="宋体"/>
        </w:rPr>
      </w:pPr>
      <w:r>
        <w:rPr>
          <w:rFonts w:ascii="宋体" w:hAnsi="宋体"/>
        </w:rPr>
        <w:t>市场反馈机制：</w:t>
      </w:r>
    </w:p>
    <w:p>
      <w:pPr>
        <w:ind w:firstLine="480"/>
        <w:rPr>
          <w:rFonts w:ascii="宋体" w:hAnsi="宋体"/>
        </w:rPr>
      </w:pPr>
      <w:r>
        <w:rPr>
          <w:rFonts w:ascii="宋体" w:hAnsi="宋体"/>
        </w:rPr>
        <w:t>建立客户投诉渠道，及时收集市场中关于产品侵权的反馈信息（如经销商报告竞争对手的侵权指控）。</w:t>
      </w:r>
    </w:p>
    <w:p>
      <w:pPr>
        <w:ind w:firstLine="482"/>
        <w:rPr>
          <w:rFonts w:ascii="宋体" w:hAnsi="宋体"/>
          <w:b/>
          <w:bCs/>
        </w:rPr>
      </w:pPr>
      <w:r>
        <w:rPr>
          <w:rFonts w:ascii="宋体" w:hAnsi="宋体"/>
          <w:b/>
          <w:bCs/>
        </w:rPr>
        <w:t>2.合规培训与文化建设</w:t>
      </w:r>
    </w:p>
    <w:p>
      <w:pPr>
        <w:ind w:firstLine="480"/>
        <w:rPr>
          <w:rFonts w:ascii="宋体" w:hAnsi="宋体"/>
        </w:rPr>
      </w:pPr>
      <w:r>
        <w:rPr>
          <w:rFonts w:ascii="宋体" w:hAnsi="宋体"/>
        </w:rPr>
        <w:t>内部培训：</w:t>
      </w:r>
    </w:p>
    <w:p>
      <w:pPr>
        <w:ind w:firstLine="480"/>
        <w:rPr>
          <w:rFonts w:ascii="宋体" w:hAnsi="宋体"/>
        </w:rPr>
      </w:pPr>
      <w:r>
        <w:rPr>
          <w:rFonts w:ascii="宋体" w:hAnsi="宋体"/>
        </w:rPr>
        <w:t>定期组织海外知识产权法律培训，重点针对研发、采购、市场部门（如“如何避免在产品宣传中使用他人商标”）。</w:t>
      </w:r>
    </w:p>
    <w:p>
      <w:pPr>
        <w:ind w:firstLine="480"/>
        <w:rPr>
          <w:rFonts w:ascii="宋体" w:hAnsi="宋体"/>
        </w:rPr>
      </w:pPr>
      <w:r>
        <w:rPr>
          <w:rFonts w:ascii="宋体" w:hAnsi="宋体"/>
        </w:rPr>
        <w:t>案例复盘：</w:t>
      </w:r>
    </w:p>
    <w:p>
      <w:pPr>
        <w:ind w:firstLine="480"/>
        <w:rPr>
          <w:rFonts w:ascii="宋体" w:hAnsi="宋体"/>
        </w:rPr>
      </w:pPr>
      <w:r>
        <w:rPr>
          <w:rFonts w:ascii="宋体" w:hAnsi="宋体"/>
        </w:rPr>
        <w:t>分析行业典型侵权案例（如苹果vs三星专利诉讼），总结风险点并纳入企业合规指引。</w:t>
      </w:r>
    </w:p>
    <w:p>
      <w:pPr>
        <w:ind w:firstLine="482"/>
        <w:rPr>
          <w:rFonts w:ascii="宋体" w:hAnsi="宋体"/>
          <w:b/>
          <w:bCs/>
        </w:rPr>
      </w:pPr>
      <w:r>
        <w:rPr>
          <w:rFonts w:ascii="宋体" w:hAnsi="宋体"/>
          <w:b/>
          <w:bCs/>
        </w:rPr>
        <w:t>3.体系迭代与技术赋能</w:t>
      </w:r>
    </w:p>
    <w:p>
      <w:pPr>
        <w:ind w:firstLine="480"/>
        <w:rPr>
          <w:rFonts w:ascii="宋体" w:hAnsi="宋体"/>
        </w:rPr>
      </w:pPr>
      <w:r>
        <w:rPr>
          <w:rFonts w:ascii="宋体" w:hAnsi="宋体"/>
        </w:rPr>
        <w:t>引入AI工具：</w:t>
      </w:r>
    </w:p>
    <w:p>
      <w:pPr>
        <w:ind w:firstLine="480"/>
        <w:rPr>
          <w:rFonts w:ascii="宋体" w:hAnsi="宋体"/>
        </w:rPr>
      </w:pPr>
      <w:r>
        <w:rPr>
          <w:rFonts w:ascii="宋体" w:hAnsi="宋体"/>
        </w:rPr>
        <w:t>使用知识产权大数据分析工具（如PatSnap、OrbitIntelligence）进行侵权预警和FTO分析，提升检索效率。</w:t>
      </w:r>
    </w:p>
    <w:p>
      <w:pPr>
        <w:ind w:firstLine="480"/>
        <w:rPr>
          <w:rFonts w:ascii="宋体" w:hAnsi="宋体"/>
        </w:rPr>
      </w:pPr>
      <w:r>
        <w:rPr>
          <w:rFonts w:ascii="宋体" w:hAnsi="宋体"/>
        </w:rPr>
        <w:t>参与行业联盟：</w:t>
      </w:r>
    </w:p>
    <w:p>
      <w:pPr>
        <w:ind w:firstLine="480"/>
        <w:rPr>
          <w:rFonts w:ascii="宋体" w:hAnsi="宋体"/>
        </w:rPr>
      </w:pPr>
      <w:r>
        <w:rPr>
          <w:rFonts w:ascii="宋体" w:hAnsi="宋体"/>
        </w:rPr>
        <w:t>加入国际知识产权保护联盟（如美国知识产权所有者协会IPO），获取政策动态和行业支持。</w:t>
      </w:r>
    </w:p>
    <w:sectPr>
      <w:foot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01182C2-3B6F-4D4D-B4CA-95B129955BA9}"/>
  </w:font>
  <w:font w:name="黑体">
    <w:panose1 w:val="02010609060101010101"/>
    <w:charset w:val="86"/>
    <w:family w:val="auto"/>
    <w:pitch w:val="default"/>
    <w:sig w:usb0="800002BF" w:usb1="38CF7CFA" w:usb2="00000016" w:usb3="00000000" w:csb0="00040001" w:csb1="00000000"/>
    <w:embedRegular r:id="rId2" w:fontKey="{15EBB5AE-3B17-4FC7-A94A-CB3C5C26389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28DC4F1-A9ED-470A-B546-BE52761E6CF4}"/>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embedRegular r:id="rId4" w:fontKey="{A924C932-FDDC-4FAD-AD7F-051BCD7F1B56}"/>
  </w:font>
  <w:font w:name="MS Gothic">
    <w:panose1 w:val="020B0609070205080204"/>
    <w:charset w:val="80"/>
    <w:family w:val="modern"/>
    <w:pitch w:val="default"/>
    <w:sig w:usb0="E00002FF" w:usb1="6AC7FDFB" w:usb2="00000012" w:usb3="00000000" w:csb0="4002009F" w:csb1="DFD70000"/>
    <w:embedRegular r:id="rId5" w:fontKey="{E40107F8-5811-4C02-A524-FE8059108D96}"/>
  </w:font>
  <w:font w:name="Segoe UI">
    <w:panose1 w:val="020B0502040204020203"/>
    <w:charset w:val="00"/>
    <w:family w:val="swiss"/>
    <w:pitch w:val="default"/>
    <w:sig w:usb0="E10022FF" w:usb1="C000E47F" w:usb2="00000029" w:usb3="00000000" w:csb0="200001DF" w:csb1="20000000"/>
    <w:embedRegular r:id="rId6" w:fontKey="{A6667A69-6CD4-49AA-8AE8-5AB3AC275FAA}"/>
  </w:font>
  <w:font w:name="楷体">
    <w:panose1 w:val="02010609060101010101"/>
    <w:charset w:val="86"/>
    <w:family w:val="modern"/>
    <w:pitch w:val="default"/>
    <w:sig w:usb0="800002BF" w:usb1="38CF7CFA" w:usb2="00000016" w:usb3="00000000" w:csb0="00040001" w:csb1="00000000"/>
    <w:embedRegular r:id="rId7" w:fontKey="{47E96582-2130-4CB0-A4BC-28DC6E18A894}"/>
  </w:font>
  <w:font w:name="微软雅黑">
    <w:panose1 w:val="020B0503020204020204"/>
    <w:charset w:val="86"/>
    <w:family w:val="swiss"/>
    <w:pitch w:val="default"/>
    <w:sig w:usb0="80000287" w:usb1="280F3C52" w:usb2="00000016" w:usb3="00000000" w:csb0="0004001F" w:csb1="00000000"/>
    <w:embedRegular r:id="rId8" w:fontKey="{6D5EFDD8-5F3B-4D9C-8111-9B89DA3104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210381"/>
    </w:sdtPr>
    <w:sdtContent>
      <w:p>
        <w:pPr>
          <w:pStyle w:val="13"/>
          <w:ind w:firstLine="48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90D0D0"/>
    <w:multiLevelType w:val="singleLevel"/>
    <w:tmpl w:val="3290D0D0"/>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RjNjg4ZDc1YjEyNzE3NDU0N2JiYTkyMzI3OWJlZjIifQ=="/>
  </w:docVars>
  <w:rsids>
    <w:rsidRoot w:val="004A41A3"/>
    <w:rsid w:val="00000CB6"/>
    <w:rsid w:val="000021D2"/>
    <w:rsid w:val="00003E1D"/>
    <w:rsid w:val="000041A6"/>
    <w:rsid w:val="0000502F"/>
    <w:rsid w:val="0000684C"/>
    <w:rsid w:val="00007053"/>
    <w:rsid w:val="0000765C"/>
    <w:rsid w:val="000078E0"/>
    <w:rsid w:val="00007B5E"/>
    <w:rsid w:val="000113DF"/>
    <w:rsid w:val="00011EE7"/>
    <w:rsid w:val="00012241"/>
    <w:rsid w:val="0001290A"/>
    <w:rsid w:val="00013763"/>
    <w:rsid w:val="00013BBD"/>
    <w:rsid w:val="00013D47"/>
    <w:rsid w:val="000141D6"/>
    <w:rsid w:val="0001434E"/>
    <w:rsid w:val="00015B4C"/>
    <w:rsid w:val="0001612B"/>
    <w:rsid w:val="00016C87"/>
    <w:rsid w:val="00017E98"/>
    <w:rsid w:val="000203DE"/>
    <w:rsid w:val="0002065F"/>
    <w:rsid w:val="0002193A"/>
    <w:rsid w:val="000244D2"/>
    <w:rsid w:val="00024FEE"/>
    <w:rsid w:val="00025047"/>
    <w:rsid w:val="00025F19"/>
    <w:rsid w:val="000261E2"/>
    <w:rsid w:val="00026F39"/>
    <w:rsid w:val="000270BA"/>
    <w:rsid w:val="000274DE"/>
    <w:rsid w:val="00030A44"/>
    <w:rsid w:val="00030DF9"/>
    <w:rsid w:val="00030E3B"/>
    <w:rsid w:val="000317CE"/>
    <w:rsid w:val="00036635"/>
    <w:rsid w:val="000401A1"/>
    <w:rsid w:val="000419C6"/>
    <w:rsid w:val="000428DA"/>
    <w:rsid w:val="000433E8"/>
    <w:rsid w:val="00043522"/>
    <w:rsid w:val="000441F5"/>
    <w:rsid w:val="0004466D"/>
    <w:rsid w:val="00045705"/>
    <w:rsid w:val="00045774"/>
    <w:rsid w:val="000462D9"/>
    <w:rsid w:val="000466EA"/>
    <w:rsid w:val="00046AC1"/>
    <w:rsid w:val="0004706C"/>
    <w:rsid w:val="0004730A"/>
    <w:rsid w:val="000473FE"/>
    <w:rsid w:val="0004775C"/>
    <w:rsid w:val="00047F83"/>
    <w:rsid w:val="000506E4"/>
    <w:rsid w:val="0005105E"/>
    <w:rsid w:val="000517F8"/>
    <w:rsid w:val="00051E0B"/>
    <w:rsid w:val="0005263D"/>
    <w:rsid w:val="000528B0"/>
    <w:rsid w:val="0005334C"/>
    <w:rsid w:val="0005451A"/>
    <w:rsid w:val="000555D5"/>
    <w:rsid w:val="00055F57"/>
    <w:rsid w:val="00056D2D"/>
    <w:rsid w:val="000576AC"/>
    <w:rsid w:val="00060B44"/>
    <w:rsid w:val="00062619"/>
    <w:rsid w:val="0006291E"/>
    <w:rsid w:val="00063AFC"/>
    <w:rsid w:val="00063DBA"/>
    <w:rsid w:val="000641A0"/>
    <w:rsid w:val="00065077"/>
    <w:rsid w:val="00065F60"/>
    <w:rsid w:val="00066DCD"/>
    <w:rsid w:val="00066E19"/>
    <w:rsid w:val="000674B3"/>
    <w:rsid w:val="00072A2E"/>
    <w:rsid w:val="0007379A"/>
    <w:rsid w:val="00073ECD"/>
    <w:rsid w:val="000747F0"/>
    <w:rsid w:val="00077863"/>
    <w:rsid w:val="00077A9B"/>
    <w:rsid w:val="000830DC"/>
    <w:rsid w:val="000833F8"/>
    <w:rsid w:val="0008360E"/>
    <w:rsid w:val="00083F0B"/>
    <w:rsid w:val="0008508E"/>
    <w:rsid w:val="00086357"/>
    <w:rsid w:val="0008658B"/>
    <w:rsid w:val="00086838"/>
    <w:rsid w:val="000876E2"/>
    <w:rsid w:val="00087E2E"/>
    <w:rsid w:val="00090F72"/>
    <w:rsid w:val="000913F8"/>
    <w:rsid w:val="00092BC2"/>
    <w:rsid w:val="00093E77"/>
    <w:rsid w:val="000946C1"/>
    <w:rsid w:val="00094A1B"/>
    <w:rsid w:val="0009581D"/>
    <w:rsid w:val="00095D27"/>
    <w:rsid w:val="000963C9"/>
    <w:rsid w:val="00096F87"/>
    <w:rsid w:val="000973F9"/>
    <w:rsid w:val="00097CA1"/>
    <w:rsid w:val="000A21B9"/>
    <w:rsid w:val="000A3FE0"/>
    <w:rsid w:val="000A4090"/>
    <w:rsid w:val="000A61E1"/>
    <w:rsid w:val="000A6CC4"/>
    <w:rsid w:val="000A73D1"/>
    <w:rsid w:val="000A7D47"/>
    <w:rsid w:val="000B0B75"/>
    <w:rsid w:val="000B1322"/>
    <w:rsid w:val="000B1B4A"/>
    <w:rsid w:val="000B2984"/>
    <w:rsid w:val="000B36B3"/>
    <w:rsid w:val="000B4239"/>
    <w:rsid w:val="000B43D6"/>
    <w:rsid w:val="000B48D7"/>
    <w:rsid w:val="000B4EC8"/>
    <w:rsid w:val="000B56D8"/>
    <w:rsid w:val="000B6573"/>
    <w:rsid w:val="000B6C40"/>
    <w:rsid w:val="000B6E44"/>
    <w:rsid w:val="000C024B"/>
    <w:rsid w:val="000C094B"/>
    <w:rsid w:val="000C1260"/>
    <w:rsid w:val="000C1BAB"/>
    <w:rsid w:val="000C31DB"/>
    <w:rsid w:val="000C37BD"/>
    <w:rsid w:val="000C47E0"/>
    <w:rsid w:val="000C5CE2"/>
    <w:rsid w:val="000C61FE"/>
    <w:rsid w:val="000C64F2"/>
    <w:rsid w:val="000D05A6"/>
    <w:rsid w:val="000D2620"/>
    <w:rsid w:val="000D283E"/>
    <w:rsid w:val="000D34CA"/>
    <w:rsid w:val="000D354B"/>
    <w:rsid w:val="000D3717"/>
    <w:rsid w:val="000D3795"/>
    <w:rsid w:val="000D37DF"/>
    <w:rsid w:val="000D45AB"/>
    <w:rsid w:val="000D4B28"/>
    <w:rsid w:val="000D67DC"/>
    <w:rsid w:val="000D7757"/>
    <w:rsid w:val="000E007B"/>
    <w:rsid w:val="000E191A"/>
    <w:rsid w:val="000E6904"/>
    <w:rsid w:val="000E6F60"/>
    <w:rsid w:val="000E71CA"/>
    <w:rsid w:val="000E7A51"/>
    <w:rsid w:val="000F0113"/>
    <w:rsid w:val="000F023B"/>
    <w:rsid w:val="000F02ED"/>
    <w:rsid w:val="000F0610"/>
    <w:rsid w:val="000F1D7B"/>
    <w:rsid w:val="000F3775"/>
    <w:rsid w:val="000F53B2"/>
    <w:rsid w:val="000F7642"/>
    <w:rsid w:val="000F7990"/>
    <w:rsid w:val="000F7DBD"/>
    <w:rsid w:val="001005D7"/>
    <w:rsid w:val="00100F41"/>
    <w:rsid w:val="00101755"/>
    <w:rsid w:val="00101835"/>
    <w:rsid w:val="00101AF3"/>
    <w:rsid w:val="00101B42"/>
    <w:rsid w:val="00102057"/>
    <w:rsid w:val="0010268D"/>
    <w:rsid w:val="001032B0"/>
    <w:rsid w:val="00103ADD"/>
    <w:rsid w:val="00104A4F"/>
    <w:rsid w:val="00105961"/>
    <w:rsid w:val="00105994"/>
    <w:rsid w:val="00105C8F"/>
    <w:rsid w:val="001060C5"/>
    <w:rsid w:val="0010615A"/>
    <w:rsid w:val="001067EB"/>
    <w:rsid w:val="00107E70"/>
    <w:rsid w:val="001108F1"/>
    <w:rsid w:val="00111495"/>
    <w:rsid w:val="001119AC"/>
    <w:rsid w:val="00111B03"/>
    <w:rsid w:val="0011312C"/>
    <w:rsid w:val="00114120"/>
    <w:rsid w:val="0011494A"/>
    <w:rsid w:val="00114A7B"/>
    <w:rsid w:val="00114D47"/>
    <w:rsid w:val="00114D82"/>
    <w:rsid w:val="00115EAC"/>
    <w:rsid w:val="001168B4"/>
    <w:rsid w:val="00117719"/>
    <w:rsid w:val="00117D33"/>
    <w:rsid w:val="00117FC6"/>
    <w:rsid w:val="00123D47"/>
    <w:rsid w:val="0012423A"/>
    <w:rsid w:val="00124F01"/>
    <w:rsid w:val="001275A4"/>
    <w:rsid w:val="00130627"/>
    <w:rsid w:val="001308A4"/>
    <w:rsid w:val="00131384"/>
    <w:rsid w:val="00132C69"/>
    <w:rsid w:val="00134D56"/>
    <w:rsid w:val="00136051"/>
    <w:rsid w:val="0013639A"/>
    <w:rsid w:val="001366CF"/>
    <w:rsid w:val="00136FDF"/>
    <w:rsid w:val="001378BA"/>
    <w:rsid w:val="001379E8"/>
    <w:rsid w:val="00140474"/>
    <w:rsid w:val="001406F6"/>
    <w:rsid w:val="00142A0F"/>
    <w:rsid w:val="001438BA"/>
    <w:rsid w:val="001442E6"/>
    <w:rsid w:val="0014632C"/>
    <w:rsid w:val="00146547"/>
    <w:rsid w:val="00146FBE"/>
    <w:rsid w:val="00152077"/>
    <w:rsid w:val="001529ED"/>
    <w:rsid w:val="00153B77"/>
    <w:rsid w:val="00154486"/>
    <w:rsid w:val="001551CD"/>
    <w:rsid w:val="001558C9"/>
    <w:rsid w:val="001576C5"/>
    <w:rsid w:val="001576E2"/>
    <w:rsid w:val="00157F74"/>
    <w:rsid w:val="00160285"/>
    <w:rsid w:val="001605FC"/>
    <w:rsid w:val="00160ACD"/>
    <w:rsid w:val="00162550"/>
    <w:rsid w:val="00162810"/>
    <w:rsid w:val="00163D1C"/>
    <w:rsid w:val="00163EE6"/>
    <w:rsid w:val="00164476"/>
    <w:rsid w:val="00164B8E"/>
    <w:rsid w:val="001652B8"/>
    <w:rsid w:val="00165BE5"/>
    <w:rsid w:val="00165FA3"/>
    <w:rsid w:val="001664A7"/>
    <w:rsid w:val="00166AC5"/>
    <w:rsid w:val="00166B89"/>
    <w:rsid w:val="0016719D"/>
    <w:rsid w:val="00170692"/>
    <w:rsid w:val="001707D0"/>
    <w:rsid w:val="00170AC3"/>
    <w:rsid w:val="001710F9"/>
    <w:rsid w:val="001717D3"/>
    <w:rsid w:val="00173AE8"/>
    <w:rsid w:val="00174841"/>
    <w:rsid w:val="00174E2C"/>
    <w:rsid w:val="00175849"/>
    <w:rsid w:val="00176349"/>
    <w:rsid w:val="001765F6"/>
    <w:rsid w:val="00180577"/>
    <w:rsid w:val="00180EC3"/>
    <w:rsid w:val="00182AB9"/>
    <w:rsid w:val="00182F86"/>
    <w:rsid w:val="001836F3"/>
    <w:rsid w:val="001837C0"/>
    <w:rsid w:val="001858C4"/>
    <w:rsid w:val="0018785C"/>
    <w:rsid w:val="00191A43"/>
    <w:rsid w:val="00191D55"/>
    <w:rsid w:val="00192DB2"/>
    <w:rsid w:val="00192EF0"/>
    <w:rsid w:val="00193137"/>
    <w:rsid w:val="00193BDB"/>
    <w:rsid w:val="00194493"/>
    <w:rsid w:val="0019460E"/>
    <w:rsid w:val="00195847"/>
    <w:rsid w:val="00196D64"/>
    <w:rsid w:val="00197AAA"/>
    <w:rsid w:val="001A10FF"/>
    <w:rsid w:val="001A2731"/>
    <w:rsid w:val="001A2FAE"/>
    <w:rsid w:val="001A3099"/>
    <w:rsid w:val="001A3141"/>
    <w:rsid w:val="001A3B00"/>
    <w:rsid w:val="001A433E"/>
    <w:rsid w:val="001A4A3B"/>
    <w:rsid w:val="001A4D1E"/>
    <w:rsid w:val="001A598D"/>
    <w:rsid w:val="001A68EA"/>
    <w:rsid w:val="001A6A79"/>
    <w:rsid w:val="001A7385"/>
    <w:rsid w:val="001A7686"/>
    <w:rsid w:val="001B04C0"/>
    <w:rsid w:val="001B056B"/>
    <w:rsid w:val="001B0688"/>
    <w:rsid w:val="001B10D9"/>
    <w:rsid w:val="001B18EE"/>
    <w:rsid w:val="001B1F4D"/>
    <w:rsid w:val="001B1F79"/>
    <w:rsid w:val="001B6633"/>
    <w:rsid w:val="001B75AB"/>
    <w:rsid w:val="001B763C"/>
    <w:rsid w:val="001B780F"/>
    <w:rsid w:val="001B7832"/>
    <w:rsid w:val="001C0A44"/>
    <w:rsid w:val="001C0C04"/>
    <w:rsid w:val="001C1541"/>
    <w:rsid w:val="001C290F"/>
    <w:rsid w:val="001C3141"/>
    <w:rsid w:val="001C3172"/>
    <w:rsid w:val="001C3C39"/>
    <w:rsid w:val="001C47E9"/>
    <w:rsid w:val="001C5113"/>
    <w:rsid w:val="001C54A1"/>
    <w:rsid w:val="001C6345"/>
    <w:rsid w:val="001C6DF4"/>
    <w:rsid w:val="001C7D66"/>
    <w:rsid w:val="001D0700"/>
    <w:rsid w:val="001D0E92"/>
    <w:rsid w:val="001D19E7"/>
    <w:rsid w:val="001D2013"/>
    <w:rsid w:val="001D2053"/>
    <w:rsid w:val="001D309F"/>
    <w:rsid w:val="001D4998"/>
    <w:rsid w:val="001D5925"/>
    <w:rsid w:val="001D64EB"/>
    <w:rsid w:val="001D65F2"/>
    <w:rsid w:val="001D7CE5"/>
    <w:rsid w:val="001D7EF0"/>
    <w:rsid w:val="001E01BF"/>
    <w:rsid w:val="001E0752"/>
    <w:rsid w:val="001E0D2B"/>
    <w:rsid w:val="001E1BB6"/>
    <w:rsid w:val="001E1C33"/>
    <w:rsid w:val="001E22DF"/>
    <w:rsid w:val="001E3395"/>
    <w:rsid w:val="001E361E"/>
    <w:rsid w:val="001E3D4A"/>
    <w:rsid w:val="001E4543"/>
    <w:rsid w:val="001E540D"/>
    <w:rsid w:val="001E56AE"/>
    <w:rsid w:val="001E5881"/>
    <w:rsid w:val="001E59CD"/>
    <w:rsid w:val="001E5F6A"/>
    <w:rsid w:val="001E6589"/>
    <w:rsid w:val="001E74D6"/>
    <w:rsid w:val="001F05C6"/>
    <w:rsid w:val="001F0A2D"/>
    <w:rsid w:val="001F0D0F"/>
    <w:rsid w:val="001F0F66"/>
    <w:rsid w:val="001F1A82"/>
    <w:rsid w:val="001F1CA9"/>
    <w:rsid w:val="001F2DEA"/>
    <w:rsid w:val="001F2F32"/>
    <w:rsid w:val="001F40BC"/>
    <w:rsid w:val="001F460E"/>
    <w:rsid w:val="001F5667"/>
    <w:rsid w:val="001F592A"/>
    <w:rsid w:val="001F5FC7"/>
    <w:rsid w:val="001F6195"/>
    <w:rsid w:val="001F620E"/>
    <w:rsid w:val="001F762F"/>
    <w:rsid w:val="00200145"/>
    <w:rsid w:val="0020038B"/>
    <w:rsid w:val="002011F3"/>
    <w:rsid w:val="00201918"/>
    <w:rsid w:val="00203009"/>
    <w:rsid w:val="00204AB0"/>
    <w:rsid w:val="00204EF2"/>
    <w:rsid w:val="002059BF"/>
    <w:rsid w:val="002069C6"/>
    <w:rsid w:val="00206F85"/>
    <w:rsid w:val="00206FEE"/>
    <w:rsid w:val="0020724E"/>
    <w:rsid w:val="0021099B"/>
    <w:rsid w:val="00210E7F"/>
    <w:rsid w:val="002122F7"/>
    <w:rsid w:val="002123F9"/>
    <w:rsid w:val="002138AC"/>
    <w:rsid w:val="00214B9C"/>
    <w:rsid w:val="00216228"/>
    <w:rsid w:val="00217A75"/>
    <w:rsid w:val="00217EB5"/>
    <w:rsid w:val="0022020E"/>
    <w:rsid w:val="00220626"/>
    <w:rsid w:val="002214F8"/>
    <w:rsid w:val="00222328"/>
    <w:rsid w:val="0022276D"/>
    <w:rsid w:val="0022293B"/>
    <w:rsid w:val="00223431"/>
    <w:rsid w:val="00223917"/>
    <w:rsid w:val="00223DDE"/>
    <w:rsid w:val="002241FA"/>
    <w:rsid w:val="0022444D"/>
    <w:rsid w:val="00224A62"/>
    <w:rsid w:val="00224E5A"/>
    <w:rsid w:val="0022519A"/>
    <w:rsid w:val="00225378"/>
    <w:rsid w:val="002256E1"/>
    <w:rsid w:val="0022585B"/>
    <w:rsid w:val="00226E9E"/>
    <w:rsid w:val="00227228"/>
    <w:rsid w:val="00227507"/>
    <w:rsid w:val="00230D7C"/>
    <w:rsid w:val="002310BE"/>
    <w:rsid w:val="00233B05"/>
    <w:rsid w:val="00233D2E"/>
    <w:rsid w:val="002344AD"/>
    <w:rsid w:val="002362AC"/>
    <w:rsid w:val="00237435"/>
    <w:rsid w:val="002377F2"/>
    <w:rsid w:val="00240634"/>
    <w:rsid w:val="00242A82"/>
    <w:rsid w:val="002437FB"/>
    <w:rsid w:val="00243973"/>
    <w:rsid w:val="00243A63"/>
    <w:rsid w:val="00243E21"/>
    <w:rsid w:val="00243F72"/>
    <w:rsid w:val="0024451A"/>
    <w:rsid w:val="00244EFC"/>
    <w:rsid w:val="00246D5A"/>
    <w:rsid w:val="002500C4"/>
    <w:rsid w:val="00250EAF"/>
    <w:rsid w:val="002532E3"/>
    <w:rsid w:val="00253E44"/>
    <w:rsid w:val="002542BB"/>
    <w:rsid w:val="00254984"/>
    <w:rsid w:val="00256DB2"/>
    <w:rsid w:val="00257D4D"/>
    <w:rsid w:val="00260FEB"/>
    <w:rsid w:val="00261EBB"/>
    <w:rsid w:val="00263338"/>
    <w:rsid w:val="0026375B"/>
    <w:rsid w:val="00263CBE"/>
    <w:rsid w:val="00263F35"/>
    <w:rsid w:val="0026456E"/>
    <w:rsid w:val="00264AAD"/>
    <w:rsid w:val="002656ED"/>
    <w:rsid w:val="00265CF3"/>
    <w:rsid w:val="00265D1A"/>
    <w:rsid w:val="00265E53"/>
    <w:rsid w:val="0026667E"/>
    <w:rsid w:val="0026732A"/>
    <w:rsid w:val="0027109B"/>
    <w:rsid w:val="00272048"/>
    <w:rsid w:val="002723F6"/>
    <w:rsid w:val="002724FA"/>
    <w:rsid w:val="002742B9"/>
    <w:rsid w:val="00274B12"/>
    <w:rsid w:val="00274EA1"/>
    <w:rsid w:val="002750AF"/>
    <w:rsid w:val="002752F1"/>
    <w:rsid w:val="00275776"/>
    <w:rsid w:val="00277135"/>
    <w:rsid w:val="002774BC"/>
    <w:rsid w:val="00282AC4"/>
    <w:rsid w:val="00283A64"/>
    <w:rsid w:val="002851A9"/>
    <w:rsid w:val="002853E9"/>
    <w:rsid w:val="00286D02"/>
    <w:rsid w:val="00290C6C"/>
    <w:rsid w:val="00290D72"/>
    <w:rsid w:val="00294D24"/>
    <w:rsid w:val="0029513F"/>
    <w:rsid w:val="002955CA"/>
    <w:rsid w:val="002968D6"/>
    <w:rsid w:val="002A0A34"/>
    <w:rsid w:val="002A0CFF"/>
    <w:rsid w:val="002A0FCD"/>
    <w:rsid w:val="002A1C07"/>
    <w:rsid w:val="002A28C8"/>
    <w:rsid w:val="002A2CFD"/>
    <w:rsid w:val="002A3C05"/>
    <w:rsid w:val="002A4A54"/>
    <w:rsid w:val="002A57BB"/>
    <w:rsid w:val="002A63E9"/>
    <w:rsid w:val="002A6CA7"/>
    <w:rsid w:val="002A7336"/>
    <w:rsid w:val="002B0538"/>
    <w:rsid w:val="002B220C"/>
    <w:rsid w:val="002B2902"/>
    <w:rsid w:val="002B2C64"/>
    <w:rsid w:val="002B380B"/>
    <w:rsid w:val="002B4A4A"/>
    <w:rsid w:val="002B534D"/>
    <w:rsid w:val="002B5B16"/>
    <w:rsid w:val="002B68E4"/>
    <w:rsid w:val="002B70B1"/>
    <w:rsid w:val="002B7F99"/>
    <w:rsid w:val="002C0E18"/>
    <w:rsid w:val="002C1AAF"/>
    <w:rsid w:val="002C28B6"/>
    <w:rsid w:val="002C333F"/>
    <w:rsid w:val="002C4AB4"/>
    <w:rsid w:val="002C508F"/>
    <w:rsid w:val="002C60A1"/>
    <w:rsid w:val="002C60AA"/>
    <w:rsid w:val="002C646C"/>
    <w:rsid w:val="002C64F3"/>
    <w:rsid w:val="002C7D35"/>
    <w:rsid w:val="002D0D1E"/>
    <w:rsid w:val="002D192C"/>
    <w:rsid w:val="002D1C6B"/>
    <w:rsid w:val="002D2E9E"/>
    <w:rsid w:val="002D4075"/>
    <w:rsid w:val="002D4893"/>
    <w:rsid w:val="002D5503"/>
    <w:rsid w:val="002D58A6"/>
    <w:rsid w:val="002D6153"/>
    <w:rsid w:val="002D7169"/>
    <w:rsid w:val="002D725C"/>
    <w:rsid w:val="002E0E75"/>
    <w:rsid w:val="002E1105"/>
    <w:rsid w:val="002E1C32"/>
    <w:rsid w:val="002E2051"/>
    <w:rsid w:val="002E20E8"/>
    <w:rsid w:val="002E2CF3"/>
    <w:rsid w:val="002E33B7"/>
    <w:rsid w:val="002E37B5"/>
    <w:rsid w:val="002E3B41"/>
    <w:rsid w:val="002E3BEF"/>
    <w:rsid w:val="002E3C23"/>
    <w:rsid w:val="002E3E37"/>
    <w:rsid w:val="002E4138"/>
    <w:rsid w:val="002E4754"/>
    <w:rsid w:val="002E4A23"/>
    <w:rsid w:val="002E4FDB"/>
    <w:rsid w:val="002E691D"/>
    <w:rsid w:val="002E6F62"/>
    <w:rsid w:val="002E7B24"/>
    <w:rsid w:val="002F422F"/>
    <w:rsid w:val="002F429E"/>
    <w:rsid w:val="002F7283"/>
    <w:rsid w:val="003003C0"/>
    <w:rsid w:val="00301C66"/>
    <w:rsid w:val="00305CCD"/>
    <w:rsid w:val="00305CE7"/>
    <w:rsid w:val="00306E5A"/>
    <w:rsid w:val="0030797F"/>
    <w:rsid w:val="00310129"/>
    <w:rsid w:val="003105C3"/>
    <w:rsid w:val="003106A3"/>
    <w:rsid w:val="00313226"/>
    <w:rsid w:val="00317E59"/>
    <w:rsid w:val="00320A9D"/>
    <w:rsid w:val="00321ACE"/>
    <w:rsid w:val="00322FB0"/>
    <w:rsid w:val="003247F4"/>
    <w:rsid w:val="003252E1"/>
    <w:rsid w:val="00326827"/>
    <w:rsid w:val="00326E58"/>
    <w:rsid w:val="00327FEA"/>
    <w:rsid w:val="00330870"/>
    <w:rsid w:val="00330B03"/>
    <w:rsid w:val="0033139A"/>
    <w:rsid w:val="0033230E"/>
    <w:rsid w:val="0033447C"/>
    <w:rsid w:val="00335EB1"/>
    <w:rsid w:val="0033755C"/>
    <w:rsid w:val="00337F7B"/>
    <w:rsid w:val="00340C25"/>
    <w:rsid w:val="00341C98"/>
    <w:rsid w:val="00341D72"/>
    <w:rsid w:val="003426B2"/>
    <w:rsid w:val="00342D34"/>
    <w:rsid w:val="00344582"/>
    <w:rsid w:val="00344744"/>
    <w:rsid w:val="00344C73"/>
    <w:rsid w:val="003450D7"/>
    <w:rsid w:val="003456C7"/>
    <w:rsid w:val="003458C2"/>
    <w:rsid w:val="00345A16"/>
    <w:rsid w:val="0034700C"/>
    <w:rsid w:val="003475FD"/>
    <w:rsid w:val="00350B66"/>
    <w:rsid w:val="0035141B"/>
    <w:rsid w:val="00351D28"/>
    <w:rsid w:val="0035243D"/>
    <w:rsid w:val="00353050"/>
    <w:rsid w:val="00353DDB"/>
    <w:rsid w:val="00354BC7"/>
    <w:rsid w:val="00355D52"/>
    <w:rsid w:val="003565EB"/>
    <w:rsid w:val="003569FF"/>
    <w:rsid w:val="00356C44"/>
    <w:rsid w:val="003579CB"/>
    <w:rsid w:val="00357AEA"/>
    <w:rsid w:val="00360E13"/>
    <w:rsid w:val="00361F97"/>
    <w:rsid w:val="00364CA2"/>
    <w:rsid w:val="00364E14"/>
    <w:rsid w:val="0036613B"/>
    <w:rsid w:val="003662A9"/>
    <w:rsid w:val="003673CD"/>
    <w:rsid w:val="00367EDB"/>
    <w:rsid w:val="003710C1"/>
    <w:rsid w:val="00371396"/>
    <w:rsid w:val="0037143F"/>
    <w:rsid w:val="00373A43"/>
    <w:rsid w:val="00373F86"/>
    <w:rsid w:val="003745C6"/>
    <w:rsid w:val="003751BE"/>
    <w:rsid w:val="00376FBC"/>
    <w:rsid w:val="003807B0"/>
    <w:rsid w:val="003815BB"/>
    <w:rsid w:val="003816D7"/>
    <w:rsid w:val="00382B1A"/>
    <w:rsid w:val="00383D41"/>
    <w:rsid w:val="0038583F"/>
    <w:rsid w:val="0038639D"/>
    <w:rsid w:val="0038774B"/>
    <w:rsid w:val="00387ACE"/>
    <w:rsid w:val="00387B9B"/>
    <w:rsid w:val="00387F98"/>
    <w:rsid w:val="003904D4"/>
    <w:rsid w:val="00390979"/>
    <w:rsid w:val="0039097F"/>
    <w:rsid w:val="0039146E"/>
    <w:rsid w:val="00392C93"/>
    <w:rsid w:val="003933E4"/>
    <w:rsid w:val="00393EED"/>
    <w:rsid w:val="0039490C"/>
    <w:rsid w:val="00394957"/>
    <w:rsid w:val="00394977"/>
    <w:rsid w:val="003949AA"/>
    <w:rsid w:val="00395268"/>
    <w:rsid w:val="0039660B"/>
    <w:rsid w:val="00396D45"/>
    <w:rsid w:val="003971E5"/>
    <w:rsid w:val="003A1F58"/>
    <w:rsid w:val="003A240D"/>
    <w:rsid w:val="003A29F3"/>
    <w:rsid w:val="003A3821"/>
    <w:rsid w:val="003A3C24"/>
    <w:rsid w:val="003A3C4C"/>
    <w:rsid w:val="003A449C"/>
    <w:rsid w:val="003A4EB5"/>
    <w:rsid w:val="003A7CC4"/>
    <w:rsid w:val="003B019D"/>
    <w:rsid w:val="003B0598"/>
    <w:rsid w:val="003B1FB5"/>
    <w:rsid w:val="003B21A7"/>
    <w:rsid w:val="003B374C"/>
    <w:rsid w:val="003B5504"/>
    <w:rsid w:val="003B6743"/>
    <w:rsid w:val="003B7A40"/>
    <w:rsid w:val="003C00F4"/>
    <w:rsid w:val="003C0234"/>
    <w:rsid w:val="003C10E5"/>
    <w:rsid w:val="003C10EB"/>
    <w:rsid w:val="003C2075"/>
    <w:rsid w:val="003C2E90"/>
    <w:rsid w:val="003C3884"/>
    <w:rsid w:val="003C52D0"/>
    <w:rsid w:val="003C548A"/>
    <w:rsid w:val="003C5B1A"/>
    <w:rsid w:val="003C60F6"/>
    <w:rsid w:val="003C6586"/>
    <w:rsid w:val="003C6797"/>
    <w:rsid w:val="003C6DF3"/>
    <w:rsid w:val="003C755D"/>
    <w:rsid w:val="003D24BE"/>
    <w:rsid w:val="003D2A63"/>
    <w:rsid w:val="003D407C"/>
    <w:rsid w:val="003D48E1"/>
    <w:rsid w:val="003D5754"/>
    <w:rsid w:val="003D6707"/>
    <w:rsid w:val="003D6F8A"/>
    <w:rsid w:val="003E0EDA"/>
    <w:rsid w:val="003E2845"/>
    <w:rsid w:val="003E2D27"/>
    <w:rsid w:val="003E50E8"/>
    <w:rsid w:val="003E669D"/>
    <w:rsid w:val="003E6803"/>
    <w:rsid w:val="003E70D9"/>
    <w:rsid w:val="003E77AB"/>
    <w:rsid w:val="003E7BC3"/>
    <w:rsid w:val="003E7D53"/>
    <w:rsid w:val="003E7FE3"/>
    <w:rsid w:val="003F1FD8"/>
    <w:rsid w:val="003F27BC"/>
    <w:rsid w:val="003F39E7"/>
    <w:rsid w:val="003F60F9"/>
    <w:rsid w:val="00400050"/>
    <w:rsid w:val="00401572"/>
    <w:rsid w:val="004018A7"/>
    <w:rsid w:val="00402D65"/>
    <w:rsid w:val="0040419F"/>
    <w:rsid w:val="00404A6C"/>
    <w:rsid w:val="00405499"/>
    <w:rsid w:val="0040556F"/>
    <w:rsid w:val="00405AA3"/>
    <w:rsid w:val="00405C04"/>
    <w:rsid w:val="00405D57"/>
    <w:rsid w:val="004076AC"/>
    <w:rsid w:val="00412342"/>
    <w:rsid w:val="00413278"/>
    <w:rsid w:val="004139FA"/>
    <w:rsid w:val="004146C2"/>
    <w:rsid w:val="00415B38"/>
    <w:rsid w:val="00416DA5"/>
    <w:rsid w:val="004200FD"/>
    <w:rsid w:val="004201A7"/>
    <w:rsid w:val="004227BF"/>
    <w:rsid w:val="0042487A"/>
    <w:rsid w:val="004249C6"/>
    <w:rsid w:val="00424DED"/>
    <w:rsid w:val="00424F08"/>
    <w:rsid w:val="00424F52"/>
    <w:rsid w:val="00425103"/>
    <w:rsid w:val="004257F6"/>
    <w:rsid w:val="00426A6E"/>
    <w:rsid w:val="0042711B"/>
    <w:rsid w:val="00427DBD"/>
    <w:rsid w:val="004309DE"/>
    <w:rsid w:val="00431EB3"/>
    <w:rsid w:val="00432573"/>
    <w:rsid w:val="00432AD7"/>
    <w:rsid w:val="00433219"/>
    <w:rsid w:val="00433382"/>
    <w:rsid w:val="00433413"/>
    <w:rsid w:val="00433DBD"/>
    <w:rsid w:val="004340A7"/>
    <w:rsid w:val="004343F5"/>
    <w:rsid w:val="004344BF"/>
    <w:rsid w:val="00435DF6"/>
    <w:rsid w:val="00436238"/>
    <w:rsid w:val="004366DC"/>
    <w:rsid w:val="00440AC0"/>
    <w:rsid w:val="004417E3"/>
    <w:rsid w:val="00441FCE"/>
    <w:rsid w:val="0044290E"/>
    <w:rsid w:val="00442D21"/>
    <w:rsid w:val="00443134"/>
    <w:rsid w:val="0044340B"/>
    <w:rsid w:val="004437ED"/>
    <w:rsid w:val="00444C32"/>
    <w:rsid w:val="00445E73"/>
    <w:rsid w:val="00446656"/>
    <w:rsid w:val="00446D27"/>
    <w:rsid w:val="00447011"/>
    <w:rsid w:val="0044759C"/>
    <w:rsid w:val="00447DC3"/>
    <w:rsid w:val="00452D7E"/>
    <w:rsid w:val="00453D4A"/>
    <w:rsid w:val="0045478C"/>
    <w:rsid w:val="00455AA2"/>
    <w:rsid w:val="00456581"/>
    <w:rsid w:val="00456FB8"/>
    <w:rsid w:val="004572FD"/>
    <w:rsid w:val="004573EE"/>
    <w:rsid w:val="0046003F"/>
    <w:rsid w:val="00463571"/>
    <w:rsid w:val="004649DB"/>
    <w:rsid w:val="00465148"/>
    <w:rsid w:val="00465B66"/>
    <w:rsid w:val="00467297"/>
    <w:rsid w:val="00467C4D"/>
    <w:rsid w:val="00467E31"/>
    <w:rsid w:val="00467EE5"/>
    <w:rsid w:val="00470537"/>
    <w:rsid w:val="00470D83"/>
    <w:rsid w:val="00471EE0"/>
    <w:rsid w:val="00473203"/>
    <w:rsid w:val="0047495B"/>
    <w:rsid w:val="00474F36"/>
    <w:rsid w:val="00476F5B"/>
    <w:rsid w:val="0048075F"/>
    <w:rsid w:val="004810AB"/>
    <w:rsid w:val="0048126B"/>
    <w:rsid w:val="0048281D"/>
    <w:rsid w:val="004849EE"/>
    <w:rsid w:val="00484C24"/>
    <w:rsid w:val="00484D4A"/>
    <w:rsid w:val="00485099"/>
    <w:rsid w:val="00485CFD"/>
    <w:rsid w:val="0048611A"/>
    <w:rsid w:val="00486433"/>
    <w:rsid w:val="0048697B"/>
    <w:rsid w:val="00486B6F"/>
    <w:rsid w:val="00487368"/>
    <w:rsid w:val="0049187E"/>
    <w:rsid w:val="004918BB"/>
    <w:rsid w:val="004937DB"/>
    <w:rsid w:val="00494FA6"/>
    <w:rsid w:val="004952CD"/>
    <w:rsid w:val="00495DC0"/>
    <w:rsid w:val="00496971"/>
    <w:rsid w:val="004977F5"/>
    <w:rsid w:val="00497C33"/>
    <w:rsid w:val="00497ED2"/>
    <w:rsid w:val="004A01B6"/>
    <w:rsid w:val="004A0BDF"/>
    <w:rsid w:val="004A1A1E"/>
    <w:rsid w:val="004A28C1"/>
    <w:rsid w:val="004A2F9B"/>
    <w:rsid w:val="004A3206"/>
    <w:rsid w:val="004A35D6"/>
    <w:rsid w:val="004A3785"/>
    <w:rsid w:val="004A3FA7"/>
    <w:rsid w:val="004A41A3"/>
    <w:rsid w:val="004A41B2"/>
    <w:rsid w:val="004A421C"/>
    <w:rsid w:val="004A4C08"/>
    <w:rsid w:val="004A62C3"/>
    <w:rsid w:val="004A6C8A"/>
    <w:rsid w:val="004A72E0"/>
    <w:rsid w:val="004B01DF"/>
    <w:rsid w:val="004B077A"/>
    <w:rsid w:val="004B0DCF"/>
    <w:rsid w:val="004B3DAC"/>
    <w:rsid w:val="004B6181"/>
    <w:rsid w:val="004B6755"/>
    <w:rsid w:val="004B6A33"/>
    <w:rsid w:val="004B7E8F"/>
    <w:rsid w:val="004C1344"/>
    <w:rsid w:val="004C2132"/>
    <w:rsid w:val="004C3185"/>
    <w:rsid w:val="004C32EA"/>
    <w:rsid w:val="004C56E0"/>
    <w:rsid w:val="004C62CD"/>
    <w:rsid w:val="004D130B"/>
    <w:rsid w:val="004D1FA7"/>
    <w:rsid w:val="004D2E5B"/>
    <w:rsid w:val="004D35C7"/>
    <w:rsid w:val="004D393C"/>
    <w:rsid w:val="004D3F6A"/>
    <w:rsid w:val="004D4170"/>
    <w:rsid w:val="004D4580"/>
    <w:rsid w:val="004D5197"/>
    <w:rsid w:val="004D61DE"/>
    <w:rsid w:val="004D7C34"/>
    <w:rsid w:val="004E063E"/>
    <w:rsid w:val="004E25B9"/>
    <w:rsid w:val="004E2640"/>
    <w:rsid w:val="004E31FB"/>
    <w:rsid w:val="004E33C8"/>
    <w:rsid w:val="004E3416"/>
    <w:rsid w:val="004E419E"/>
    <w:rsid w:val="004E46CB"/>
    <w:rsid w:val="004E6273"/>
    <w:rsid w:val="004E6D88"/>
    <w:rsid w:val="004E78C4"/>
    <w:rsid w:val="004E7B14"/>
    <w:rsid w:val="004E7CF8"/>
    <w:rsid w:val="004F0FF5"/>
    <w:rsid w:val="004F1306"/>
    <w:rsid w:val="004F1D17"/>
    <w:rsid w:val="004F1F9C"/>
    <w:rsid w:val="004F24A3"/>
    <w:rsid w:val="004F24D8"/>
    <w:rsid w:val="004F24E7"/>
    <w:rsid w:val="004F3199"/>
    <w:rsid w:val="004F3E39"/>
    <w:rsid w:val="004F400B"/>
    <w:rsid w:val="004F4069"/>
    <w:rsid w:val="004F478B"/>
    <w:rsid w:val="004F50AA"/>
    <w:rsid w:val="004F52E2"/>
    <w:rsid w:val="004F5308"/>
    <w:rsid w:val="004F5E35"/>
    <w:rsid w:val="004F631D"/>
    <w:rsid w:val="004F684C"/>
    <w:rsid w:val="004F6E6A"/>
    <w:rsid w:val="004F7B65"/>
    <w:rsid w:val="00500B12"/>
    <w:rsid w:val="00501A7F"/>
    <w:rsid w:val="00502FBD"/>
    <w:rsid w:val="00503094"/>
    <w:rsid w:val="00503160"/>
    <w:rsid w:val="0050380E"/>
    <w:rsid w:val="005075CF"/>
    <w:rsid w:val="0050782A"/>
    <w:rsid w:val="00507BAD"/>
    <w:rsid w:val="005116A3"/>
    <w:rsid w:val="00511BE9"/>
    <w:rsid w:val="00512B18"/>
    <w:rsid w:val="00513CC1"/>
    <w:rsid w:val="005143E4"/>
    <w:rsid w:val="00514894"/>
    <w:rsid w:val="005153C9"/>
    <w:rsid w:val="00516308"/>
    <w:rsid w:val="00516593"/>
    <w:rsid w:val="00516899"/>
    <w:rsid w:val="005170F4"/>
    <w:rsid w:val="005171C2"/>
    <w:rsid w:val="00517985"/>
    <w:rsid w:val="00517EF5"/>
    <w:rsid w:val="00517F5F"/>
    <w:rsid w:val="0052057E"/>
    <w:rsid w:val="00520C57"/>
    <w:rsid w:val="00521040"/>
    <w:rsid w:val="0052324D"/>
    <w:rsid w:val="00524192"/>
    <w:rsid w:val="00524482"/>
    <w:rsid w:val="005262E3"/>
    <w:rsid w:val="005265AF"/>
    <w:rsid w:val="00527509"/>
    <w:rsid w:val="005279DF"/>
    <w:rsid w:val="0053071B"/>
    <w:rsid w:val="0053112F"/>
    <w:rsid w:val="00531621"/>
    <w:rsid w:val="005320EC"/>
    <w:rsid w:val="0053263D"/>
    <w:rsid w:val="00533071"/>
    <w:rsid w:val="005353A0"/>
    <w:rsid w:val="0053637C"/>
    <w:rsid w:val="00537A9E"/>
    <w:rsid w:val="00541065"/>
    <w:rsid w:val="0054181A"/>
    <w:rsid w:val="00541900"/>
    <w:rsid w:val="00541EBD"/>
    <w:rsid w:val="0054321D"/>
    <w:rsid w:val="00544027"/>
    <w:rsid w:val="00544EFE"/>
    <w:rsid w:val="005450B0"/>
    <w:rsid w:val="00545DA3"/>
    <w:rsid w:val="0054643B"/>
    <w:rsid w:val="00547F30"/>
    <w:rsid w:val="00552B27"/>
    <w:rsid w:val="0055312D"/>
    <w:rsid w:val="00554177"/>
    <w:rsid w:val="0055458D"/>
    <w:rsid w:val="00554B1C"/>
    <w:rsid w:val="005553C8"/>
    <w:rsid w:val="00555415"/>
    <w:rsid w:val="00556339"/>
    <w:rsid w:val="005573DA"/>
    <w:rsid w:val="005618B7"/>
    <w:rsid w:val="00561A80"/>
    <w:rsid w:val="00561C72"/>
    <w:rsid w:val="00561F5E"/>
    <w:rsid w:val="00562991"/>
    <w:rsid w:val="00563C05"/>
    <w:rsid w:val="00563C46"/>
    <w:rsid w:val="00563D9C"/>
    <w:rsid w:val="00564E62"/>
    <w:rsid w:val="00565756"/>
    <w:rsid w:val="005663AC"/>
    <w:rsid w:val="005663ED"/>
    <w:rsid w:val="00567849"/>
    <w:rsid w:val="00570AF1"/>
    <w:rsid w:val="00570AFE"/>
    <w:rsid w:val="005711AC"/>
    <w:rsid w:val="00571B34"/>
    <w:rsid w:val="005727F9"/>
    <w:rsid w:val="00572C2E"/>
    <w:rsid w:val="005737E1"/>
    <w:rsid w:val="00574657"/>
    <w:rsid w:val="00574A02"/>
    <w:rsid w:val="00574F2C"/>
    <w:rsid w:val="00580FE0"/>
    <w:rsid w:val="005813AD"/>
    <w:rsid w:val="0058231D"/>
    <w:rsid w:val="0058321F"/>
    <w:rsid w:val="005835CD"/>
    <w:rsid w:val="005840D1"/>
    <w:rsid w:val="0058420F"/>
    <w:rsid w:val="00585A0E"/>
    <w:rsid w:val="005870CB"/>
    <w:rsid w:val="0058719B"/>
    <w:rsid w:val="005876CF"/>
    <w:rsid w:val="00587893"/>
    <w:rsid w:val="005879BB"/>
    <w:rsid w:val="00590728"/>
    <w:rsid w:val="00590F50"/>
    <w:rsid w:val="00592D06"/>
    <w:rsid w:val="005934A3"/>
    <w:rsid w:val="00594936"/>
    <w:rsid w:val="00594F45"/>
    <w:rsid w:val="005953F7"/>
    <w:rsid w:val="00595AEF"/>
    <w:rsid w:val="00597EA7"/>
    <w:rsid w:val="005A0076"/>
    <w:rsid w:val="005A050A"/>
    <w:rsid w:val="005A05F3"/>
    <w:rsid w:val="005A0E1E"/>
    <w:rsid w:val="005A2A36"/>
    <w:rsid w:val="005A463E"/>
    <w:rsid w:val="005A5222"/>
    <w:rsid w:val="005A5BBD"/>
    <w:rsid w:val="005A6BD9"/>
    <w:rsid w:val="005A6F8E"/>
    <w:rsid w:val="005B26C0"/>
    <w:rsid w:val="005B2EEA"/>
    <w:rsid w:val="005B3168"/>
    <w:rsid w:val="005B31F1"/>
    <w:rsid w:val="005B3A68"/>
    <w:rsid w:val="005B4239"/>
    <w:rsid w:val="005B448B"/>
    <w:rsid w:val="005B4521"/>
    <w:rsid w:val="005B6088"/>
    <w:rsid w:val="005B7901"/>
    <w:rsid w:val="005C000C"/>
    <w:rsid w:val="005C0112"/>
    <w:rsid w:val="005C0993"/>
    <w:rsid w:val="005C0D7B"/>
    <w:rsid w:val="005C0E19"/>
    <w:rsid w:val="005C112D"/>
    <w:rsid w:val="005C35D7"/>
    <w:rsid w:val="005C594C"/>
    <w:rsid w:val="005C6468"/>
    <w:rsid w:val="005C679D"/>
    <w:rsid w:val="005C7AF1"/>
    <w:rsid w:val="005D0198"/>
    <w:rsid w:val="005D106D"/>
    <w:rsid w:val="005D1262"/>
    <w:rsid w:val="005D186F"/>
    <w:rsid w:val="005D23A9"/>
    <w:rsid w:val="005D2906"/>
    <w:rsid w:val="005D3296"/>
    <w:rsid w:val="005D3D96"/>
    <w:rsid w:val="005D4164"/>
    <w:rsid w:val="005D4A8A"/>
    <w:rsid w:val="005D5212"/>
    <w:rsid w:val="005D5310"/>
    <w:rsid w:val="005D569C"/>
    <w:rsid w:val="005D63F6"/>
    <w:rsid w:val="005D6690"/>
    <w:rsid w:val="005D6A81"/>
    <w:rsid w:val="005D6B54"/>
    <w:rsid w:val="005D6C25"/>
    <w:rsid w:val="005D6E23"/>
    <w:rsid w:val="005D7D9D"/>
    <w:rsid w:val="005E03B3"/>
    <w:rsid w:val="005E1EA8"/>
    <w:rsid w:val="005E235F"/>
    <w:rsid w:val="005E28E3"/>
    <w:rsid w:val="005E2B6F"/>
    <w:rsid w:val="005E3DBD"/>
    <w:rsid w:val="005E4581"/>
    <w:rsid w:val="005E4846"/>
    <w:rsid w:val="005E6196"/>
    <w:rsid w:val="005E6F8F"/>
    <w:rsid w:val="005E73C4"/>
    <w:rsid w:val="005E7C0D"/>
    <w:rsid w:val="005F03C8"/>
    <w:rsid w:val="005F07BE"/>
    <w:rsid w:val="005F1E5A"/>
    <w:rsid w:val="005F1F09"/>
    <w:rsid w:val="005F59C3"/>
    <w:rsid w:val="005F6CA5"/>
    <w:rsid w:val="005F6ECE"/>
    <w:rsid w:val="005F7D4B"/>
    <w:rsid w:val="005F7DEC"/>
    <w:rsid w:val="006006FA"/>
    <w:rsid w:val="006013D9"/>
    <w:rsid w:val="006014B7"/>
    <w:rsid w:val="00601E12"/>
    <w:rsid w:val="006025E0"/>
    <w:rsid w:val="00602963"/>
    <w:rsid w:val="00606517"/>
    <w:rsid w:val="006070F9"/>
    <w:rsid w:val="00607371"/>
    <w:rsid w:val="00607435"/>
    <w:rsid w:val="0061023C"/>
    <w:rsid w:val="00610742"/>
    <w:rsid w:val="00611D56"/>
    <w:rsid w:val="0061235E"/>
    <w:rsid w:val="006127ED"/>
    <w:rsid w:val="00614AD3"/>
    <w:rsid w:val="00615325"/>
    <w:rsid w:val="0061577C"/>
    <w:rsid w:val="00615B5A"/>
    <w:rsid w:val="006168E4"/>
    <w:rsid w:val="00616FF3"/>
    <w:rsid w:val="006214D4"/>
    <w:rsid w:val="00621ECC"/>
    <w:rsid w:val="00622205"/>
    <w:rsid w:val="006228BD"/>
    <w:rsid w:val="00622B66"/>
    <w:rsid w:val="00622F0A"/>
    <w:rsid w:val="00623B60"/>
    <w:rsid w:val="006246BE"/>
    <w:rsid w:val="00625633"/>
    <w:rsid w:val="0063072C"/>
    <w:rsid w:val="00632BA1"/>
    <w:rsid w:val="006340CD"/>
    <w:rsid w:val="00634E94"/>
    <w:rsid w:val="00635652"/>
    <w:rsid w:val="00637297"/>
    <w:rsid w:val="00640B1B"/>
    <w:rsid w:val="00642370"/>
    <w:rsid w:val="00642629"/>
    <w:rsid w:val="00642EEA"/>
    <w:rsid w:val="00643E2E"/>
    <w:rsid w:val="006448FC"/>
    <w:rsid w:val="0064499A"/>
    <w:rsid w:val="00651613"/>
    <w:rsid w:val="00652537"/>
    <w:rsid w:val="0065283E"/>
    <w:rsid w:val="00653305"/>
    <w:rsid w:val="0065437E"/>
    <w:rsid w:val="00654AF4"/>
    <w:rsid w:val="00655949"/>
    <w:rsid w:val="00657CC8"/>
    <w:rsid w:val="00657FB9"/>
    <w:rsid w:val="00660054"/>
    <w:rsid w:val="00660494"/>
    <w:rsid w:val="006612A2"/>
    <w:rsid w:val="006616C5"/>
    <w:rsid w:val="00661E4B"/>
    <w:rsid w:val="00661F74"/>
    <w:rsid w:val="00662472"/>
    <w:rsid w:val="00662FC9"/>
    <w:rsid w:val="006637DA"/>
    <w:rsid w:val="00665A19"/>
    <w:rsid w:val="00665FA4"/>
    <w:rsid w:val="00667465"/>
    <w:rsid w:val="00667D22"/>
    <w:rsid w:val="00667E24"/>
    <w:rsid w:val="006701C3"/>
    <w:rsid w:val="00671B2E"/>
    <w:rsid w:val="00672366"/>
    <w:rsid w:val="00672D21"/>
    <w:rsid w:val="00675698"/>
    <w:rsid w:val="0067609B"/>
    <w:rsid w:val="00677038"/>
    <w:rsid w:val="00677E2F"/>
    <w:rsid w:val="00680017"/>
    <w:rsid w:val="0068063B"/>
    <w:rsid w:val="00681167"/>
    <w:rsid w:val="00681410"/>
    <w:rsid w:val="0068188B"/>
    <w:rsid w:val="00682F0D"/>
    <w:rsid w:val="00684579"/>
    <w:rsid w:val="0068524D"/>
    <w:rsid w:val="006855C7"/>
    <w:rsid w:val="0068661B"/>
    <w:rsid w:val="00686BAC"/>
    <w:rsid w:val="006873B8"/>
    <w:rsid w:val="00690383"/>
    <w:rsid w:val="006920A8"/>
    <w:rsid w:val="006935A7"/>
    <w:rsid w:val="006944A2"/>
    <w:rsid w:val="006944F4"/>
    <w:rsid w:val="00694EED"/>
    <w:rsid w:val="006964B2"/>
    <w:rsid w:val="00696D78"/>
    <w:rsid w:val="006973B4"/>
    <w:rsid w:val="006A03CF"/>
    <w:rsid w:val="006A06B0"/>
    <w:rsid w:val="006A108C"/>
    <w:rsid w:val="006A28F9"/>
    <w:rsid w:val="006A2B8E"/>
    <w:rsid w:val="006A2F0E"/>
    <w:rsid w:val="006A34C2"/>
    <w:rsid w:val="006A3DDB"/>
    <w:rsid w:val="006A4D8A"/>
    <w:rsid w:val="006A50E5"/>
    <w:rsid w:val="006A59ED"/>
    <w:rsid w:val="006A6D2D"/>
    <w:rsid w:val="006A7286"/>
    <w:rsid w:val="006B0AB4"/>
    <w:rsid w:val="006B17EE"/>
    <w:rsid w:val="006B1F18"/>
    <w:rsid w:val="006B35F1"/>
    <w:rsid w:val="006B4213"/>
    <w:rsid w:val="006B4474"/>
    <w:rsid w:val="006B4A28"/>
    <w:rsid w:val="006B4C18"/>
    <w:rsid w:val="006B53B8"/>
    <w:rsid w:val="006B65A3"/>
    <w:rsid w:val="006B66CD"/>
    <w:rsid w:val="006B76F5"/>
    <w:rsid w:val="006B7F9A"/>
    <w:rsid w:val="006B7FA9"/>
    <w:rsid w:val="006C1134"/>
    <w:rsid w:val="006C181A"/>
    <w:rsid w:val="006C2949"/>
    <w:rsid w:val="006C2A14"/>
    <w:rsid w:val="006C552B"/>
    <w:rsid w:val="006C55CF"/>
    <w:rsid w:val="006C5A40"/>
    <w:rsid w:val="006C6A10"/>
    <w:rsid w:val="006D0001"/>
    <w:rsid w:val="006D04EA"/>
    <w:rsid w:val="006D0B8D"/>
    <w:rsid w:val="006D1535"/>
    <w:rsid w:val="006D16F4"/>
    <w:rsid w:val="006D18DB"/>
    <w:rsid w:val="006D34F8"/>
    <w:rsid w:val="006D4FB8"/>
    <w:rsid w:val="006D52D4"/>
    <w:rsid w:val="006D54B5"/>
    <w:rsid w:val="006D5ACF"/>
    <w:rsid w:val="006D5F7C"/>
    <w:rsid w:val="006D6A81"/>
    <w:rsid w:val="006E00BF"/>
    <w:rsid w:val="006E25DE"/>
    <w:rsid w:val="006E2896"/>
    <w:rsid w:val="006E2CCD"/>
    <w:rsid w:val="006E3299"/>
    <w:rsid w:val="006E3B4B"/>
    <w:rsid w:val="006E3E44"/>
    <w:rsid w:val="006E4218"/>
    <w:rsid w:val="006E4422"/>
    <w:rsid w:val="006E54DD"/>
    <w:rsid w:val="006E5677"/>
    <w:rsid w:val="006E5EB4"/>
    <w:rsid w:val="006E6038"/>
    <w:rsid w:val="006E66D3"/>
    <w:rsid w:val="006E6A0F"/>
    <w:rsid w:val="006E7E8E"/>
    <w:rsid w:val="006E7F43"/>
    <w:rsid w:val="006F094E"/>
    <w:rsid w:val="006F1190"/>
    <w:rsid w:val="006F26FB"/>
    <w:rsid w:val="006F2E48"/>
    <w:rsid w:val="006F32E1"/>
    <w:rsid w:val="006F4FB8"/>
    <w:rsid w:val="006F591E"/>
    <w:rsid w:val="006F5F4A"/>
    <w:rsid w:val="0070108E"/>
    <w:rsid w:val="007013E7"/>
    <w:rsid w:val="0070156E"/>
    <w:rsid w:val="0070327B"/>
    <w:rsid w:val="00704A1C"/>
    <w:rsid w:val="00704AB8"/>
    <w:rsid w:val="00704F0D"/>
    <w:rsid w:val="0070513B"/>
    <w:rsid w:val="00705593"/>
    <w:rsid w:val="00705688"/>
    <w:rsid w:val="00710940"/>
    <w:rsid w:val="00710E77"/>
    <w:rsid w:val="007112E8"/>
    <w:rsid w:val="00711E36"/>
    <w:rsid w:val="007126A0"/>
    <w:rsid w:val="007126E2"/>
    <w:rsid w:val="007162F8"/>
    <w:rsid w:val="0071635E"/>
    <w:rsid w:val="00716B85"/>
    <w:rsid w:val="00716BD9"/>
    <w:rsid w:val="00717963"/>
    <w:rsid w:val="00717F76"/>
    <w:rsid w:val="00717FB8"/>
    <w:rsid w:val="007201D2"/>
    <w:rsid w:val="00720D80"/>
    <w:rsid w:val="00721D7B"/>
    <w:rsid w:val="0072208B"/>
    <w:rsid w:val="00723401"/>
    <w:rsid w:val="007243DC"/>
    <w:rsid w:val="0072620E"/>
    <w:rsid w:val="0072684B"/>
    <w:rsid w:val="00726C19"/>
    <w:rsid w:val="00726C34"/>
    <w:rsid w:val="007276C8"/>
    <w:rsid w:val="00727C6F"/>
    <w:rsid w:val="0073197C"/>
    <w:rsid w:val="00734F37"/>
    <w:rsid w:val="00735DE5"/>
    <w:rsid w:val="007362CA"/>
    <w:rsid w:val="00736A9D"/>
    <w:rsid w:val="00736F71"/>
    <w:rsid w:val="00737E13"/>
    <w:rsid w:val="00740F0B"/>
    <w:rsid w:val="00741F96"/>
    <w:rsid w:val="00742D92"/>
    <w:rsid w:val="00742F91"/>
    <w:rsid w:val="00743121"/>
    <w:rsid w:val="007433E4"/>
    <w:rsid w:val="00744E1B"/>
    <w:rsid w:val="0074541B"/>
    <w:rsid w:val="00745AEC"/>
    <w:rsid w:val="00746C9E"/>
    <w:rsid w:val="00746D25"/>
    <w:rsid w:val="00747A41"/>
    <w:rsid w:val="00750892"/>
    <w:rsid w:val="00750C42"/>
    <w:rsid w:val="007514C4"/>
    <w:rsid w:val="007514D3"/>
    <w:rsid w:val="00751E81"/>
    <w:rsid w:val="007523CD"/>
    <w:rsid w:val="00754483"/>
    <w:rsid w:val="00754C83"/>
    <w:rsid w:val="0075534F"/>
    <w:rsid w:val="00755AF3"/>
    <w:rsid w:val="00755EA6"/>
    <w:rsid w:val="00757039"/>
    <w:rsid w:val="007577F5"/>
    <w:rsid w:val="00757C23"/>
    <w:rsid w:val="00757E2A"/>
    <w:rsid w:val="00757E59"/>
    <w:rsid w:val="0076275E"/>
    <w:rsid w:val="007635AF"/>
    <w:rsid w:val="00763672"/>
    <w:rsid w:val="007639A0"/>
    <w:rsid w:val="00764F35"/>
    <w:rsid w:val="0076550B"/>
    <w:rsid w:val="00766777"/>
    <w:rsid w:val="007673CA"/>
    <w:rsid w:val="007703FC"/>
    <w:rsid w:val="00770A3D"/>
    <w:rsid w:val="00772C09"/>
    <w:rsid w:val="00773428"/>
    <w:rsid w:val="007741FD"/>
    <w:rsid w:val="007748FF"/>
    <w:rsid w:val="00774F25"/>
    <w:rsid w:val="007752C7"/>
    <w:rsid w:val="007756EB"/>
    <w:rsid w:val="00775B10"/>
    <w:rsid w:val="007766E3"/>
    <w:rsid w:val="00781182"/>
    <w:rsid w:val="00781403"/>
    <w:rsid w:val="00781AB0"/>
    <w:rsid w:val="00781AB2"/>
    <w:rsid w:val="0078302A"/>
    <w:rsid w:val="007862E6"/>
    <w:rsid w:val="00786545"/>
    <w:rsid w:val="007872FE"/>
    <w:rsid w:val="00787334"/>
    <w:rsid w:val="00792790"/>
    <w:rsid w:val="00793B4D"/>
    <w:rsid w:val="00794269"/>
    <w:rsid w:val="007951E7"/>
    <w:rsid w:val="00795716"/>
    <w:rsid w:val="00796C06"/>
    <w:rsid w:val="0079766C"/>
    <w:rsid w:val="0079799D"/>
    <w:rsid w:val="00797B57"/>
    <w:rsid w:val="00797E3C"/>
    <w:rsid w:val="007A0D60"/>
    <w:rsid w:val="007A15FF"/>
    <w:rsid w:val="007A1F6F"/>
    <w:rsid w:val="007A22D8"/>
    <w:rsid w:val="007A339F"/>
    <w:rsid w:val="007A48B5"/>
    <w:rsid w:val="007A64B5"/>
    <w:rsid w:val="007B04CD"/>
    <w:rsid w:val="007B083D"/>
    <w:rsid w:val="007B09AA"/>
    <w:rsid w:val="007B678B"/>
    <w:rsid w:val="007B7037"/>
    <w:rsid w:val="007B7759"/>
    <w:rsid w:val="007C1BEA"/>
    <w:rsid w:val="007C209A"/>
    <w:rsid w:val="007C3A6E"/>
    <w:rsid w:val="007C4844"/>
    <w:rsid w:val="007C4C3C"/>
    <w:rsid w:val="007C4C7E"/>
    <w:rsid w:val="007C4E0F"/>
    <w:rsid w:val="007C5E5B"/>
    <w:rsid w:val="007C68CE"/>
    <w:rsid w:val="007C6F33"/>
    <w:rsid w:val="007D086F"/>
    <w:rsid w:val="007D0B1B"/>
    <w:rsid w:val="007D0B77"/>
    <w:rsid w:val="007D1713"/>
    <w:rsid w:val="007D2A42"/>
    <w:rsid w:val="007D2C0A"/>
    <w:rsid w:val="007D38A1"/>
    <w:rsid w:val="007D7393"/>
    <w:rsid w:val="007D74DB"/>
    <w:rsid w:val="007E11E9"/>
    <w:rsid w:val="007E3D70"/>
    <w:rsid w:val="007E46F8"/>
    <w:rsid w:val="007E51D0"/>
    <w:rsid w:val="007E610D"/>
    <w:rsid w:val="007E7089"/>
    <w:rsid w:val="007F0853"/>
    <w:rsid w:val="007F2170"/>
    <w:rsid w:val="007F4F83"/>
    <w:rsid w:val="007F5737"/>
    <w:rsid w:val="007F603B"/>
    <w:rsid w:val="007F7C9A"/>
    <w:rsid w:val="00800126"/>
    <w:rsid w:val="00800A22"/>
    <w:rsid w:val="00800F4B"/>
    <w:rsid w:val="00801203"/>
    <w:rsid w:val="00801CC4"/>
    <w:rsid w:val="00802680"/>
    <w:rsid w:val="00803612"/>
    <w:rsid w:val="00803734"/>
    <w:rsid w:val="008045E6"/>
    <w:rsid w:val="00804935"/>
    <w:rsid w:val="00804E19"/>
    <w:rsid w:val="00804F66"/>
    <w:rsid w:val="0080580E"/>
    <w:rsid w:val="00806FAF"/>
    <w:rsid w:val="00806FCC"/>
    <w:rsid w:val="008079BB"/>
    <w:rsid w:val="00810027"/>
    <w:rsid w:val="00810587"/>
    <w:rsid w:val="00810D0D"/>
    <w:rsid w:val="00810E17"/>
    <w:rsid w:val="00811836"/>
    <w:rsid w:val="00811948"/>
    <w:rsid w:val="0081228A"/>
    <w:rsid w:val="008133BC"/>
    <w:rsid w:val="0081432A"/>
    <w:rsid w:val="00817BEE"/>
    <w:rsid w:val="00820557"/>
    <w:rsid w:val="008217A6"/>
    <w:rsid w:val="00825773"/>
    <w:rsid w:val="00825D87"/>
    <w:rsid w:val="00826765"/>
    <w:rsid w:val="008273DC"/>
    <w:rsid w:val="00830126"/>
    <w:rsid w:val="00831B02"/>
    <w:rsid w:val="00832C0B"/>
    <w:rsid w:val="00834233"/>
    <w:rsid w:val="0083650E"/>
    <w:rsid w:val="00836B45"/>
    <w:rsid w:val="00837019"/>
    <w:rsid w:val="00837616"/>
    <w:rsid w:val="008377CF"/>
    <w:rsid w:val="008410EF"/>
    <w:rsid w:val="00841AA3"/>
    <w:rsid w:val="00841BDA"/>
    <w:rsid w:val="00842720"/>
    <w:rsid w:val="00843033"/>
    <w:rsid w:val="00843100"/>
    <w:rsid w:val="0084366E"/>
    <w:rsid w:val="00844285"/>
    <w:rsid w:val="008442C5"/>
    <w:rsid w:val="00845016"/>
    <w:rsid w:val="00846260"/>
    <w:rsid w:val="0084627A"/>
    <w:rsid w:val="00846F3F"/>
    <w:rsid w:val="008473EF"/>
    <w:rsid w:val="00850533"/>
    <w:rsid w:val="00850558"/>
    <w:rsid w:val="0085130C"/>
    <w:rsid w:val="00851C13"/>
    <w:rsid w:val="0085228D"/>
    <w:rsid w:val="008527AE"/>
    <w:rsid w:val="0085327D"/>
    <w:rsid w:val="008533F7"/>
    <w:rsid w:val="00853420"/>
    <w:rsid w:val="00853BCE"/>
    <w:rsid w:val="00855040"/>
    <w:rsid w:val="00855536"/>
    <w:rsid w:val="00856E33"/>
    <w:rsid w:val="00857CA3"/>
    <w:rsid w:val="00860900"/>
    <w:rsid w:val="00861522"/>
    <w:rsid w:val="00861529"/>
    <w:rsid w:val="008615BE"/>
    <w:rsid w:val="00862801"/>
    <w:rsid w:val="00862A13"/>
    <w:rsid w:val="008635A5"/>
    <w:rsid w:val="00863F76"/>
    <w:rsid w:val="00864222"/>
    <w:rsid w:val="008646E2"/>
    <w:rsid w:val="00864F9A"/>
    <w:rsid w:val="00865381"/>
    <w:rsid w:val="008658E0"/>
    <w:rsid w:val="008660F6"/>
    <w:rsid w:val="00866ABA"/>
    <w:rsid w:val="00867AF4"/>
    <w:rsid w:val="00870F7C"/>
    <w:rsid w:val="0087103B"/>
    <w:rsid w:val="00871433"/>
    <w:rsid w:val="00872229"/>
    <w:rsid w:val="008734B5"/>
    <w:rsid w:val="00873D99"/>
    <w:rsid w:val="00873E18"/>
    <w:rsid w:val="00874D59"/>
    <w:rsid w:val="00876D19"/>
    <w:rsid w:val="00876FE9"/>
    <w:rsid w:val="00877E3D"/>
    <w:rsid w:val="008805D5"/>
    <w:rsid w:val="00880C2C"/>
    <w:rsid w:val="008824B2"/>
    <w:rsid w:val="008853D5"/>
    <w:rsid w:val="0088776A"/>
    <w:rsid w:val="008912EF"/>
    <w:rsid w:val="0089172C"/>
    <w:rsid w:val="00891B38"/>
    <w:rsid w:val="00891E8E"/>
    <w:rsid w:val="0089227E"/>
    <w:rsid w:val="00892E9D"/>
    <w:rsid w:val="0089319F"/>
    <w:rsid w:val="00893F25"/>
    <w:rsid w:val="00894A15"/>
    <w:rsid w:val="008953F6"/>
    <w:rsid w:val="008974D3"/>
    <w:rsid w:val="0089778B"/>
    <w:rsid w:val="00897AA8"/>
    <w:rsid w:val="008A2453"/>
    <w:rsid w:val="008A298B"/>
    <w:rsid w:val="008A2B95"/>
    <w:rsid w:val="008A4209"/>
    <w:rsid w:val="008A7984"/>
    <w:rsid w:val="008A7AFD"/>
    <w:rsid w:val="008B1C66"/>
    <w:rsid w:val="008B27B5"/>
    <w:rsid w:val="008B2C3A"/>
    <w:rsid w:val="008B3215"/>
    <w:rsid w:val="008B32CB"/>
    <w:rsid w:val="008B3498"/>
    <w:rsid w:val="008B35DA"/>
    <w:rsid w:val="008B4E02"/>
    <w:rsid w:val="008B4F2D"/>
    <w:rsid w:val="008B5282"/>
    <w:rsid w:val="008B5C34"/>
    <w:rsid w:val="008B5FBE"/>
    <w:rsid w:val="008B639D"/>
    <w:rsid w:val="008B677B"/>
    <w:rsid w:val="008B7D92"/>
    <w:rsid w:val="008B7ECD"/>
    <w:rsid w:val="008C19D9"/>
    <w:rsid w:val="008C1A9B"/>
    <w:rsid w:val="008C2C00"/>
    <w:rsid w:val="008C34E6"/>
    <w:rsid w:val="008C3F3A"/>
    <w:rsid w:val="008C4353"/>
    <w:rsid w:val="008C4ABE"/>
    <w:rsid w:val="008C4B90"/>
    <w:rsid w:val="008C6026"/>
    <w:rsid w:val="008C6A6B"/>
    <w:rsid w:val="008C6B70"/>
    <w:rsid w:val="008C6D4A"/>
    <w:rsid w:val="008C7CC0"/>
    <w:rsid w:val="008D042F"/>
    <w:rsid w:val="008D05B9"/>
    <w:rsid w:val="008D1464"/>
    <w:rsid w:val="008D1F6C"/>
    <w:rsid w:val="008D3AC6"/>
    <w:rsid w:val="008D4A14"/>
    <w:rsid w:val="008D5670"/>
    <w:rsid w:val="008D6905"/>
    <w:rsid w:val="008D6E95"/>
    <w:rsid w:val="008E2EB9"/>
    <w:rsid w:val="008E30DC"/>
    <w:rsid w:val="008E59AF"/>
    <w:rsid w:val="008F00E0"/>
    <w:rsid w:val="008F02DC"/>
    <w:rsid w:val="008F0E1D"/>
    <w:rsid w:val="008F2A9A"/>
    <w:rsid w:val="008F2BBA"/>
    <w:rsid w:val="008F39AA"/>
    <w:rsid w:val="008F5362"/>
    <w:rsid w:val="008F5464"/>
    <w:rsid w:val="008F6E4F"/>
    <w:rsid w:val="008F7D32"/>
    <w:rsid w:val="008F7DF9"/>
    <w:rsid w:val="008F7FF5"/>
    <w:rsid w:val="00900121"/>
    <w:rsid w:val="00903166"/>
    <w:rsid w:val="00904CAD"/>
    <w:rsid w:val="00905590"/>
    <w:rsid w:val="00905EAA"/>
    <w:rsid w:val="009073E1"/>
    <w:rsid w:val="00910226"/>
    <w:rsid w:val="0091042C"/>
    <w:rsid w:val="00911995"/>
    <w:rsid w:val="009119DF"/>
    <w:rsid w:val="00911A5B"/>
    <w:rsid w:val="009136B9"/>
    <w:rsid w:val="00916F06"/>
    <w:rsid w:val="00920897"/>
    <w:rsid w:val="00920908"/>
    <w:rsid w:val="0092109F"/>
    <w:rsid w:val="00922D0D"/>
    <w:rsid w:val="00924741"/>
    <w:rsid w:val="00924CFD"/>
    <w:rsid w:val="0092639A"/>
    <w:rsid w:val="00926718"/>
    <w:rsid w:val="00926756"/>
    <w:rsid w:val="00926EDD"/>
    <w:rsid w:val="0092769A"/>
    <w:rsid w:val="009319D6"/>
    <w:rsid w:val="00932979"/>
    <w:rsid w:val="00932DE2"/>
    <w:rsid w:val="00933014"/>
    <w:rsid w:val="00934252"/>
    <w:rsid w:val="00935A2E"/>
    <w:rsid w:val="00935EBD"/>
    <w:rsid w:val="00935FE2"/>
    <w:rsid w:val="00936CE1"/>
    <w:rsid w:val="009401EF"/>
    <w:rsid w:val="009405CC"/>
    <w:rsid w:val="00940AA9"/>
    <w:rsid w:val="00940FEC"/>
    <w:rsid w:val="00941930"/>
    <w:rsid w:val="00942753"/>
    <w:rsid w:val="00942CF9"/>
    <w:rsid w:val="00943364"/>
    <w:rsid w:val="00943A23"/>
    <w:rsid w:val="00943FD3"/>
    <w:rsid w:val="00944F55"/>
    <w:rsid w:val="00945627"/>
    <w:rsid w:val="009457FD"/>
    <w:rsid w:val="0095016E"/>
    <w:rsid w:val="009508F0"/>
    <w:rsid w:val="00950CD5"/>
    <w:rsid w:val="00951F55"/>
    <w:rsid w:val="00952539"/>
    <w:rsid w:val="00953029"/>
    <w:rsid w:val="009557FF"/>
    <w:rsid w:val="00955999"/>
    <w:rsid w:val="009601A6"/>
    <w:rsid w:val="0096130C"/>
    <w:rsid w:val="0096168E"/>
    <w:rsid w:val="00961A29"/>
    <w:rsid w:val="00962056"/>
    <w:rsid w:val="009622A1"/>
    <w:rsid w:val="00962B3A"/>
    <w:rsid w:val="00962CD5"/>
    <w:rsid w:val="00963E0E"/>
    <w:rsid w:val="00965E7E"/>
    <w:rsid w:val="009675E5"/>
    <w:rsid w:val="00971482"/>
    <w:rsid w:val="00972059"/>
    <w:rsid w:val="00973738"/>
    <w:rsid w:val="00974CF9"/>
    <w:rsid w:val="00974E0C"/>
    <w:rsid w:val="009751CE"/>
    <w:rsid w:val="0097659F"/>
    <w:rsid w:val="00980B7E"/>
    <w:rsid w:val="00980C37"/>
    <w:rsid w:val="00980E26"/>
    <w:rsid w:val="00981493"/>
    <w:rsid w:val="00981835"/>
    <w:rsid w:val="00983AD6"/>
    <w:rsid w:val="009862F5"/>
    <w:rsid w:val="00986B6E"/>
    <w:rsid w:val="00986BDA"/>
    <w:rsid w:val="00986E70"/>
    <w:rsid w:val="0098757A"/>
    <w:rsid w:val="0098793E"/>
    <w:rsid w:val="00987B6D"/>
    <w:rsid w:val="00987D26"/>
    <w:rsid w:val="0099026A"/>
    <w:rsid w:val="009906FB"/>
    <w:rsid w:val="0099158F"/>
    <w:rsid w:val="00992146"/>
    <w:rsid w:val="0099255F"/>
    <w:rsid w:val="00993343"/>
    <w:rsid w:val="0099370B"/>
    <w:rsid w:val="00993AD0"/>
    <w:rsid w:val="00994474"/>
    <w:rsid w:val="009966EB"/>
    <w:rsid w:val="00997972"/>
    <w:rsid w:val="009A11CA"/>
    <w:rsid w:val="009A2EA0"/>
    <w:rsid w:val="009A4B2A"/>
    <w:rsid w:val="009A4E6B"/>
    <w:rsid w:val="009A64CA"/>
    <w:rsid w:val="009A6BDA"/>
    <w:rsid w:val="009A6E0A"/>
    <w:rsid w:val="009A7BF4"/>
    <w:rsid w:val="009A7E0B"/>
    <w:rsid w:val="009B0224"/>
    <w:rsid w:val="009B14E2"/>
    <w:rsid w:val="009B17C3"/>
    <w:rsid w:val="009B1B17"/>
    <w:rsid w:val="009B3A9B"/>
    <w:rsid w:val="009B666B"/>
    <w:rsid w:val="009B70FB"/>
    <w:rsid w:val="009B711D"/>
    <w:rsid w:val="009B7BD0"/>
    <w:rsid w:val="009C13DA"/>
    <w:rsid w:val="009C36DF"/>
    <w:rsid w:val="009C3B27"/>
    <w:rsid w:val="009C3E4D"/>
    <w:rsid w:val="009C403D"/>
    <w:rsid w:val="009C425F"/>
    <w:rsid w:val="009C426A"/>
    <w:rsid w:val="009C436A"/>
    <w:rsid w:val="009C5F24"/>
    <w:rsid w:val="009C7C3C"/>
    <w:rsid w:val="009D0342"/>
    <w:rsid w:val="009D109C"/>
    <w:rsid w:val="009D132C"/>
    <w:rsid w:val="009D2F3E"/>
    <w:rsid w:val="009D36ED"/>
    <w:rsid w:val="009D4784"/>
    <w:rsid w:val="009D4C00"/>
    <w:rsid w:val="009D532E"/>
    <w:rsid w:val="009D5BE6"/>
    <w:rsid w:val="009E062B"/>
    <w:rsid w:val="009E0AF7"/>
    <w:rsid w:val="009E0CC3"/>
    <w:rsid w:val="009E0CF9"/>
    <w:rsid w:val="009E10EC"/>
    <w:rsid w:val="009E1299"/>
    <w:rsid w:val="009E4656"/>
    <w:rsid w:val="009E4AFC"/>
    <w:rsid w:val="009E5592"/>
    <w:rsid w:val="009E6C84"/>
    <w:rsid w:val="009F28D7"/>
    <w:rsid w:val="009F3148"/>
    <w:rsid w:val="009F35CA"/>
    <w:rsid w:val="009F36CA"/>
    <w:rsid w:val="009F407F"/>
    <w:rsid w:val="009F52C3"/>
    <w:rsid w:val="009F596B"/>
    <w:rsid w:val="009F5EF4"/>
    <w:rsid w:val="009F6C65"/>
    <w:rsid w:val="009F6EF7"/>
    <w:rsid w:val="009F7036"/>
    <w:rsid w:val="00A00F01"/>
    <w:rsid w:val="00A01294"/>
    <w:rsid w:val="00A02815"/>
    <w:rsid w:val="00A03F4D"/>
    <w:rsid w:val="00A04B33"/>
    <w:rsid w:val="00A04DD4"/>
    <w:rsid w:val="00A054A6"/>
    <w:rsid w:val="00A05B89"/>
    <w:rsid w:val="00A06FD8"/>
    <w:rsid w:val="00A078FA"/>
    <w:rsid w:val="00A07D52"/>
    <w:rsid w:val="00A07E1F"/>
    <w:rsid w:val="00A10335"/>
    <w:rsid w:val="00A1198D"/>
    <w:rsid w:val="00A13422"/>
    <w:rsid w:val="00A15E8F"/>
    <w:rsid w:val="00A16BAB"/>
    <w:rsid w:val="00A16D0E"/>
    <w:rsid w:val="00A1705A"/>
    <w:rsid w:val="00A177B0"/>
    <w:rsid w:val="00A213E3"/>
    <w:rsid w:val="00A213F2"/>
    <w:rsid w:val="00A22405"/>
    <w:rsid w:val="00A232E3"/>
    <w:rsid w:val="00A233F3"/>
    <w:rsid w:val="00A23475"/>
    <w:rsid w:val="00A23948"/>
    <w:rsid w:val="00A23FED"/>
    <w:rsid w:val="00A251D5"/>
    <w:rsid w:val="00A25921"/>
    <w:rsid w:val="00A26230"/>
    <w:rsid w:val="00A305AA"/>
    <w:rsid w:val="00A316C0"/>
    <w:rsid w:val="00A31940"/>
    <w:rsid w:val="00A31B90"/>
    <w:rsid w:val="00A320DE"/>
    <w:rsid w:val="00A32D09"/>
    <w:rsid w:val="00A3330A"/>
    <w:rsid w:val="00A33A84"/>
    <w:rsid w:val="00A33ABC"/>
    <w:rsid w:val="00A354F7"/>
    <w:rsid w:val="00A35C1D"/>
    <w:rsid w:val="00A35CC7"/>
    <w:rsid w:val="00A3781C"/>
    <w:rsid w:val="00A37DAF"/>
    <w:rsid w:val="00A41613"/>
    <w:rsid w:val="00A4444B"/>
    <w:rsid w:val="00A446A3"/>
    <w:rsid w:val="00A44B97"/>
    <w:rsid w:val="00A44D87"/>
    <w:rsid w:val="00A44E44"/>
    <w:rsid w:val="00A455AB"/>
    <w:rsid w:val="00A456EA"/>
    <w:rsid w:val="00A47166"/>
    <w:rsid w:val="00A47203"/>
    <w:rsid w:val="00A47349"/>
    <w:rsid w:val="00A5092B"/>
    <w:rsid w:val="00A517F7"/>
    <w:rsid w:val="00A51955"/>
    <w:rsid w:val="00A51A78"/>
    <w:rsid w:val="00A526B8"/>
    <w:rsid w:val="00A530FF"/>
    <w:rsid w:val="00A5335F"/>
    <w:rsid w:val="00A54762"/>
    <w:rsid w:val="00A54A58"/>
    <w:rsid w:val="00A54D98"/>
    <w:rsid w:val="00A55237"/>
    <w:rsid w:val="00A561AB"/>
    <w:rsid w:val="00A56416"/>
    <w:rsid w:val="00A566A2"/>
    <w:rsid w:val="00A60057"/>
    <w:rsid w:val="00A606F9"/>
    <w:rsid w:val="00A60862"/>
    <w:rsid w:val="00A60867"/>
    <w:rsid w:val="00A613F5"/>
    <w:rsid w:val="00A61939"/>
    <w:rsid w:val="00A61CEF"/>
    <w:rsid w:val="00A62761"/>
    <w:rsid w:val="00A62A86"/>
    <w:rsid w:val="00A62E85"/>
    <w:rsid w:val="00A6348B"/>
    <w:rsid w:val="00A63BFE"/>
    <w:rsid w:val="00A64756"/>
    <w:rsid w:val="00A6513C"/>
    <w:rsid w:val="00A70236"/>
    <w:rsid w:val="00A71DEC"/>
    <w:rsid w:val="00A71DF2"/>
    <w:rsid w:val="00A72AD0"/>
    <w:rsid w:val="00A72C66"/>
    <w:rsid w:val="00A736A1"/>
    <w:rsid w:val="00A74452"/>
    <w:rsid w:val="00A74903"/>
    <w:rsid w:val="00A74B1A"/>
    <w:rsid w:val="00A778AA"/>
    <w:rsid w:val="00A80AF8"/>
    <w:rsid w:val="00A813C1"/>
    <w:rsid w:val="00A81A4F"/>
    <w:rsid w:val="00A82D98"/>
    <w:rsid w:val="00A83BDE"/>
    <w:rsid w:val="00A8423A"/>
    <w:rsid w:val="00A84990"/>
    <w:rsid w:val="00A84DEC"/>
    <w:rsid w:val="00A852B2"/>
    <w:rsid w:val="00A85E27"/>
    <w:rsid w:val="00A869C8"/>
    <w:rsid w:val="00A86F99"/>
    <w:rsid w:val="00A87924"/>
    <w:rsid w:val="00A87B4E"/>
    <w:rsid w:val="00A923AA"/>
    <w:rsid w:val="00A92EF5"/>
    <w:rsid w:val="00A9370F"/>
    <w:rsid w:val="00A93D2D"/>
    <w:rsid w:val="00A94F2E"/>
    <w:rsid w:val="00A9682A"/>
    <w:rsid w:val="00A979E9"/>
    <w:rsid w:val="00AA0A6F"/>
    <w:rsid w:val="00AA0F9D"/>
    <w:rsid w:val="00AA0FDC"/>
    <w:rsid w:val="00AA1CA8"/>
    <w:rsid w:val="00AA1DAD"/>
    <w:rsid w:val="00AA2170"/>
    <w:rsid w:val="00AA30E6"/>
    <w:rsid w:val="00AA3108"/>
    <w:rsid w:val="00AA3F8A"/>
    <w:rsid w:val="00AA494D"/>
    <w:rsid w:val="00AA7BFF"/>
    <w:rsid w:val="00AB0042"/>
    <w:rsid w:val="00AB092B"/>
    <w:rsid w:val="00AB104E"/>
    <w:rsid w:val="00AB3095"/>
    <w:rsid w:val="00AB3DA3"/>
    <w:rsid w:val="00AB4944"/>
    <w:rsid w:val="00AB50BC"/>
    <w:rsid w:val="00AB5D58"/>
    <w:rsid w:val="00AB5E71"/>
    <w:rsid w:val="00AB60C1"/>
    <w:rsid w:val="00AB61CC"/>
    <w:rsid w:val="00AB77B5"/>
    <w:rsid w:val="00AC034B"/>
    <w:rsid w:val="00AC06E2"/>
    <w:rsid w:val="00AC1AF2"/>
    <w:rsid w:val="00AC2164"/>
    <w:rsid w:val="00AC3CDF"/>
    <w:rsid w:val="00AC520B"/>
    <w:rsid w:val="00AC5708"/>
    <w:rsid w:val="00AC64A6"/>
    <w:rsid w:val="00AC6D37"/>
    <w:rsid w:val="00AC6DE0"/>
    <w:rsid w:val="00AC7CBA"/>
    <w:rsid w:val="00AD0400"/>
    <w:rsid w:val="00AD148C"/>
    <w:rsid w:val="00AD24BD"/>
    <w:rsid w:val="00AD30FA"/>
    <w:rsid w:val="00AD6942"/>
    <w:rsid w:val="00AD70E4"/>
    <w:rsid w:val="00AD74CD"/>
    <w:rsid w:val="00AD76C1"/>
    <w:rsid w:val="00AD7A6F"/>
    <w:rsid w:val="00AD7B64"/>
    <w:rsid w:val="00AE07BD"/>
    <w:rsid w:val="00AE084F"/>
    <w:rsid w:val="00AE1359"/>
    <w:rsid w:val="00AE176A"/>
    <w:rsid w:val="00AE1B3E"/>
    <w:rsid w:val="00AE21DD"/>
    <w:rsid w:val="00AE2458"/>
    <w:rsid w:val="00AE25B7"/>
    <w:rsid w:val="00AE3A77"/>
    <w:rsid w:val="00AE423D"/>
    <w:rsid w:val="00AE455B"/>
    <w:rsid w:val="00AE7196"/>
    <w:rsid w:val="00AE74C0"/>
    <w:rsid w:val="00AE772F"/>
    <w:rsid w:val="00AE7A05"/>
    <w:rsid w:val="00AE7E69"/>
    <w:rsid w:val="00AF1CEC"/>
    <w:rsid w:val="00AF208B"/>
    <w:rsid w:val="00AF24A0"/>
    <w:rsid w:val="00AF305B"/>
    <w:rsid w:val="00AF42EA"/>
    <w:rsid w:val="00AF4717"/>
    <w:rsid w:val="00AF54E4"/>
    <w:rsid w:val="00AF6365"/>
    <w:rsid w:val="00AF6CF6"/>
    <w:rsid w:val="00AF7729"/>
    <w:rsid w:val="00AF7C43"/>
    <w:rsid w:val="00B01222"/>
    <w:rsid w:val="00B01E2B"/>
    <w:rsid w:val="00B02219"/>
    <w:rsid w:val="00B0276F"/>
    <w:rsid w:val="00B02B53"/>
    <w:rsid w:val="00B0378B"/>
    <w:rsid w:val="00B0385B"/>
    <w:rsid w:val="00B04DD1"/>
    <w:rsid w:val="00B0536D"/>
    <w:rsid w:val="00B05912"/>
    <w:rsid w:val="00B05FB6"/>
    <w:rsid w:val="00B071A6"/>
    <w:rsid w:val="00B101E9"/>
    <w:rsid w:val="00B10A0F"/>
    <w:rsid w:val="00B121AF"/>
    <w:rsid w:val="00B126B4"/>
    <w:rsid w:val="00B12F16"/>
    <w:rsid w:val="00B138BF"/>
    <w:rsid w:val="00B151AC"/>
    <w:rsid w:val="00B15753"/>
    <w:rsid w:val="00B1660B"/>
    <w:rsid w:val="00B16733"/>
    <w:rsid w:val="00B16A35"/>
    <w:rsid w:val="00B17818"/>
    <w:rsid w:val="00B17B6D"/>
    <w:rsid w:val="00B2011E"/>
    <w:rsid w:val="00B20D30"/>
    <w:rsid w:val="00B232B5"/>
    <w:rsid w:val="00B2390C"/>
    <w:rsid w:val="00B2573E"/>
    <w:rsid w:val="00B260B2"/>
    <w:rsid w:val="00B266C7"/>
    <w:rsid w:val="00B274BC"/>
    <w:rsid w:val="00B27744"/>
    <w:rsid w:val="00B27AF7"/>
    <w:rsid w:val="00B27B41"/>
    <w:rsid w:val="00B306BE"/>
    <w:rsid w:val="00B30A03"/>
    <w:rsid w:val="00B31E5D"/>
    <w:rsid w:val="00B32084"/>
    <w:rsid w:val="00B32FAE"/>
    <w:rsid w:val="00B334AB"/>
    <w:rsid w:val="00B35291"/>
    <w:rsid w:val="00B35F2B"/>
    <w:rsid w:val="00B361FA"/>
    <w:rsid w:val="00B36347"/>
    <w:rsid w:val="00B40152"/>
    <w:rsid w:val="00B414E2"/>
    <w:rsid w:val="00B42B31"/>
    <w:rsid w:val="00B440DB"/>
    <w:rsid w:val="00B44483"/>
    <w:rsid w:val="00B44F6D"/>
    <w:rsid w:val="00B46573"/>
    <w:rsid w:val="00B46C9C"/>
    <w:rsid w:val="00B47658"/>
    <w:rsid w:val="00B51BFF"/>
    <w:rsid w:val="00B52644"/>
    <w:rsid w:val="00B5336B"/>
    <w:rsid w:val="00B55173"/>
    <w:rsid w:val="00B55392"/>
    <w:rsid w:val="00B5563A"/>
    <w:rsid w:val="00B55F00"/>
    <w:rsid w:val="00B56092"/>
    <w:rsid w:val="00B572BB"/>
    <w:rsid w:val="00B57525"/>
    <w:rsid w:val="00B5752F"/>
    <w:rsid w:val="00B57C2B"/>
    <w:rsid w:val="00B60071"/>
    <w:rsid w:val="00B62540"/>
    <w:rsid w:val="00B62F5C"/>
    <w:rsid w:val="00B638D6"/>
    <w:rsid w:val="00B6391A"/>
    <w:rsid w:val="00B63E1A"/>
    <w:rsid w:val="00B6494F"/>
    <w:rsid w:val="00B64CD7"/>
    <w:rsid w:val="00B65F96"/>
    <w:rsid w:val="00B66418"/>
    <w:rsid w:val="00B669F8"/>
    <w:rsid w:val="00B66A7E"/>
    <w:rsid w:val="00B676D1"/>
    <w:rsid w:val="00B713A4"/>
    <w:rsid w:val="00B72A0C"/>
    <w:rsid w:val="00B754E2"/>
    <w:rsid w:val="00B761C1"/>
    <w:rsid w:val="00B7625B"/>
    <w:rsid w:val="00B76B2D"/>
    <w:rsid w:val="00B77211"/>
    <w:rsid w:val="00B77223"/>
    <w:rsid w:val="00B7764A"/>
    <w:rsid w:val="00B80A18"/>
    <w:rsid w:val="00B80DAA"/>
    <w:rsid w:val="00B8234C"/>
    <w:rsid w:val="00B82660"/>
    <w:rsid w:val="00B83A8E"/>
    <w:rsid w:val="00B8490F"/>
    <w:rsid w:val="00B8702A"/>
    <w:rsid w:val="00B87F00"/>
    <w:rsid w:val="00B902D1"/>
    <w:rsid w:val="00B90C38"/>
    <w:rsid w:val="00B911B0"/>
    <w:rsid w:val="00B9193A"/>
    <w:rsid w:val="00B92181"/>
    <w:rsid w:val="00B94BAB"/>
    <w:rsid w:val="00B953F5"/>
    <w:rsid w:val="00B962E4"/>
    <w:rsid w:val="00B96385"/>
    <w:rsid w:val="00B96685"/>
    <w:rsid w:val="00B96D1F"/>
    <w:rsid w:val="00B9781F"/>
    <w:rsid w:val="00BA0941"/>
    <w:rsid w:val="00BA1CE2"/>
    <w:rsid w:val="00BA340C"/>
    <w:rsid w:val="00BA353E"/>
    <w:rsid w:val="00BA7E94"/>
    <w:rsid w:val="00BB0971"/>
    <w:rsid w:val="00BB4717"/>
    <w:rsid w:val="00BB4C34"/>
    <w:rsid w:val="00BB5439"/>
    <w:rsid w:val="00BB5E5B"/>
    <w:rsid w:val="00BB6211"/>
    <w:rsid w:val="00BB6245"/>
    <w:rsid w:val="00BB75B4"/>
    <w:rsid w:val="00BB7709"/>
    <w:rsid w:val="00BB7792"/>
    <w:rsid w:val="00BC0965"/>
    <w:rsid w:val="00BC0DAD"/>
    <w:rsid w:val="00BC1F0A"/>
    <w:rsid w:val="00BC265E"/>
    <w:rsid w:val="00BC33EE"/>
    <w:rsid w:val="00BC374B"/>
    <w:rsid w:val="00BC3D7E"/>
    <w:rsid w:val="00BC5946"/>
    <w:rsid w:val="00BC6A2D"/>
    <w:rsid w:val="00BD0F63"/>
    <w:rsid w:val="00BD1156"/>
    <w:rsid w:val="00BD1A41"/>
    <w:rsid w:val="00BD3A16"/>
    <w:rsid w:val="00BD61F4"/>
    <w:rsid w:val="00BD69C1"/>
    <w:rsid w:val="00BD7DEA"/>
    <w:rsid w:val="00BE07AB"/>
    <w:rsid w:val="00BE16FC"/>
    <w:rsid w:val="00BE2162"/>
    <w:rsid w:val="00BE2BCB"/>
    <w:rsid w:val="00BE3967"/>
    <w:rsid w:val="00BE3E91"/>
    <w:rsid w:val="00BE4ECC"/>
    <w:rsid w:val="00BE51CA"/>
    <w:rsid w:val="00BE5D9E"/>
    <w:rsid w:val="00BE7449"/>
    <w:rsid w:val="00BE78FA"/>
    <w:rsid w:val="00BF1FCE"/>
    <w:rsid w:val="00BF4679"/>
    <w:rsid w:val="00BF490D"/>
    <w:rsid w:val="00BF57EA"/>
    <w:rsid w:val="00BF6356"/>
    <w:rsid w:val="00BF6984"/>
    <w:rsid w:val="00BF70A7"/>
    <w:rsid w:val="00BF7582"/>
    <w:rsid w:val="00BF762A"/>
    <w:rsid w:val="00C003A9"/>
    <w:rsid w:val="00C00527"/>
    <w:rsid w:val="00C00E3B"/>
    <w:rsid w:val="00C00F5D"/>
    <w:rsid w:val="00C0197C"/>
    <w:rsid w:val="00C02328"/>
    <w:rsid w:val="00C030C6"/>
    <w:rsid w:val="00C04289"/>
    <w:rsid w:val="00C04670"/>
    <w:rsid w:val="00C04F0F"/>
    <w:rsid w:val="00C0528A"/>
    <w:rsid w:val="00C054A4"/>
    <w:rsid w:val="00C10A87"/>
    <w:rsid w:val="00C112F5"/>
    <w:rsid w:val="00C13E55"/>
    <w:rsid w:val="00C176EB"/>
    <w:rsid w:val="00C17B1E"/>
    <w:rsid w:val="00C17C73"/>
    <w:rsid w:val="00C2002B"/>
    <w:rsid w:val="00C2054F"/>
    <w:rsid w:val="00C210AE"/>
    <w:rsid w:val="00C23909"/>
    <w:rsid w:val="00C25246"/>
    <w:rsid w:val="00C26E14"/>
    <w:rsid w:val="00C279CA"/>
    <w:rsid w:val="00C27E9B"/>
    <w:rsid w:val="00C27F97"/>
    <w:rsid w:val="00C30E89"/>
    <w:rsid w:val="00C3272F"/>
    <w:rsid w:val="00C337B8"/>
    <w:rsid w:val="00C34D9C"/>
    <w:rsid w:val="00C355A7"/>
    <w:rsid w:val="00C36C82"/>
    <w:rsid w:val="00C36E29"/>
    <w:rsid w:val="00C37139"/>
    <w:rsid w:val="00C3737B"/>
    <w:rsid w:val="00C37645"/>
    <w:rsid w:val="00C422ED"/>
    <w:rsid w:val="00C4377C"/>
    <w:rsid w:val="00C43D94"/>
    <w:rsid w:val="00C441DC"/>
    <w:rsid w:val="00C44307"/>
    <w:rsid w:val="00C44A04"/>
    <w:rsid w:val="00C45158"/>
    <w:rsid w:val="00C46556"/>
    <w:rsid w:val="00C47037"/>
    <w:rsid w:val="00C4761B"/>
    <w:rsid w:val="00C505AF"/>
    <w:rsid w:val="00C51883"/>
    <w:rsid w:val="00C5275E"/>
    <w:rsid w:val="00C52922"/>
    <w:rsid w:val="00C52A28"/>
    <w:rsid w:val="00C533D8"/>
    <w:rsid w:val="00C55A9D"/>
    <w:rsid w:val="00C60EDA"/>
    <w:rsid w:val="00C6178E"/>
    <w:rsid w:val="00C6181A"/>
    <w:rsid w:val="00C63B9C"/>
    <w:rsid w:val="00C63D2D"/>
    <w:rsid w:val="00C645E0"/>
    <w:rsid w:val="00C65213"/>
    <w:rsid w:val="00C6554F"/>
    <w:rsid w:val="00C6698B"/>
    <w:rsid w:val="00C67CFB"/>
    <w:rsid w:val="00C70CB1"/>
    <w:rsid w:val="00C710DB"/>
    <w:rsid w:val="00C7129A"/>
    <w:rsid w:val="00C7237D"/>
    <w:rsid w:val="00C73302"/>
    <w:rsid w:val="00C7359E"/>
    <w:rsid w:val="00C73741"/>
    <w:rsid w:val="00C73B3E"/>
    <w:rsid w:val="00C73DC1"/>
    <w:rsid w:val="00C743EA"/>
    <w:rsid w:val="00C74B55"/>
    <w:rsid w:val="00C74C3A"/>
    <w:rsid w:val="00C74D0D"/>
    <w:rsid w:val="00C75728"/>
    <w:rsid w:val="00C76345"/>
    <w:rsid w:val="00C76714"/>
    <w:rsid w:val="00C773FD"/>
    <w:rsid w:val="00C8116F"/>
    <w:rsid w:val="00C814D1"/>
    <w:rsid w:val="00C81D68"/>
    <w:rsid w:val="00C83323"/>
    <w:rsid w:val="00C83C94"/>
    <w:rsid w:val="00C84547"/>
    <w:rsid w:val="00C848FD"/>
    <w:rsid w:val="00C84914"/>
    <w:rsid w:val="00C85BB7"/>
    <w:rsid w:val="00C85E15"/>
    <w:rsid w:val="00C86797"/>
    <w:rsid w:val="00C86892"/>
    <w:rsid w:val="00C91280"/>
    <w:rsid w:val="00C921AB"/>
    <w:rsid w:val="00C93595"/>
    <w:rsid w:val="00C935F3"/>
    <w:rsid w:val="00C9364E"/>
    <w:rsid w:val="00C94891"/>
    <w:rsid w:val="00C94E12"/>
    <w:rsid w:val="00C96009"/>
    <w:rsid w:val="00C974E4"/>
    <w:rsid w:val="00C977C9"/>
    <w:rsid w:val="00CA03DB"/>
    <w:rsid w:val="00CA1B98"/>
    <w:rsid w:val="00CA4D7B"/>
    <w:rsid w:val="00CA64D6"/>
    <w:rsid w:val="00CA676F"/>
    <w:rsid w:val="00CA6B9B"/>
    <w:rsid w:val="00CA7C9B"/>
    <w:rsid w:val="00CB0F2E"/>
    <w:rsid w:val="00CB2BDD"/>
    <w:rsid w:val="00CB32D8"/>
    <w:rsid w:val="00CB3384"/>
    <w:rsid w:val="00CB373F"/>
    <w:rsid w:val="00CB48BC"/>
    <w:rsid w:val="00CB60F9"/>
    <w:rsid w:val="00CB6E98"/>
    <w:rsid w:val="00CB7AEA"/>
    <w:rsid w:val="00CB7BFE"/>
    <w:rsid w:val="00CC0233"/>
    <w:rsid w:val="00CC056B"/>
    <w:rsid w:val="00CC0EC6"/>
    <w:rsid w:val="00CC1D2E"/>
    <w:rsid w:val="00CC1D85"/>
    <w:rsid w:val="00CC464E"/>
    <w:rsid w:val="00CC466A"/>
    <w:rsid w:val="00CC4D39"/>
    <w:rsid w:val="00CC53AE"/>
    <w:rsid w:val="00CC586B"/>
    <w:rsid w:val="00CC6580"/>
    <w:rsid w:val="00CC6836"/>
    <w:rsid w:val="00CC6C8C"/>
    <w:rsid w:val="00CC7233"/>
    <w:rsid w:val="00CC7A56"/>
    <w:rsid w:val="00CC7B6C"/>
    <w:rsid w:val="00CD173F"/>
    <w:rsid w:val="00CD17DC"/>
    <w:rsid w:val="00CD2B63"/>
    <w:rsid w:val="00CD3002"/>
    <w:rsid w:val="00CD32F5"/>
    <w:rsid w:val="00CD3FFA"/>
    <w:rsid w:val="00CD42EC"/>
    <w:rsid w:val="00CD473C"/>
    <w:rsid w:val="00CD571D"/>
    <w:rsid w:val="00CD5D84"/>
    <w:rsid w:val="00CD6915"/>
    <w:rsid w:val="00CD6E50"/>
    <w:rsid w:val="00CE0CEE"/>
    <w:rsid w:val="00CE102E"/>
    <w:rsid w:val="00CE18B9"/>
    <w:rsid w:val="00CE1A7E"/>
    <w:rsid w:val="00CE2711"/>
    <w:rsid w:val="00CE2E91"/>
    <w:rsid w:val="00CE3172"/>
    <w:rsid w:val="00CE3E30"/>
    <w:rsid w:val="00CE427E"/>
    <w:rsid w:val="00CE44D4"/>
    <w:rsid w:val="00CE51F1"/>
    <w:rsid w:val="00CE66A1"/>
    <w:rsid w:val="00CE7ADE"/>
    <w:rsid w:val="00CE7FCD"/>
    <w:rsid w:val="00CF062F"/>
    <w:rsid w:val="00CF0762"/>
    <w:rsid w:val="00CF1880"/>
    <w:rsid w:val="00CF264A"/>
    <w:rsid w:val="00CF2AAF"/>
    <w:rsid w:val="00CF4417"/>
    <w:rsid w:val="00CF4C52"/>
    <w:rsid w:val="00CF78B0"/>
    <w:rsid w:val="00CF7B20"/>
    <w:rsid w:val="00D00A71"/>
    <w:rsid w:val="00D0139C"/>
    <w:rsid w:val="00D0292E"/>
    <w:rsid w:val="00D03447"/>
    <w:rsid w:val="00D03A06"/>
    <w:rsid w:val="00D047DE"/>
    <w:rsid w:val="00D04C38"/>
    <w:rsid w:val="00D04D07"/>
    <w:rsid w:val="00D062D9"/>
    <w:rsid w:val="00D06423"/>
    <w:rsid w:val="00D072D8"/>
    <w:rsid w:val="00D075AD"/>
    <w:rsid w:val="00D12EA8"/>
    <w:rsid w:val="00D13498"/>
    <w:rsid w:val="00D13727"/>
    <w:rsid w:val="00D14543"/>
    <w:rsid w:val="00D14F19"/>
    <w:rsid w:val="00D169CA"/>
    <w:rsid w:val="00D16F1E"/>
    <w:rsid w:val="00D178F5"/>
    <w:rsid w:val="00D1798C"/>
    <w:rsid w:val="00D17E78"/>
    <w:rsid w:val="00D202C8"/>
    <w:rsid w:val="00D20B5F"/>
    <w:rsid w:val="00D22846"/>
    <w:rsid w:val="00D23627"/>
    <w:rsid w:val="00D247C5"/>
    <w:rsid w:val="00D2550C"/>
    <w:rsid w:val="00D2607E"/>
    <w:rsid w:val="00D26541"/>
    <w:rsid w:val="00D27AAF"/>
    <w:rsid w:val="00D27DF8"/>
    <w:rsid w:val="00D309AB"/>
    <w:rsid w:val="00D30F7E"/>
    <w:rsid w:val="00D31B6C"/>
    <w:rsid w:val="00D32770"/>
    <w:rsid w:val="00D329E6"/>
    <w:rsid w:val="00D334FF"/>
    <w:rsid w:val="00D36A43"/>
    <w:rsid w:val="00D36EA2"/>
    <w:rsid w:val="00D370EF"/>
    <w:rsid w:val="00D37968"/>
    <w:rsid w:val="00D4068A"/>
    <w:rsid w:val="00D43928"/>
    <w:rsid w:val="00D43D31"/>
    <w:rsid w:val="00D45A55"/>
    <w:rsid w:val="00D45F90"/>
    <w:rsid w:val="00D47101"/>
    <w:rsid w:val="00D477CC"/>
    <w:rsid w:val="00D5073C"/>
    <w:rsid w:val="00D51003"/>
    <w:rsid w:val="00D515C2"/>
    <w:rsid w:val="00D524CF"/>
    <w:rsid w:val="00D5310D"/>
    <w:rsid w:val="00D53239"/>
    <w:rsid w:val="00D53ACD"/>
    <w:rsid w:val="00D53D66"/>
    <w:rsid w:val="00D5409C"/>
    <w:rsid w:val="00D54F8A"/>
    <w:rsid w:val="00D5612D"/>
    <w:rsid w:val="00D56AC5"/>
    <w:rsid w:val="00D57BB8"/>
    <w:rsid w:val="00D61526"/>
    <w:rsid w:val="00D61B32"/>
    <w:rsid w:val="00D61CA6"/>
    <w:rsid w:val="00D61D8C"/>
    <w:rsid w:val="00D622B7"/>
    <w:rsid w:val="00D62ED4"/>
    <w:rsid w:val="00D635DB"/>
    <w:rsid w:val="00D64160"/>
    <w:rsid w:val="00D64B28"/>
    <w:rsid w:val="00D65B94"/>
    <w:rsid w:val="00D66060"/>
    <w:rsid w:val="00D66280"/>
    <w:rsid w:val="00D66491"/>
    <w:rsid w:val="00D67793"/>
    <w:rsid w:val="00D67C89"/>
    <w:rsid w:val="00D70175"/>
    <w:rsid w:val="00D70562"/>
    <w:rsid w:val="00D70607"/>
    <w:rsid w:val="00D7104C"/>
    <w:rsid w:val="00D72228"/>
    <w:rsid w:val="00D7278A"/>
    <w:rsid w:val="00D73ADF"/>
    <w:rsid w:val="00D759C0"/>
    <w:rsid w:val="00D76827"/>
    <w:rsid w:val="00D7683F"/>
    <w:rsid w:val="00D769FC"/>
    <w:rsid w:val="00D80AEB"/>
    <w:rsid w:val="00D8383E"/>
    <w:rsid w:val="00D84323"/>
    <w:rsid w:val="00D84843"/>
    <w:rsid w:val="00D84E83"/>
    <w:rsid w:val="00D8796B"/>
    <w:rsid w:val="00D90A1A"/>
    <w:rsid w:val="00D90E23"/>
    <w:rsid w:val="00D91A5F"/>
    <w:rsid w:val="00D92D88"/>
    <w:rsid w:val="00D933E2"/>
    <w:rsid w:val="00D93545"/>
    <w:rsid w:val="00D93992"/>
    <w:rsid w:val="00D940BA"/>
    <w:rsid w:val="00D943FE"/>
    <w:rsid w:val="00D947F6"/>
    <w:rsid w:val="00D94ADB"/>
    <w:rsid w:val="00D9694B"/>
    <w:rsid w:val="00D96AFF"/>
    <w:rsid w:val="00DA09F4"/>
    <w:rsid w:val="00DA12FF"/>
    <w:rsid w:val="00DA2418"/>
    <w:rsid w:val="00DA5450"/>
    <w:rsid w:val="00DA582B"/>
    <w:rsid w:val="00DA5CC3"/>
    <w:rsid w:val="00DA6A10"/>
    <w:rsid w:val="00DB0581"/>
    <w:rsid w:val="00DB2245"/>
    <w:rsid w:val="00DB287F"/>
    <w:rsid w:val="00DB2C9F"/>
    <w:rsid w:val="00DB30F6"/>
    <w:rsid w:val="00DB331C"/>
    <w:rsid w:val="00DB3526"/>
    <w:rsid w:val="00DB517F"/>
    <w:rsid w:val="00DB6C55"/>
    <w:rsid w:val="00DB70D1"/>
    <w:rsid w:val="00DB70DE"/>
    <w:rsid w:val="00DC0017"/>
    <w:rsid w:val="00DC21F0"/>
    <w:rsid w:val="00DC24F8"/>
    <w:rsid w:val="00DC279A"/>
    <w:rsid w:val="00DC2A12"/>
    <w:rsid w:val="00DC435B"/>
    <w:rsid w:val="00DC459A"/>
    <w:rsid w:val="00DC4C34"/>
    <w:rsid w:val="00DC4FE9"/>
    <w:rsid w:val="00DC646A"/>
    <w:rsid w:val="00DC719A"/>
    <w:rsid w:val="00DD24BB"/>
    <w:rsid w:val="00DD270A"/>
    <w:rsid w:val="00DD4185"/>
    <w:rsid w:val="00DD4194"/>
    <w:rsid w:val="00DD5115"/>
    <w:rsid w:val="00DD5FC0"/>
    <w:rsid w:val="00DD63AD"/>
    <w:rsid w:val="00DD71BB"/>
    <w:rsid w:val="00DD7B29"/>
    <w:rsid w:val="00DE095F"/>
    <w:rsid w:val="00DE196E"/>
    <w:rsid w:val="00DE1FE7"/>
    <w:rsid w:val="00DE22B2"/>
    <w:rsid w:val="00DE4018"/>
    <w:rsid w:val="00DE48FA"/>
    <w:rsid w:val="00DE4F29"/>
    <w:rsid w:val="00DE6260"/>
    <w:rsid w:val="00DE741B"/>
    <w:rsid w:val="00DF017F"/>
    <w:rsid w:val="00DF067D"/>
    <w:rsid w:val="00DF3985"/>
    <w:rsid w:val="00DF3D92"/>
    <w:rsid w:val="00DF440C"/>
    <w:rsid w:val="00DF4664"/>
    <w:rsid w:val="00DF477B"/>
    <w:rsid w:val="00DF4AF7"/>
    <w:rsid w:val="00DF5672"/>
    <w:rsid w:val="00DF5AD6"/>
    <w:rsid w:val="00DF60E4"/>
    <w:rsid w:val="00DF6368"/>
    <w:rsid w:val="00DF6B56"/>
    <w:rsid w:val="00DF6D71"/>
    <w:rsid w:val="00DF7E83"/>
    <w:rsid w:val="00E0066F"/>
    <w:rsid w:val="00E009AB"/>
    <w:rsid w:val="00E00E07"/>
    <w:rsid w:val="00E01327"/>
    <w:rsid w:val="00E0199F"/>
    <w:rsid w:val="00E03CAB"/>
    <w:rsid w:val="00E04BA7"/>
    <w:rsid w:val="00E066EA"/>
    <w:rsid w:val="00E06CE5"/>
    <w:rsid w:val="00E1075D"/>
    <w:rsid w:val="00E133E0"/>
    <w:rsid w:val="00E137CE"/>
    <w:rsid w:val="00E14285"/>
    <w:rsid w:val="00E14C5F"/>
    <w:rsid w:val="00E15AD9"/>
    <w:rsid w:val="00E15FA7"/>
    <w:rsid w:val="00E16440"/>
    <w:rsid w:val="00E16DD7"/>
    <w:rsid w:val="00E16DEF"/>
    <w:rsid w:val="00E16FE0"/>
    <w:rsid w:val="00E175F0"/>
    <w:rsid w:val="00E22782"/>
    <w:rsid w:val="00E229F2"/>
    <w:rsid w:val="00E22C17"/>
    <w:rsid w:val="00E23E19"/>
    <w:rsid w:val="00E243FC"/>
    <w:rsid w:val="00E24541"/>
    <w:rsid w:val="00E25AA5"/>
    <w:rsid w:val="00E26562"/>
    <w:rsid w:val="00E267DC"/>
    <w:rsid w:val="00E269A7"/>
    <w:rsid w:val="00E26B1A"/>
    <w:rsid w:val="00E273FA"/>
    <w:rsid w:val="00E27E71"/>
    <w:rsid w:val="00E301A5"/>
    <w:rsid w:val="00E31281"/>
    <w:rsid w:val="00E316EE"/>
    <w:rsid w:val="00E32749"/>
    <w:rsid w:val="00E339A3"/>
    <w:rsid w:val="00E33F47"/>
    <w:rsid w:val="00E33F56"/>
    <w:rsid w:val="00E340B2"/>
    <w:rsid w:val="00E34DA5"/>
    <w:rsid w:val="00E36A66"/>
    <w:rsid w:val="00E37A4C"/>
    <w:rsid w:val="00E37B28"/>
    <w:rsid w:val="00E40297"/>
    <w:rsid w:val="00E40880"/>
    <w:rsid w:val="00E41BA3"/>
    <w:rsid w:val="00E42365"/>
    <w:rsid w:val="00E4563E"/>
    <w:rsid w:val="00E45C3C"/>
    <w:rsid w:val="00E478C0"/>
    <w:rsid w:val="00E518AC"/>
    <w:rsid w:val="00E52011"/>
    <w:rsid w:val="00E521F2"/>
    <w:rsid w:val="00E5299C"/>
    <w:rsid w:val="00E534B1"/>
    <w:rsid w:val="00E5366A"/>
    <w:rsid w:val="00E539EC"/>
    <w:rsid w:val="00E54192"/>
    <w:rsid w:val="00E542B7"/>
    <w:rsid w:val="00E548DA"/>
    <w:rsid w:val="00E54C62"/>
    <w:rsid w:val="00E552F9"/>
    <w:rsid w:val="00E55EFD"/>
    <w:rsid w:val="00E5739C"/>
    <w:rsid w:val="00E57B62"/>
    <w:rsid w:val="00E57E49"/>
    <w:rsid w:val="00E613D2"/>
    <w:rsid w:val="00E61D69"/>
    <w:rsid w:val="00E61E40"/>
    <w:rsid w:val="00E62AD6"/>
    <w:rsid w:val="00E62C3F"/>
    <w:rsid w:val="00E63E79"/>
    <w:rsid w:val="00E640AF"/>
    <w:rsid w:val="00E65076"/>
    <w:rsid w:val="00E6534F"/>
    <w:rsid w:val="00E65986"/>
    <w:rsid w:val="00E66A93"/>
    <w:rsid w:val="00E66C3C"/>
    <w:rsid w:val="00E67089"/>
    <w:rsid w:val="00E67A1E"/>
    <w:rsid w:val="00E70F29"/>
    <w:rsid w:val="00E7249B"/>
    <w:rsid w:val="00E72B5A"/>
    <w:rsid w:val="00E736A2"/>
    <w:rsid w:val="00E73890"/>
    <w:rsid w:val="00E73E8A"/>
    <w:rsid w:val="00E7498F"/>
    <w:rsid w:val="00E74A40"/>
    <w:rsid w:val="00E74DC7"/>
    <w:rsid w:val="00E74FA4"/>
    <w:rsid w:val="00E75B32"/>
    <w:rsid w:val="00E75F37"/>
    <w:rsid w:val="00E76CBA"/>
    <w:rsid w:val="00E808D9"/>
    <w:rsid w:val="00E81219"/>
    <w:rsid w:val="00E8131C"/>
    <w:rsid w:val="00E81B5E"/>
    <w:rsid w:val="00E82190"/>
    <w:rsid w:val="00E83720"/>
    <w:rsid w:val="00E84644"/>
    <w:rsid w:val="00E85AEC"/>
    <w:rsid w:val="00E85F85"/>
    <w:rsid w:val="00E86326"/>
    <w:rsid w:val="00E86F75"/>
    <w:rsid w:val="00E87046"/>
    <w:rsid w:val="00E872D9"/>
    <w:rsid w:val="00E90E1C"/>
    <w:rsid w:val="00E91A69"/>
    <w:rsid w:val="00E92E38"/>
    <w:rsid w:val="00E92E5C"/>
    <w:rsid w:val="00E93174"/>
    <w:rsid w:val="00E940D0"/>
    <w:rsid w:val="00E95012"/>
    <w:rsid w:val="00E96AD5"/>
    <w:rsid w:val="00E97403"/>
    <w:rsid w:val="00EA099B"/>
    <w:rsid w:val="00EA1469"/>
    <w:rsid w:val="00EA1D69"/>
    <w:rsid w:val="00EA20D3"/>
    <w:rsid w:val="00EA2860"/>
    <w:rsid w:val="00EA30FE"/>
    <w:rsid w:val="00EA3C4F"/>
    <w:rsid w:val="00EA3C66"/>
    <w:rsid w:val="00EA616E"/>
    <w:rsid w:val="00EB06B1"/>
    <w:rsid w:val="00EB2311"/>
    <w:rsid w:val="00EB29D6"/>
    <w:rsid w:val="00EB30AD"/>
    <w:rsid w:val="00EB3C5C"/>
    <w:rsid w:val="00EB43C0"/>
    <w:rsid w:val="00EB5568"/>
    <w:rsid w:val="00EB565D"/>
    <w:rsid w:val="00EB5C23"/>
    <w:rsid w:val="00EB65D1"/>
    <w:rsid w:val="00EB65DD"/>
    <w:rsid w:val="00EC03DD"/>
    <w:rsid w:val="00EC0A10"/>
    <w:rsid w:val="00EC148B"/>
    <w:rsid w:val="00EC2287"/>
    <w:rsid w:val="00EC2C50"/>
    <w:rsid w:val="00EC2CCC"/>
    <w:rsid w:val="00EC3036"/>
    <w:rsid w:val="00EC427B"/>
    <w:rsid w:val="00EC4A71"/>
    <w:rsid w:val="00EC5943"/>
    <w:rsid w:val="00EC6110"/>
    <w:rsid w:val="00EC79D2"/>
    <w:rsid w:val="00ED05AD"/>
    <w:rsid w:val="00ED112C"/>
    <w:rsid w:val="00ED14EF"/>
    <w:rsid w:val="00ED24D8"/>
    <w:rsid w:val="00ED3DB2"/>
    <w:rsid w:val="00ED3FFC"/>
    <w:rsid w:val="00ED4410"/>
    <w:rsid w:val="00ED608F"/>
    <w:rsid w:val="00ED6B02"/>
    <w:rsid w:val="00ED73FE"/>
    <w:rsid w:val="00ED7424"/>
    <w:rsid w:val="00ED774C"/>
    <w:rsid w:val="00ED7F1C"/>
    <w:rsid w:val="00EE34CF"/>
    <w:rsid w:val="00EE4CD3"/>
    <w:rsid w:val="00EE564A"/>
    <w:rsid w:val="00EE5DCE"/>
    <w:rsid w:val="00EE6896"/>
    <w:rsid w:val="00EE7620"/>
    <w:rsid w:val="00EE7688"/>
    <w:rsid w:val="00EE79D8"/>
    <w:rsid w:val="00EF0496"/>
    <w:rsid w:val="00EF168E"/>
    <w:rsid w:val="00EF19B7"/>
    <w:rsid w:val="00EF1C25"/>
    <w:rsid w:val="00EF3171"/>
    <w:rsid w:val="00EF3659"/>
    <w:rsid w:val="00EF3BF8"/>
    <w:rsid w:val="00EF46FB"/>
    <w:rsid w:val="00EF4AF3"/>
    <w:rsid w:val="00EF4BF0"/>
    <w:rsid w:val="00EF5671"/>
    <w:rsid w:val="00EF587F"/>
    <w:rsid w:val="00EF59F6"/>
    <w:rsid w:val="00EF6540"/>
    <w:rsid w:val="00EF6A1F"/>
    <w:rsid w:val="00EF6D0B"/>
    <w:rsid w:val="00EF76F4"/>
    <w:rsid w:val="00EF77FF"/>
    <w:rsid w:val="00EF7D08"/>
    <w:rsid w:val="00F02E83"/>
    <w:rsid w:val="00F04CEF"/>
    <w:rsid w:val="00F056DB"/>
    <w:rsid w:val="00F058AA"/>
    <w:rsid w:val="00F05FD8"/>
    <w:rsid w:val="00F06A36"/>
    <w:rsid w:val="00F071B0"/>
    <w:rsid w:val="00F07411"/>
    <w:rsid w:val="00F100FF"/>
    <w:rsid w:val="00F10DDF"/>
    <w:rsid w:val="00F11A82"/>
    <w:rsid w:val="00F11DE6"/>
    <w:rsid w:val="00F1285F"/>
    <w:rsid w:val="00F1294E"/>
    <w:rsid w:val="00F1322C"/>
    <w:rsid w:val="00F13620"/>
    <w:rsid w:val="00F136D3"/>
    <w:rsid w:val="00F15953"/>
    <w:rsid w:val="00F15B43"/>
    <w:rsid w:val="00F17234"/>
    <w:rsid w:val="00F17870"/>
    <w:rsid w:val="00F178E9"/>
    <w:rsid w:val="00F17BCB"/>
    <w:rsid w:val="00F17CE0"/>
    <w:rsid w:val="00F17D58"/>
    <w:rsid w:val="00F204B8"/>
    <w:rsid w:val="00F2059F"/>
    <w:rsid w:val="00F21C17"/>
    <w:rsid w:val="00F22853"/>
    <w:rsid w:val="00F2299D"/>
    <w:rsid w:val="00F22DC9"/>
    <w:rsid w:val="00F23973"/>
    <w:rsid w:val="00F23E99"/>
    <w:rsid w:val="00F24476"/>
    <w:rsid w:val="00F251F5"/>
    <w:rsid w:val="00F25612"/>
    <w:rsid w:val="00F26234"/>
    <w:rsid w:val="00F263D7"/>
    <w:rsid w:val="00F2668B"/>
    <w:rsid w:val="00F267A3"/>
    <w:rsid w:val="00F26DB2"/>
    <w:rsid w:val="00F3004D"/>
    <w:rsid w:val="00F311F3"/>
    <w:rsid w:val="00F31988"/>
    <w:rsid w:val="00F31CE9"/>
    <w:rsid w:val="00F31F7E"/>
    <w:rsid w:val="00F3293B"/>
    <w:rsid w:val="00F3346D"/>
    <w:rsid w:val="00F33D5A"/>
    <w:rsid w:val="00F33DD1"/>
    <w:rsid w:val="00F33E69"/>
    <w:rsid w:val="00F33E96"/>
    <w:rsid w:val="00F34452"/>
    <w:rsid w:val="00F345A2"/>
    <w:rsid w:val="00F352C4"/>
    <w:rsid w:val="00F35FDD"/>
    <w:rsid w:val="00F3652C"/>
    <w:rsid w:val="00F37377"/>
    <w:rsid w:val="00F378D2"/>
    <w:rsid w:val="00F4184D"/>
    <w:rsid w:val="00F42223"/>
    <w:rsid w:val="00F42280"/>
    <w:rsid w:val="00F42EA6"/>
    <w:rsid w:val="00F4529C"/>
    <w:rsid w:val="00F45330"/>
    <w:rsid w:val="00F45771"/>
    <w:rsid w:val="00F47583"/>
    <w:rsid w:val="00F47656"/>
    <w:rsid w:val="00F50B21"/>
    <w:rsid w:val="00F51055"/>
    <w:rsid w:val="00F5107D"/>
    <w:rsid w:val="00F512F5"/>
    <w:rsid w:val="00F516E4"/>
    <w:rsid w:val="00F534D7"/>
    <w:rsid w:val="00F53735"/>
    <w:rsid w:val="00F53876"/>
    <w:rsid w:val="00F538F5"/>
    <w:rsid w:val="00F540C6"/>
    <w:rsid w:val="00F54705"/>
    <w:rsid w:val="00F54AE5"/>
    <w:rsid w:val="00F554E9"/>
    <w:rsid w:val="00F561CE"/>
    <w:rsid w:val="00F614ED"/>
    <w:rsid w:val="00F61BA5"/>
    <w:rsid w:val="00F61DAD"/>
    <w:rsid w:val="00F62441"/>
    <w:rsid w:val="00F626D5"/>
    <w:rsid w:val="00F633FA"/>
    <w:rsid w:val="00F63794"/>
    <w:rsid w:val="00F63EA2"/>
    <w:rsid w:val="00F63FFA"/>
    <w:rsid w:val="00F64BB3"/>
    <w:rsid w:val="00F66092"/>
    <w:rsid w:val="00F66528"/>
    <w:rsid w:val="00F67343"/>
    <w:rsid w:val="00F67FF0"/>
    <w:rsid w:val="00F701C6"/>
    <w:rsid w:val="00F70578"/>
    <w:rsid w:val="00F71602"/>
    <w:rsid w:val="00F717C5"/>
    <w:rsid w:val="00F722CA"/>
    <w:rsid w:val="00F72BFC"/>
    <w:rsid w:val="00F73623"/>
    <w:rsid w:val="00F73D67"/>
    <w:rsid w:val="00F76CA2"/>
    <w:rsid w:val="00F76E52"/>
    <w:rsid w:val="00F77993"/>
    <w:rsid w:val="00F77D15"/>
    <w:rsid w:val="00F80B8C"/>
    <w:rsid w:val="00F80CCB"/>
    <w:rsid w:val="00F81170"/>
    <w:rsid w:val="00F81BC9"/>
    <w:rsid w:val="00F81C6E"/>
    <w:rsid w:val="00F82A18"/>
    <w:rsid w:val="00F83D9B"/>
    <w:rsid w:val="00F842FA"/>
    <w:rsid w:val="00F84D5E"/>
    <w:rsid w:val="00F8511D"/>
    <w:rsid w:val="00F85BF3"/>
    <w:rsid w:val="00F86D4E"/>
    <w:rsid w:val="00F87094"/>
    <w:rsid w:val="00F90968"/>
    <w:rsid w:val="00F90ABA"/>
    <w:rsid w:val="00F90C19"/>
    <w:rsid w:val="00F91229"/>
    <w:rsid w:val="00F91553"/>
    <w:rsid w:val="00F91997"/>
    <w:rsid w:val="00F92570"/>
    <w:rsid w:val="00F92606"/>
    <w:rsid w:val="00F934A0"/>
    <w:rsid w:val="00F958D9"/>
    <w:rsid w:val="00F95915"/>
    <w:rsid w:val="00F95FB1"/>
    <w:rsid w:val="00F96DB1"/>
    <w:rsid w:val="00F96FE6"/>
    <w:rsid w:val="00F972F6"/>
    <w:rsid w:val="00FA03A2"/>
    <w:rsid w:val="00FA0FD7"/>
    <w:rsid w:val="00FA20E1"/>
    <w:rsid w:val="00FA356A"/>
    <w:rsid w:val="00FA4181"/>
    <w:rsid w:val="00FA6F9A"/>
    <w:rsid w:val="00FA777A"/>
    <w:rsid w:val="00FA7850"/>
    <w:rsid w:val="00FA7F7A"/>
    <w:rsid w:val="00FB1714"/>
    <w:rsid w:val="00FB1F58"/>
    <w:rsid w:val="00FB231F"/>
    <w:rsid w:val="00FB49C0"/>
    <w:rsid w:val="00FB4A84"/>
    <w:rsid w:val="00FB5554"/>
    <w:rsid w:val="00FB5AAA"/>
    <w:rsid w:val="00FB5FC5"/>
    <w:rsid w:val="00FB6B2A"/>
    <w:rsid w:val="00FB6F2E"/>
    <w:rsid w:val="00FB7E64"/>
    <w:rsid w:val="00FC06B6"/>
    <w:rsid w:val="00FC131B"/>
    <w:rsid w:val="00FC2AA9"/>
    <w:rsid w:val="00FC2B4B"/>
    <w:rsid w:val="00FC2D6D"/>
    <w:rsid w:val="00FC3144"/>
    <w:rsid w:val="00FC3B92"/>
    <w:rsid w:val="00FC3F67"/>
    <w:rsid w:val="00FC5600"/>
    <w:rsid w:val="00FC7C65"/>
    <w:rsid w:val="00FC7CD1"/>
    <w:rsid w:val="00FC7D42"/>
    <w:rsid w:val="00FD03C2"/>
    <w:rsid w:val="00FD1175"/>
    <w:rsid w:val="00FD2084"/>
    <w:rsid w:val="00FD354D"/>
    <w:rsid w:val="00FD3951"/>
    <w:rsid w:val="00FD4653"/>
    <w:rsid w:val="00FD5E8D"/>
    <w:rsid w:val="00FD62DF"/>
    <w:rsid w:val="00FD7060"/>
    <w:rsid w:val="00FD75A2"/>
    <w:rsid w:val="00FD78C7"/>
    <w:rsid w:val="00FE0C7F"/>
    <w:rsid w:val="00FE0F72"/>
    <w:rsid w:val="00FE21D2"/>
    <w:rsid w:val="00FE2E38"/>
    <w:rsid w:val="00FE3A14"/>
    <w:rsid w:val="00FE3B23"/>
    <w:rsid w:val="00FE3E51"/>
    <w:rsid w:val="00FE4FBD"/>
    <w:rsid w:val="00FE52A8"/>
    <w:rsid w:val="00FE5842"/>
    <w:rsid w:val="00FE74D3"/>
    <w:rsid w:val="00FE7E97"/>
    <w:rsid w:val="00FF02A1"/>
    <w:rsid w:val="00FF0C83"/>
    <w:rsid w:val="00FF32D5"/>
    <w:rsid w:val="00FF507C"/>
    <w:rsid w:val="00FF6DD4"/>
    <w:rsid w:val="00FF6EFD"/>
    <w:rsid w:val="00FF7F68"/>
    <w:rsid w:val="0120458E"/>
    <w:rsid w:val="0123584C"/>
    <w:rsid w:val="01344155"/>
    <w:rsid w:val="016B5DC7"/>
    <w:rsid w:val="016D5B82"/>
    <w:rsid w:val="01730929"/>
    <w:rsid w:val="01871C62"/>
    <w:rsid w:val="018D1A7A"/>
    <w:rsid w:val="01973B44"/>
    <w:rsid w:val="019E656A"/>
    <w:rsid w:val="01D24A1F"/>
    <w:rsid w:val="01D67404"/>
    <w:rsid w:val="01E22B2A"/>
    <w:rsid w:val="022D245A"/>
    <w:rsid w:val="023615AF"/>
    <w:rsid w:val="02443CCC"/>
    <w:rsid w:val="02512FE5"/>
    <w:rsid w:val="025D11B8"/>
    <w:rsid w:val="027C00D5"/>
    <w:rsid w:val="02864952"/>
    <w:rsid w:val="028D43DC"/>
    <w:rsid w:val="02A525AF"/>
    <w:rsid w:val="02FE44DC"/>
    <w:rsid w:val="03231B33"/>
    <w:rsid w:val="03525A9E"/>
    <w:rsid w:val="035953D9"/>
    <w:rsid w:val="0365642C"/>
    <w:rsid w:val="03810EC7"/>
    <w:rsid w:val="038500F8"/>
    <w:rsid w:val="03BB23AE"/>
    <w:rsid w:val="03D10AC9"/>
    <w:rsid w:val="03E215EA"/>
    <w:rsid w:val="03E870E6"/>
    <w:rsid w:val="04115E30"/>
    <w:rsid w:val="04234BC1"/>
    <w:rsid w:val="04446205"/>
    <w:rsid w:val="04471852"/>
    <w:rsid w:val="04495324"/>
    <w:rsid w:val="04600486"/>
    <w:rsid w:val="04722D72"/>
    <w:rsid w:val="04794607"/>
    <w:rsid w:val="04A24CDA"/>
    <w:rsid w:val="04A74974"/>
    <w:rsid w:val="04DB2E9B"/>
    <w:rsid w:val="04DF5F2E"/>
    <w:rsid w:val="04E3295A"/>
    <w:rsid w:val="04ED605E"/>
    <w:rsid w:val="05256CC5"/>
    <w:rsid w:val="053E377B"/>
    <w:rsid w:val="054516BB"/>
    <w:rsid w:val="05485881"/>
    <w:rsid w:val="055C16CF"/>
    <w:rsid w:val="05C943F5"/>
    <w:rsid w:val="06020E53"/>
    <w:rsid w:val="06262701"/>
    <w:rsid w:val="06316315"/>
    <w:rsid w:val="06320D53"/>
    <w:rsid w:val="063F4ED6"/>
    <w:rsid w:val="06545260"/>
    <w:rsid w:val="065C7F61"/>
    <w:rsid w:val="06616D34"/>
    <w:rsid w:val="06FC6923"/>
    <w:rsid w:val="070936BE"/>
    <w:rsid w:val="072E2CF9"/>
    <w:rsid w:val="072F42FD"/>
    <w:rsid w:val="07380A73"/>
    <w:rsid w:val="073D0CEA"/>
    <w:rsid w:val="073E6B0C"/>
    <w:rsid w:val="07467658"/>
    <w:rsid w:val="074B1659"/>
    <w:rsid w:val="07520F45"/>
    <w:rsid w:val="0758727E"/>
    <w:rsid w:val="076170CE"/>
    <w:rsid w:val="076448E5"/>
    <w:rsid w:val="07723B19"/>
    <w:rsid w:val="0781151E"/>
    <w:rsid w:val="07821687"/>
    <w:rsid w:val="079B1D8D"/>
    <w:rsid w:val="07AE658A"/>
    <w:rsid w:val="07C763C8"/>
    <w:rsid w:val="07E44D05"/>
    <w:rsid w:val="07E60A2C"/>
    <w:rsid w:val="07EC72B0"/>
    <w:rsid w:val="07FB307F"/>
    <w:rsid w:val="07FE2B6F"/>
    <w:rsid w:val="08114650"/>
    <w:rsid w:val="082E197B"/>
    <w:rsid w:val="082F7E1D"/>
    <w:rsid w:val="085025D0"/>
    <w:rsid w:val="08546A41"/>
    <w:rsid w:val="08695763"/>
    <w:rsid w:val="088E7FC1"/>
    <w:rsid w:val="08AB4A00"/>
    <w:rsid w:val="08C3758B"/>
    <w:rsid w:val="08D36477"/>
    <w:rsid w:val="090F50F0"/>
    <w:rsid w:val="091A3A51"/>
    <w:rsid w:val="091C32AD"/>
    <w:rsid w:val="093C07E0"/>
    <w:rsid w:val="09640C9C"/>
    <w:rsid w:val="09672D14"/>
    <w:rsid w:val="09CA3103"/>
    <w:rsid w:val="09E5410E"/>
    <w:rsid w:val="0A0D119F"/>
    <w:rsid w:val="0A275576"/>
    <w:rsid w:val="0A7740C9"/>
    <w:rsid w:val="0A800E2A"/>
    <w:rsid w:val="0A8E121A"/>
    <w:rsid w:val="0B064CAC"/>
    <w:rsid w:val="0B0D3FDC"/>
    <w:rsid w:val="0B0D58E7"/>
    <w:rsid w:val="0B381EF4"/>
    <w:rsid w:val="0B56100C"/>
    <w:rsid w:val="0B5D570A"/>
    <w:rsid w:val="0B7953C0"/>
    <w:rsid w:val="0B8E3C27"/>
    <w:rsid w:val="0BB52F3C"/>
    <w:rsid w:val="0BBE4333"/>
    <w:rsid w:val="0BC62CE6"/>
    <w:rsid w:val="0BF311AC"/>
    <w:rsid w:val="0C0E7CC4"/>
    <w:rsid w:val="0C1269F3"/>
    <w:rsid w:val="0C6D0460"/>
    <w:rsid w:val="0C7854BF"/>
    <w:rsid w:val="0C850098"/>
    <w:rsid w:val="0C931B6B"/>
    <w:rsid w:val="0CAE14FB"/>
    <w:rsid w:val="0CC55A09"/>
    <w:rsid w:val="0CD66DEE"/>
    <w:rsid w:val="0CE560AB"/>
    <w:rsid w:val="0D067A7F"/>
    <w:rsid w:val="0D166265"/>
    <w:rsid w:val="0D1C3F75"/>
    <w:rsid w:val="0D4B0C5A"/>
    <w:rsid w:val="0D5E20F0"/>
    <w:rsid w:val="0D7929BD"/>
    <w:rsid w:val="0D8E6ED3"/>
    <w:rsid w:val="0D98311E"/>
    <w:rsid w:val="0DB401FC"/>
    <w:rsid w:val="0DD405FA"/>
    <w:rsid w:val="0DDC2E90"/>
    <w:rsid w:val="0DDF3E69"/>
    <w:rsid w:val="0DE14AC5"/>
    <w:rsid w:val="0DE56F32"/>
    <w:rsid w:val="0DE97CF3"/>
    <w:rsid w:val="0DED3C4D"/>
    <w:rsid w:val="0E1D52CC"/>
    <w:rsid w:val="0E3452A8"/>
    <w:rsid w:val="0E361BD5"/>
    <w:rsid w:val="0E815637"/>
    <w:rsid w:val="0E927B6D"/>
    <w:rsid w:val="0E945877"/>
    <w:rsid w:val="0E997665"/>
    <w:rsid w:val="0E9E2ED6"/>
    <w:rsid w:val="0EA025EA"/>
    <w:rsid w:val="0EA10664"/>
    <w:rsid w:val="0EB524A1"/>
    <w:rsid w:val="0EE20AF5"/>
    <w:rsid w:val="0EF05B84"/>
    <w:rsid w:val="0EFD6575"/>
    <w:rsid w:val="0F1D3577"/>
    <w:rsid w:val="0F1E7D65"/>
    <w:rsid w:val="0F393540"/>
    <w:rsid w:val="0F607BF1"/>
    <w:rsid w:val="0F713C26"/>
    <w:rsid w:val="0FB769FE"/>
    <w:rsid w:val="0FC131DB"/>
    <w:rsid w:val="0FCB4B18"/>
    <w:rsid w:val="0FCD6C98"/>
    <w:rsid w:val="0FE350D9"/>
    <w:rsid w:val="0FED089C"/>
    <w:rsid w:val="101449A8"/>
    <w:rsid w:val="10260EB5"/>
    <w:rsid w:val="102A7E93"/>
    <w:rsid w:val="102E7B2D"/>
    <w:rsid w:val="10305890"/>
    <w:rsid w:val="10534DBE"/>
    <w:rsid w:val="1068327B"/>
    <w:rsid w:val="107875A7"/>
    <w:rsid w:val="107C343E"/>
    <w:rsid w:val="107E130A"/>
    <w:rsid w:val="10846AB0"/>
    <w:rsid w:val="108F6A5A"/>
    <w:rsid w:val="1090632E"/>
    <w:rsid w:val="10CD1330"/>
    <w:rsid w:val="10EE711E"/>
    <w:rsid w:val="1104733D"/>
    <w:rsid w:val="11246C48"/>
    <w:rsid w:val="112D6151"/>
    <w:rsid w:val="113B1DB1"/>
    <w:rsid w:val="114B532C"/>
    <w:rsid w:val="11513438"/>
    <w:rsid w:val="116F3D82"/>
    <w:rsid w:val="117F4DC6"/>
    <w:rsid w:val="11A23ED5"/>
    <w:rsid w:val="11A951BA"/>
    <w:rsid w:val="11B44BC1"/>
    <w:rsid w:val="11B5429E"/>
    <w:rsid w:val="11CF52F1"/>
    <w:rsid w:val="11D23466"/>
    <w:rsid w:val="11DD7458"/>
    <w:rsid w:val="11E00626"/>
    <w:rsid w:val="11F0774E"/>
    <w:rsid w:val="11F356FC"/>
    <w:rsid w:val="121865DB"/>
    <w:rsid w:val="121A3792"/>
    <w:rsid w:val="122406E6"/>
    <w:rsid w:val="125D115D"/>
    <w:rsid w:val="12676A72"/>
    <w:rsid w:val="127001C5"/>
    <w:rsid w:val="12743D24"/>
    <w:rsid w:val="1299596E"/>
    <w:rsid w:val="12AD766B"/>
    <w:rsid w:val="12B02CB8"/>
    <w:rsid w:val="12E13849"/>
    <w:rsid w:val="130C2011"/>
    <w:rsid w:val="13135EB3"/>
    <w:rsid w:val="13186B1A"/>
    <w:rsid w:val="13256969"/>
    <w:rsid w:val="133A6411"/>
    <w:rsid w:val="13526B64"/>
    <w:rsid w:val="1356385F"/>
    <w:rsid w:val="135E2728"/>
    <w:rsid w:val="136B189B"/>
    <w:rsid w:val="136E6014"/>
    <w:rsid w:val="137327C2"/>
    <w:rsid w:val="13816B66"/>
    <w:rsid w:val="13914897"/>
    <w:rsid w:val="13B44698"/>
    <w:rsid w:val="13BD743A"/>
    <w:rsid w:val="13C62793"/>
    <w:rsid w:val="13C7650B"/>
    <w:rsid w:val="141334FE"/>
    <w:rsid w:val="142B4CEC"/>
    <w:rsid w:val="142E0338"/>
    <w:rsid w:val="142E4FE1"/>
    <w:rsid w:val="14551D69"/>
    <w:rsid w:val="14944DC5"/>
    <w:rsid w:val="14A27358"/>
    <w:rsid w:val="14B4083D"/>
    <w:rsid w:val="14EC3D9C"/>
    <w:rsid w:val="14FF6828"/>
    <w:rsid w:val="1508619E"/>
    <w:rsid w:val="15162BEE"/>
    <w:rsid w:val="153D4E60"/>
    <w:rsid w:val="15AD3329"/>
    <w:rsid w:val="15B14FB4"/>
    <w:rsid w:val="15BB7172"/>
    <w:rsid w:val="15E02697"/>
    <w:rsid w:val="15FD1B1A"/>
    <w:rsid w:val="160718C9"/>
    <w:rsid w:val="161D2A08"/>
    <w:rsid w:val="161D5A46"/>
    <w:rsid w:val="16285FB7"/>
    <w:rsid w:val="163A32E0"/>
    <w:rsid w:val="165D3284"/>
    <w:rsid w:val="165E3157"/>
    <w:rsid w:val="166A7255"/>
    <w:rsid w:val="166B3108"/>
    <w:rsid w:val="16730284"/>
    <w:rsid w:val="16832189"/>
    <w:rsid w:val="16A1695E"/>
    <w:rsid w:val="16B56AEF"/>
    <w:rsid w:val="16B5744C"/>
    <w:rsid w:val="16DC1E6E"/>
    <w:rsid w:val="16DF4937"/>
    <w:rsid w:val="16F9480D"/>
    <w:rsid w:val="1700546C"/>
    <w:rsid w:val="170835D7"/>
    <w:rsid w:val="171750B3"/>
    <w:rsid w:val="17436FA2"/>
    <w:rsid w:val="17654F9E"/>
    <w:rsid w:val="176E0FB5"/>
    <w:rsid w:val="17866628"/>
    <w:rsid w:val="17877D4B"/>
    <w:rsid w:val="17A662EF"/>
    <w:rsid w:val="17A74C5B"/>
    <w:rsid w:val="17B21108"/>
    <w:rsid w:val="17C446F6"/>
    <w:rsid w:val="17CB527B"/>
    <w:rsid w:val="17E31439"/>
    <w:rsid w:val="17FB319C"/>
    <w:rsid w:val="180371D8"/>
    <w:rsid w:val="18371378"/>
    <w:rsid w:val="18583BD5"/>
    <w:rsid w:val="18891FE1"/>
    <w:rsid w:val="189424AD"/>
    <w:rsid w:val="189528B8"/>
    <w:rsid w:val="18975EDC"/>
    <w:rsid w:val="18B3705E"/>
    <w:rsid w:val="18C20978"/>
    <w:rsid w:val="18DE1C10"/>
    <w:rsid w:val="19012763"/>
    <w:rsid w:val="191028D5"/>
    <w:rsid w:val="195645B9"/>
    <w:rsid w:val="19874772"/>
    <w:rsid w:val="199A62E5"/>
    <w:rsid w:val="19A127A0"/>
    <w:rsid w:val="19A5109C"/>
    <w:rsid w:val="19CF7EC7"/>
    <w:rsid w:val="19D76817"/>
    <w:rsid w:val="19DA1D21"/>
    <w:rsid w:val="1A16770C"/>
    <w:rsid w:val="1A18265E"/>
    <w:rsid w:val="1A634E7B"/>
    <w:rsid w:val="1A75317D"/>
    <w:rsid w:val="1A763EBB"/>
    <w:rsid w:val="1A846F04"/>
    <w:rsid w:val="1B007FF8"/>
    <w:rsid w:val="1B0C272C"/>
    <w:rsid w:val="1B207ACA"/>
    <w:rsid w:val="1B282AD5"/>
    <w:rsid w:val="1B3B17AF"/>
    <w:rsid w:val="1B4B7E14"/>
    <w:rsid w:val="1B570201"/>
    <w:rsid w:val="1B5A3198"/>
    <w:rsid w:val="1B624471"/>
    <w:rsid w:val="1B656D35"/>
    <w:rsid w:val="1B691D43"/>
    <w:rsid w:val="1B7A0ECD"/>
    <w:rsid w:val="1B8D762B"/>
    <w:rsid w:val="1B982D24"/>
    <w:rsid w:val="1BA829C9"/>
    <w:rsid w:val="1BF360C5"/>
    <w:rsid w:val="1C1E0055"/>
    <w:rsid w:val="1C832B8E"/>
    <w:rsid w:val="1C83719E"/>
    <w:rsid w:val="1C850D11"/>
    <w:rsid w:val="1CCF7F31"/>
    <w:rsid w:val="1CDF2BC5"/>
    <w:rsid w:val="1CE85BD6"/>
    <w:rsid w:val="1CF6749F"/>
    <w:rsid w:val="1D5672EA"/>
    <w:rsid w:val="1D5822F8"/>
    <w:rsid w:val="1D7A076C"/>
    <w:rsid w:val="1D7C2114"/>
    <w:rsid w:val="1DBA6D7A"/>
    <w:rsid w:val="1DD77A96"/>
    <w:rsid w:val="1DDD668B"/>
    <w:rsid w:val="1DE31C89"/>
    <w:rsid w:val="1DEA1774"/>
    <w:rsid w:val="1DF43770"/>
    <w:rsid w:val="1DF925E3"/>
    <w:rsid w:val="1E26179C"/>
    <w:rsid w:val="1E2D044C"/>
    <w:rsid w:val="1E7E4CFC"/>
    <w:rsid w:val="1E8B628E"/>
    <w:rsid w:val="1EBD4C0C"/>
    <w:rsid w:val="1ECD28C9"/>
    <w:rsid w:val="1EF5217E"/>
    <w:rsid w:val="1EFB2182"/>
    <w:rsid w:val="1EFE45E9"/>
    <w:rsid w:val="1F023DD8"/>
    <w:rsid w:val="1F1F369F"/>
    <w:rsid w:val="1F8A0129"/>
    <w:rsid w:val="1FAA11BB"/>
    <w:rsid w:val="1FB63CEA"/>
    <w:rsid w:val="1FB84B14"/>
    <w:rsid w:val="1FCB730A"/>
    <w:rsid w:val="1FCD6C57"/>
    <w:rsid w:val="1FE20E19"/>
    <w:rsid w:val="1FFA4EF4"/>
    <w:rsid w:val="2003041B"/>
    <w:rsid w:val="20472ECD"/>
    <w:rsid w:val="208D5077"/>
    <w:rsid w:val="20AA34B3"/>
    <w:rsid w:val="20AA5700"/>
    <w:rsid w:val="20AD0837"/>
    <w:rsid w:val="20B03F37"/>
    <w:rsid w:val="20B71B63"/>
    <w:rsid w:val="20D14047"/>
    <w:rsid w:val="20E76E47"/>
    <w:rsid w:val="20F927A9"/>
    <w:rsid w:val="20FE7C24"/>
    <w:rsid w:val="21117017"/>
    <w:rsid w:val="213845A4"/>
    <w:rsid w:val="213A5FD8"/>
    <w:rsid w:val="213C22E6"/>
    <w:rsid w:val="214644A7"/>
    <w:rsid w:val="214A112B"/>
    <w:rsid w:val="2150290B"/>
    <w:rsid w:val="2156503C"/>
    <w:rsid w:val="21762311"/>
    <w:rsid w:val="21843C8D"/>
    <w:rsid w:val="2188552B"/>
    <w:rsid w:val="21986917"/>
    <w:rsid w:val="21B5664C"/>
    <w:rsid w:val="21D03533"/>
    <w:rsid w:val="220E23F4"/>
    <w:rsid w:val="22106FC4"/>
    <w:rsid w:val="22137BA5"/>
    <w:rsid w:val="22222E58"/>
    <w:rsid w:val="2228092A"/>
    <w:rsid w:val="22280F08"/>
    <w:rsid w:val="223223E5"/>
    <w:rsid w:val="226135BA"/>
    <w:rsid w:val="227930C6"/>
    <w:rsid w:val="22983747"/>
    <w:rsid w:val="22BC0E97"/>
    <w:rsid w:val="22C85FA2"/>
    <w:rsid w:val="22CC5CB1"/>
    <w:rsid w:val="22DD30F4"/>
    <w:rsid w:val="23223C41"/>
    <w:rsid w:val="23A777BF"/>
    <w:rsid w:val="23B07E0C"/>
    <w:rsid w:val="23C5525C"/>
    <w:rsid w:val="23CB5F17"/>
    <w:rsid w:val="23F726D9"/>
    <w:rsid w:val="241023E4"/>
    <w:rsid w:val="241526D3"/>
    <w:rsid w:val="241A2687"/>
    <w:rsid w:val="24291491"/>
    <w:rsid w:val="243F3F38"/>
    <w:rsid w:val="24493D40"/>
    <w:rsid w:val="246E29A5"/>
    <w:rsid w:val="249543F8"/>
    <w:rsid w:val="24A309CE"/>
    <w:rsid w:val="24AD7057"/>
    <w:rsid w:val="24D613E4"/>
    <w:rsid w:val="24D665AE"/>
    <w:rsid w:val="24E011DB"/>
    <w:rsid w:val="24FC5B51"/>
    <w:rsid w:val="25000AC4"/>
    <w:rsid w:val="251956B6"/>
    <w:rsid w:val="25697043"/>
    <w:rsid w:val="25803E00"/>
    <w:rsid w:val="258B55EA"/>
    <w:rsid w:val="25A466EB"/>
    <w:rsid w:val="25A72383"/>
    <w:rsid w:val="25EA0D48"/>
    <w:rsid w:val="25EF404C"/>
    <w:rsid w:val="25F40E00"/>
    <w:rsid w:val="261C05D2"/>
    <w:rsid w:val="262F241A"/>
    <w:rsid w:val="263E265D"/>
    <w:rsid w:val="26494F24"/>
    <w:rsid w:val="26667B92"/>
    <w:rsid w:val="26737853"/>
    <w:rsid w:val="26760D12"/>
    <w:rsid w:val="26781860"/>
    <w:rsid w:val="26924F6F"/>
    <w:rsid w:val="26A1141B"/>
    <w:rsid w:val="26AA6753"/>
    <w:rsid w:val="26AE2448"/>
    <w:rsid w:val="26C2212C"/>
    <w:rsid w:val="26F471BF"/>
    <w:rsid w:val="271E31B6"/>
    <w:rsid w:val="27313F6F"/>
    <w:rsid w:val="273B2412"/>
    <w:rsid w:val="27567F28"/>
    <w:rsid w:val="27721C50"/>
    <w:rsid w:val="277976C4"/>
    <w:rsid w:val="27C9075F"/>
    <w:rsid w:val="27C93AA6"/>
    <w:rsid w:val="27D536CF"/>
    <w:rsid w:val="28040CA5"/>
    <w:rsid w:val="2810627B"/>
    <w:rsid w:val="28163D05"/>
    <w:rsid w:val="281C4C20"/>
    <w:rsid w:val="28496CB3"/>
    <w:rsid w:val="2868457E"/>
    <w:rsid w:val="28795BCE"/>
    <w:rsid w:val="287B5482"/>
    <w:rsid w:val="28CB0887"/>
    <w:rsid w:val="28FC1D3A"/>
    <w:rsid w:val="28FD4B60"/>
    <w:rsid w:val="290A2CCA"/>
    <w:rsid w:val="29280F05"/>
    <w:rsid w:val="29287145"/>
    <w:rsid w:val="29331B12"/>
    <w:rsid w:val="293B0155"/>
    <w:rsid w:val="29995DFC"/>
    <w:rsid w:val="29A21B12"/>
    <w:rsid w:val="29A57D37"/>
    <w:rsid w:val="29EE439A"/>
    <w:rsid w:val="2A092F82"/>
    <w:rsid w:val="2A1247A9"/>
    <w:rsid w:val="2A3D090A"/>
    <w:rsid w:val="2A431C41"/>
    <w:rsid w:val="2A5E77FA"/>
    <w:rsid w:val="2A685EFA"/>
    <w:rsid w:val="2A7163E3"/>
    <w:rsid w:val="2A86136E"/>
    <w:rsid w:val="2A8B3AE2"/>
    <w:rsid w:val="2A8D3BB3"/>
    <w:rsid w:val="2ADC4216"/>
    <w:rsid w:val="2AE13EFE"/>
    <w:rsid w:val="2AEA1E9F"/>
    <w:rsid w:val="2B10080C"/>
    <w:rsid w:val="2B137F45"/>
    <w:rsid w:val="2B2A5F61"/>
    <w:rsid w:val="2B4708B7"/>
    <w:rsid w:val="2B4C75CA"/>
    <w:rsid w:val="2B5C4F65"/>
    <w:rsid w:val="2B6A3015"/>
    <w:rsid w:val="2B801CC8"/>
    <w:rsid w:val="2BA016C4"/>
    <w:rsid w:val="2BE55033"/>
    <w:rsid w:val="2BE912BD"/>
    <w:rsid w:val="2C081230"/>
    <w:rsid w:val="2C0E0D23"/>
    <w:rsid w:val="2C2B2BD5"/>
    <w:rsid w:val="2C2E6CCF"/>
    <w:rsid w:val="2C455133"/>
    <w:rsid w:val="2C477D91"/>
    <w:rsid w:val="2C510117"/>
    <w:rsid w:val="2C661BAD"/>
    <w:rsid w:val="2C8948DB"/>
    <w:rsid w:val="2C9D172B"/>
    <w:rsid w:val="2CD46F8B"/>
    <w:rsid w:val="2CD86C3B"/>
    <w:rsid w:val="2CD9317D"/>
    <w:rsid w:val="2CD9476B"/>
    <w:rsid w:val="2D1B08F7"/>
    <w:rsid w:val="2D1B49DC"/>
    <w:rsid w:val="2D4A4429"/>
    <w:rsid w:val="2D4C621B"/>
    <w:rsid w:val="2D595F63"/>
    <w:rsid w:val="2D60735C"/>
    <w:rsid w:val="2D656C47"/>
    <w:rsid w:val="2D7E3BF3"/>
    <w:rsid w:val="2D8C7BF1"/>
    <w:rsid w:val="2DA84CAB"/>
    <w:rsid w:val="2DC81675"/>
    <w:rsid w:val="2DE23238"/>
    <w:rsid w:val="2DEA172A"/>
    <w:rsid w:val="2DFB52D7"/>
    <w:rsid w:val="2E1367B4"/>
    <w:rsid w:val="2E405590"/>
    <w:rsid w:val="2E4C2089"/>
    <w:rsid w:val="2E506BDD"/>
    <w:rsid w:val="2E777914"/>
    <w:rsid w:val="2E923B03"/>
    <w:rsid w:val="2E9B6172"/>
    <w:rsid w:val="2ED24231"/>
    <w:rsid w:val="2ED27DE6"/>
    <w:rsid w:val="2F655CA2"/>
    <w:rsid w:val="2F9977AD"/>
    <w:rsid w:val="2FAF0127"/>
    <w:rsid w:val="2FC04DBC"/>
    <w:rsid w:val="2FDC6082"/>
    <w:rsid w:val="2FF050B4"/>
    <w:rsid w:val="3014229F"/>
    <w:rsid w:val="302256EA"/>
    <w:rsid w:val="302F3016"/>
    <w:rsid w:val="30466CDD"/>
    <w:rsid w:val="3098505F"/>
    <w:rsid w:val="309B09CB"/>
    <w:rsid w:val="30B2070C"/>
    <w:rsid w:val="30B31E99"/>
    <w:rsid w:val="30F4495A"/>
    <w:rsid w:val="30F46157"/>
    <w:rsid w:val="30FE079D"/>
    <w:rsid w:val="31120BF9"/>
    <w:rsid w:val="31181CFC"/>
    <w:rsid w:val="31311361"/>
    <w:rsid w:val="313774ED"/>
    <w:rsid w:val="3163566D"/>
    <w:rsid w:val="318A3E34"/>
    <w:rsid w:val="31973209"/>
    <w:rsid w:val="31A67124"/>
    <w:rsid w:val="31BB32E3"/>
    <w:rsid w:val="31C003CA"/>
    <w:rsid w:val="31D976DD"/>
    <w:rsid w:val="31E21F25"/>
    <w:rsid w:val="321D3A6E"/>
    <w:rsid w:val="3225030F"/>
    <w:rsid w:val="32375E20"/>
    <w:rsid w:val="323E39E4"/>
    <w:rsid w:val="324059AE"/>
    <w:rsid w:val="3242154F"/>
    <w:rsid w:val="3245403D"/>
    <w:rsid w:val="3247275C"/>
    <w:rsid w:val="3255578E"/>
    <w:rsid w:val="32641206"/>
    <w:rsid w:val="327317FF"/>
    <w:rsid w:val="32742BBE"/>
    <w:rsid w:val="32877139"/>
    <w:rsid w:val="32892EB1"/>
    <w:rsid w:val="32980FDB"/>
    <w:rsid w:val="329830F5"/>
    <w:rsid w:val="32DE6113"/>
    <w:rsid w:val="330C04E6"/>
    <w:rsid w:val="33193672"/>
    <w:rsid w:val="333C1CA5"/>
    <w:rsid w:val="334B5857"/>
    <w:rsid w:val="33782ED8"/>
    <w:rsid w:val="339E473B"/>
    <w:rsid w:val="33AF7EF3"/>
    <w:rsid w:val="33C540F2"/>
    <w:rsid w:val="33E23337"/>
    <w:rsid w:val="33FF3D76"/>
    <w:rsid w:val="344F78A4"/>
    <w:rsid w:val="34636D8D"/>
    <w:rsid w:val="34637732"/>
    <w:rsid w:val="347A00FD"/>
    <w:rsid w:val="349E2F7E"/>
    <w:rsid w:val="34CC3529"/>
    <w:rsid w:val="34D5506F"/>
    <w:rsid w:val="34D73ACD"/>
    <w:rsid w:val="34E2623D"/>
    <w:rsid w:val="34E73EBF"/>
    <w:rsid w:val="34EA1491"/>
    <w:rsid w:val="35417A73"/>
    <w:rsid w:val="354707EA"/>
    <w:rsid w:val="35534836"/>
    <w:rsid w:val="356F1F2E"/>
    <w:rsid w:val="35AE4CC6"/>
    <w:rsid w:val="35B51D8E"/>
    <w:rsid w:val="35C95DA5"/>
    <w:rsid w:val="35D00DF7"/>
    <w:rsid w:val="35D170DF"/>
    <w:rsid w:val="35DB1101"/>
    <w:rsid w:val="35FD0BE5"/>
    <w:rsid w:val="360867E3"/>
    <w:rsid w:val="360D3368"/>
    <w:rsid w:val="36102D5C"/>
    <w:rsid w:val="361401E0"/>
    <w:rsid w:val="36151F71"/>
    <w:rsid w:val="361613EB"/>
    <w:rsid w:val="36171BD2"/>
    <w:rsid w:val="362058DB"/>
    <w:rsid w:val="36271315"/>
    <w:rsid w:val="36297C03"/>
    <w:rsid w:val="36346565"/>
    <w:rsid w:val="363B5D79"/>
    <w:rsid w:val="365A4E18"/>
    <w:rsid w:val="36621565"/>
    <w:rsid w:val="36816D77"/>
    <w:rsid w:val="36955374"/>
    <w:rsid w:val="36AC53C0"/>
    <w:rsid w:val="36AD7CBC"/>
    <w:rsid w:val="36B44275"/>
    <w:rsid w:val="36C6479B"/>
    <w:rsid w:val="36CC2A13"/>
    <w:rsid w:val="36DB4C4F"/>
    <w:rsid w:val="36F32FEF"/>
    <w:rsid w:val="370445C3"/>
    <w:rsid w:val="37425F4A"/>
    <w:rsid w:val="375D3E2A"/>
    <w:rsid w:val="37697A46"/>
    <w:rsid w:val="376B01B2"/>
    <w:rsid w:val="37954CDD"/>
    <w:rsid w:val="37A147F9"/>
    <w:rsid w:val="37DF5322"/>
    <w:rsid w:val="380F3E59"/>
    <w:rsid w:val="3816097A"/>
    <w:rsid w:val="38237904"/>
    <w:rsid w:val="38611A4F"/>
    <w:rsid w:val="38A61D2C"/>
    <w:rsid w:val="38B04AB1"/>
    <w:rsid w:val="38BE03B9"/>
    <w:rsid w:val="38C22C79"/>
    <w:rsid w:val="38DF10FF"/>
    <w:rsid w:val="38EC7B0C"/>
    <w:rsid w:val="38FD5546"/>
    <w:rsid w:val="391377C3"/>
    <w:rsid w:val="39235A32"/>
    <w:rsid w:val="39341D74"/>
    <w:rsid w:val="393578EF"/>
    <w:rsid w:val="393957B3"/>
    <w:rsid w:val="395B25B8"/>
    <w:rsid w:val="396F7DBF"/>
    <w:rsid w:val="39830E0A"/>
    <w:rsid w:val="398375D4"/>
    <w:rsid w:val="39932868"/>
    <w:rsid w:val="39A93E39"/>
    <w:rsid w:val="39B50A30"/>
    <w:rsid w:val="3A013C75"/>
    <w:rsid w:val="3A5C7C4F"/>
    <w:rsid w:val="3A884383"/>
    <w:rsid w:val="3A9446F3"/>
    <w:rsid w:val="3AC525ED"/>
    <w:rsid w:val="3AD45179"/>
    <w:rsid w:val="3AEE6DE3"/>
    <w:rsid w:val="3AFB6916"/>
    <w:rsid w:val="3B4007CD"/>
    <w:rsid w:val="3B481480"/>
    <w:rsid w:val="3B5F00A2"/>
    <w:rsid w:val="3B75456D"/>
    <w:rsid w:val="3BA7799B"/>
    <w:rsid w:val="3BA945C4"/>
    <w:rsid w:val="3BAD4232"/>
    <w:rsid w:val="3BB31BC5"/>
    <w:rsid w:val="3BB32D4D"/>
    <w:rsid w:val="3BDD673F"/>
    <w:rsid w:val="3C1F03E3"/>
    <w:rsid w:val="3C3247FE"/>
    <w:rsid w:val="3C6201CC"/>
    <w:rsid w:val="3C686F62"/>
    <w:rsid w:val="3C7216BE"/>
    <w:rsid w:val="3C764CFE"/>
    <w:rsid w:val="3C820A8A"/>
    <w:rsid w:val="3C8256AA"/>
    <w:rsid w:val="3C9630FC"/>
    <w:rsid w:val="3C9C243F"/>
    <w:rsid w:val="3CC87977"/>
    <w:rsid w:val="3CDC7196"/>
    <w:rsid w:val="3CDD590D"/>
    <w:rsid w:val="3D6405FF"/>
    <w:rsid w:val="3D6A1B1F"/>
    <w:rsid w:val="3D7F40CC"/>
    <w:rsid w:val="3D9B65E3"/>
    <w:rsid w:val="3DA3007C"/>
    <w:rsid w:val="3DAD7410"/>
    <w:rsid w:val="3DB9375A"/>
    <w:rsid w:val="3DBE3CBE"/>
    <w:rsid w:val="3DD510C9"/>
    <w:rsid w:val="3E021D6A"/>
    <w:rsid w:val="3E2241BA"/>
    <w:rsid w:val="3E23065E"/>
    <w:rsid w:val="3E893F2C"/>
    <w:rsid w:val="3ED13DE1"/>
    <w:rsid w:val="3ED82604"/>
    <w:rsid w:val="3EE572D4"/>
    <w:rsid w:val="3EE93BD8"/>
    <w:rsid w:val="3EF176CD"/>
    <w:rsid w:val="3EF20030"/>
    <w:rsid w:val="3EF20610"/>
    <w:rsid w:val="3F214472"/>
    <w:rsid w:val="3F5D7BA0"/>
    <w:rsid w:val="3F78269E"/>
    <w:rsid w:val="3F9212CC"/>
    <w:rsid w:val="3FAC01DF"/>
    <w:rsid w:val="3FB05F21"/>
    <w:rsid w:val="3FC3349F"/>
    <w:rsid w:val="3FD82E77"/>
    <w:rsid w:val="3FFF2919"/>
    <w:rsid w:val="40153FD6"/>
    <w:rsid w:val="402856A0"/>
    <w:rsid w:val="40460634"/>
    <w:rsid w:val="40A84E4B"/>
    <w:rsid w:val="41184A02"/>
    <w:rsid w:val="41270465"/>
    <w:rsid w:val="415A5382"/>
    <w:rsid w:val="41970774"/>
    <w:rsid w:val="41C77552"/>
    <w:rsid w:val="41E653B2"/>
    <w:rsid w:val="41FB3B6D"/>
    <w:rsid w:val="41FF0A9A"/>
    <w:rsid w:val="42042555"/>
    <w:rsid w:val="422E312E"/>
    <w:rsid w:val="42471D33"/>
    <w:rsid w:val="42521512"/>
    <w:rsid w:val="426F101A"/>
    <w:rsid w:val="42772AAB"/>
    <w:rsid w:val="427C3412"/>
    <w:rsid w:val="42847BFD"/>
    <w:rsid w:val="42A25548"/>
    <w:rsid w:val="42AA2C03"/>
    <w:rsid w:val="42D30E89"/>
    <w:rsid w:val="42D40179"/>
    <w:rsid w:val="42E17A8C"/>
    <w:rsid w:val="42F56341"/>
    <w:rsid w:val="430E5EC9"/>
    <w:rsid w:val="432865F2"/>
    <w:rsid w:val="434D1CD9"/>
    <w:rsid w:val="43557572"/>
    <w:rsid w:val="436D4711"/>
    <w:rsid w:val="4373683C"/>
    <w:rsid w:val="43785E61"/>
    <w:rsid w:val="43A46D2C"/>
    <w:rsid w:val="43B148EA"/>
    <w:rsid w:val="43B808F8"/>
    <w:rsid w:val="43C15F14"/>
    <w:rsid w:val="43D578B3"/>
    <w:rsid w:val="43E6390E"/>
    <w:rsid w:val="43FE0AB1"/>
    <w:rsid w:val="442F0B9B"/>
    <w:rsid w:val="44520715"/>
    <w:rsid w:val="44896EAF"/>
    <w:rsid w:val="44B965C5"/>
    <w:rsid w:val="44E73A68"/>
    <w:rsid w:val="450045E1"/>
    <w:rsid w:val="45113714"/>
    <w:rsid w:val="4523785F"/>
    <w:rsid w:val="4529115C"/>
    <w:rsid w:val="455D41F1"/>
    <w:rsid w:val="4560436C"/>
    <w:rsid w:val="456344FE"/>
    <w:rsid w:val="45777EED"/>
    <w:rsid w:val="457B2BDC"/>
    <w:rsid w:val="45875897"/>
    <w:rsid w:val="458B54AD"/>
    <w:rsid w:val="45B01E02"/>
    <w:rsid w:val="45BC7331"/>
    <w:rsid w:val="45BE227A"/>
    <w:rsid w:val="45CE5891"/>
    <w:rsid w:val="45D30076"/>
    <w:rsid w:val="45D3296A"/>
    <w:rsid w:val="45D82E3F"/>
    <w:rsid w:val="45EF0901"/>
    <w:rsid w:val="46315F44"/>
    <w:rsid w:val="46384BFA"/>
    <w:rsid w:val="4648427E"/>
    <w:rsid w:val="4654512D"/>
    <w:rsid w:val="465F5FAB"/>
    <w:rsid w:val="467771DC"/>
    <w:rsid w:val="467D28D5"/>
    <w:rsid w:val="46971BE9"/>
    <w:rsid w:val="469D2F78"/>
    <w:rsid w:val="46BE5B83"/>
    <w:rsid w:val="46D5626E"/>
    <w:rsid w:val="46D85D5E"/>
    <w:rsid w:val="46F829AC"/>
    <w:rsid w:val="47050398"/>
    <w:rsid w:val="47117503"/>
    <w:rsid w:val="47172429"/>
    <w:rsid w:val="472B0583"/>
    <w:rsid w:val="4743767B"/>
    <w:rsid w:val="47837AA8"/>
    <w:rsid w:val="478F0B12"/>
    <w:rsid w:val="478F3FCD"/>
    <w:rsid w:val="47A81BD4"/>
    <w:rsid w:val="47B02837"/>
    <w:rsid w:val="47DC48C4"/>
    <w:rsid w:val="480A0A97"/>
    <w:rsid w:val="486271EA"/>
    <w:rsid w:val="48936512"/>
    <w:rsid w:val="48A974DA"/>
    <w:rsid w:val="48B96D0E"/>
    <w:rsid w:val="48BE52E4"/>
    <w:rsid w:val="48DD3AFF"/>
    <w:rsid w:val="48E677CC"/>
    <w:rsid w:val="48F90270"/>
    <w:rsid w:val="49065E19"/>
    <w:rsid w:val="490B41C9"/>
    <w:rsid w:val="49303C2F"/>
    <w:rsid w:val="493A6C69"/>
    <w:rsid w:val="49474DCA"/>
    <w:rsid w:val="495A711F"/>
    <w:rsid w:val="496F0653"/>
    <w:rsid w:val="49755AE6"/>
    <w:rsid w:val="49C1095E"/>
    <w:rsid w:val="4A321C93"/>
    <w:rsid w:val="4A3860E9"/>
    <w:rsid w:val="4A443E36"/>
    <w:rsid w:val="4A4A5D0B"/>
    <w:rsid w:val="4A4F3873"/>
    <w:rsid w:val="4A5F66D8"/>
    <w:rsid w:val="4A657908"/>
    <w:rsid w:val="4A991E77"/>
    <w:rsid w:val="4AA53F4C"/>
    <w:rsid w:val="4ABB6FBF"/>
    <w:rsid w:val="4AC9495B"/>
    <w:rsid w:val="4AD36F68"/>
    <w:rsid w:val="4AE44C97"/>
    <w:rsid w:val="4B124922"/>
    <w:rsid w:val="4B243912"/>
    <w:rsid w:val="4B354937"/>
    <w:rsid w:val="4B3861BB"/>
    <w:rsid w:val="4B4B4D69"/>
    <w:rsid w:val="4B5300A9"/>
    <w:rsid w:val="4B5D303A"/>
    <w:rsid w:val="4B971D44"/>
    <w:rsid w:val="4B9C55AC"/>
    <w:rsid w:val="4BA07421"/>
    <w:rsid w:val="4BDA712C"/>
    <w:rsid w:val="4BDF29A8"/>
    <w:rsid w:val="4C172E84"/>
    <w:rsid w:val="4C3677AE"/>
    <w:rsid w:val="4C384FBA"/>
    <w:rsid w:val="4C4A70B8"/>
    <w:rsid w:val="4C8122B9"/>
    <w:rsid w:val="4C824103"/>
    <w:rsid w:val="4CE6712F"/>
    <w:rsid w:val="4CEA2347"/>
    <w:rsid w:val="4CEC2563"/>
    <w:rsid w:val="4CFD11B7"/>
    <w:rsid w:val="4D021F5B"/>
    <w:rsid w:val="4D0E4287"/>
    <w:rsid w:val="4D110309"/>
    <w:rsid w:val="4D162E6C"/>
    <w:rsid w:val="4D224CD8"/>
    <w:rsid w:val="4D5B4FF3"/>
    <w:rsid w:val="4D673998"/>
    <w:rsid w:val="4D776F2D"/>
    <w:rsid w:val="4D812CAB"/>
    <w:rsid w:val="4DA120FC"/>
    <w:rsid w:val="4DA96AAF"/>
    <w:rsid w:val="4DAF5A31"/>
    <w:rsid w:val="4DC63EE1"/>
    <w:rsid w:val="4DCF1B2D"/>
    <w:rsid w:val="4E004662"/>
    <w:rsid w:val="4E0A3BE0"/>
    <w:rsid w:val="4E1E04FA"/>
    <w:rsid w:val="4E246234"/>
    <w:rsid w:val="4E345CD4"/>
    <w:rsid w:val="4E487C6D"/>
    <w:rsid w:val="4E4C27ED"/>
    <w:rsid w:val="4E564699"/>
    <w:rsid w:val="4E5A0AE4"/>
    <w:rsid w:val="4E6A0D7F"/>
    <w:rsid w:val="4E726A98"/>
    <w:rsid w:val="4E787E62"/>
    <w:rsid w:val="4E877144"/>
    <w:rsid w:val="4E8A45A7"/>
    <w:rsid w:val="4E964EE0"/>
    <w:rsid w:val="4EB64A27"/>
    <w:rsid w:val="4EBD4B72"/>
    <w:rsid w:val="4ECF1463"/>
    <w:rsid w:val="4EE55D69"/>
    <w:rsid w:val="4EF25644"/>
    <w:rsid w:val="4F0B69B3"/>
    <w:rsid w:val="4F102B4E"/>
    <w:rsid w:val="4F1F4F36"/>
    <w:rsid w:val="4F395F77"/>
    <w:rsid w:val="4F401BF2"/>
    <w:rsid w:val="4F4B018E"/>
    <w:rsid w:val="4F4C0EBC"/>
    <w:rsid w:val="4F5D57C0"/>
    <w:rsid w:val="4F6E4962"/>
    <w:rsid w:val="4F94365E"/>
    <w:rsid w:val="4F9F07E5"/>
    <w:rsid w:val="4F9F566B"/>
    <w:rsid w:val="4FEB43E2"/>
    <w:rsid w:val="50100316"/>
    <w:rsid w:val="502A687A"/>
    <w:rsid w:val="502E7A20"/>
    <w:rsid w:val="503E6C32"/>
    <w:rsid w:val="504B2EFC"/>
    <w:rsid w:val="50530978"/>
    <w:rsid w:val="50662E41"/>
    <w:rsid w:val="506A511E"/>
    <w:rsid w:val="50896CB7"/>
    <w:rsid w:val="508D5E0B"/>
    <w:rsid w:val="50900492"/>
    <w:rsid w:val="50976F01"/>
    <w:rsid w:val="50A52262"/>
    <w:rsid w:val="50AA076B"/>
    <w:rsid w:val="50B96C00"/>
    <w:rsid w:val="50D13F4A"/>
    <w:rsid w:val="51113646"/>
    <w:rsid w:val="5121535A"/>
    <w:rsid w:val="513A3EFC"/>
    <w:rsid w:val="51713037"/>
    <w:rsid w:val="517764E1"/>
    <w:rsid w:val="51855925"/>
    <w:rsid w:val="518E3F66"/>
    <w:rsid w:val="51A53D00"/>
    <w:rsid w:val="51AB6379"/>
    <w:rsid w:val="51C13FBE"/>
    <w:rsid w:val="52495C09"/>
    <w:rsid w:val="524A3FB4"/>
    <w:rsid w:val="52654987"/>
    <w:rsid w:val="526776F7"/>
    <w:rsid w:val="528F2803"/>
    <w:rsid w:val="528F544B"/>
    <w:rsid w:val="52EA4A77"/>
    <w:rsid w:val="53083527"/>
    <w:rsid w:val="533232D5"/>
    <w:rsid w:val="533960B0"/>
    <w:rsid w:val="536410A5"/>
    <w:rsid w:val="537813B1"/>
    <w:rsid w:val="53876B42"/>
    <w:rsid w:val="538E0A92"/>
    <w:rsid w:val="53947FA9"/>
    <w:rsid w:val="53960EDE"/>
    <w:rsid w:val="53990623"/>
    <w:rsid w:val="53A46B36"/>
    <w:rsid w:val="53BD4B8C"/>
    <w:rsid w:val="53CB1DAC"/>
    <w:rsid w:val="53DD2C05"/>
    <w:rsid w:val="540278C7"/>
    <w:rsid w:val="541E311C"/>
    <w:rsid w:val="54260CB2"/>
    <w:rsid w:val="543103BC"/>
    <w:rsid w:val="545506C8"/>
    <w:rsid w:val="545C3B2A"/>
    <w:rsid w:val="545D6432"/>
    <w:rsid w:val="54A41011"/>
    <w:rsid w:val="54AA1609"/>
    <w:rsid w:val="54AD082A"/>
    <w:rsid w:val="54D3168A"/>
    <w:rsid w:val="54DC562C"/>
    <w:rsid w:val="54DD16C4"/>
    <w:rsid w:val="54E74C2F"/>
    <w:rsid w:val="54F450A1"/>
    <w:rsid w:val="54FD751D"/>
    <w:rsid w:val="550C3614"/>
    <w:rsid w:val="550C50AE"/>
    <w:rsid w:val="55183D6F"/>
    <w:rsid w:val="5523289A"/>
    <w:rsid w:val="55284606"/>
    <w:rsid w:val="5543547F"/>
    <w:rsid w:val="55471118"/>
    <w:rsid w:val="55494538"/>
    <w:rsid w:val="554C0043"/>
    <w:rsid w:val="556557D9"/>
    <w:rsid w:val="557579E3"/>
    <w:rsid w:val="557A0141"/>
    <w:rsid w:val="55A0213D"/>
    <w:rsid w:val="55BE1F4A"/>
    <w:rsid w:val="55C342F4"/>
    <w:rsid w:val="55D84D24"/>
    <w:rsid w:val="55FB7373"/>
    <w:rsid w:val="56021A4A"/>
    <w:rsid w:val="560B5D2E"/>
    <w:rsid w:val="560D6CB0"/>
    <w:rsid w:val="563A103B"/>
    <w:rsid w:val="563E6C55"/>
    <w:rsid w:val="56405A62"/>
    <w:rsid w:val="56544EC2"/>
    <w:rsid w:val="56557533"/>
    <w:rsid w:val="565E3DEE"/>
    <w:rsid w:val="565F5B54"/>
    <w:rsid w:val="56633896"/>
    <w:rsid w:val="567D5DF1"/>
    <w:rsid w:val="56A837E8"/>
    <w:rsid w:val="56BC6B02"/>
    <w:rsid w:val="56F163E4"/>
    <w:rsid w:val="570B1838"/>
    <w:rsid w:val="57214827"/>
    <w:rsid w:val="574C49E9"/>
    <w:rsid w:val="575D2A5F"/>
    <w:rsid w:val="57672F12"/>
    <w:rsid w:val="57675BA1"/>
    <w:rsid w:val="576912FA"/>
    <w:rsid w:val="576E11A2"/>
    <w:rsid w:val="57D02C64"/>
    <w:rsid w:val="57D66815"/>
    <w:rsid w:val="57E335DF"/>
    <w:rsid w:val="58042049"/>
    <w:rsid w:val="580659DA"/>
    <w:rsid w:val="58102660"/>
    <w:rsid w:val="581C3428"/>
    <w:rsid w:val="58353010"/>
    <w:rsid w:val="584274DB"/>
    <w:rsid w:val="586D0D48"/>
    <w:rsid w:val="589F4975"/>
    <w:rsid w:val="58B61CB9"/>
    <w:rsid w:val="58BB7916"/>
    <w:rsid w:val="58D63D1E"/>
    <w:rsid w:val="58EF5EC9"/>
    <w:rsid w:val="58F36E51"/>
    <w:rsid w:val="58FF717A"/>
    <w:rsid w:val="59024894"/>
    <w:rsid w:val="59043D39"/>
    <w:rsid w:val="59134455"/>
    <w:rsid w:val="592062E6"/>
    <w:rsid w:val="592324F7"/>
    <w:rsid w:val="59275449"/>
    <w:rsid w:val="594E1B92"/>
    <w:rsid w:val="595347AB"/>
    <w:rsid w:val="59550740"/>
    <w:rsid w:val="597638E0"/>
    <w:rsid w:val="59852994"/>
    <w:rsid w:val="599F01C2"/>
    <w:rsid w:val="59A26483"/>
    <w:rsid w:val="59AF6DF2"/>
    <w:rsid w:val="59BE7AFF"/>
    <w:rsid w:val="59C8786B"/>
    <w:rsid w:val="59CF4D9E"/>
    <w:rsid w:val="59D21C58"/>
    <w:rsid w:val="5A1D1FC5"/>
    <w:rsid w:val="5A200E2A"/>
    <w:rsid w:val="5A2E4BB0"/>
    <w:rsid w:val="5A396423"/>
    <w:rsid w:val="5A951B44"/>
    <w:rsid w:val="5A981634"/>
    <w:rsid w:val="5ABD5892"/>
    <w:rsid w:val="5ADA39FB"/>
    <w:rsid w:val="5AE16044"/>
    <w:rsid w:val="5AE2133C"/>
    <w:rsid w:val="5AE34FA5"/>
    <w:rsid w:val="5B16524A"/>
    <w:rsid w:val="5B244687"/>
    <w:rsid w:val="5B35552B"/>
    <w:rsid w:val="5B3C46B5"/>
    <w:rsid w:val="5B3C70CB"/>
    <w:rsid w:val="5B4068B9"/>
    <w:rsid w:val="5B4E6197"/>
    <w:rsid w:val="5B501F0F"/>
    <w:rsid w:val="5B571ABB"/>
    <w:rsid w:val="5B5A153F"/>
    <w:rsid w:val="5B61411C"/>
    <w:rsid w:val="5B661732"/>
    <w:rsid w:val="5BB75A49"/>
    <w:rsid w:val="5BB95D06"/>
    <w:rsid w:val="5BC21A19"/>
    <w:rsid w:val="5BD31C44"/>
    <w:rsid w:val="5BE746CC"/>
    <w:rsid w:val="5BF154A0"/>
    <w:rsid w:val="5C1565FF"/>
    <w:rsid w:val="5C26303A"/>
    <w:rsid w:val="5C3220B6"/>
    <w:rsid w:val="5C48274C"/>
    <w:rsid w:val="5C9F36B8"/>
    <w:rsid w:val="5CA27D08"/>
    <w:rsid w:val="5CE44AD3"/>
    <w:rsid w:val="5CFD7E74"/>
    <w:rsid w:val="5D0134C1"/>
    <w:rsid w:val="5D137173"/>
    <w:rsid w:val="5D155B21"/>
    <w:rsid w:val="5D221689"/>
    <w:rsid w:val="5D2F4949"/>
    <w:rsid w:val="5D350FC0"/>
    <w:rsid w:val="5D795DB7"/>
    <w:rsid w:val="5D8205DF"/>
    <w:rsid w:val="5DBE3EA2"/>
    <w:rsid w:val="5E006ACA"/>
    <w:rsid w:val="5E2733D0"/>
    <w:rsid w:val="5E2C5922"/>
    <w:rsid w:val="5E617BB3"/>
    <w:rsid w:val="5E725175"/>
    <w:rsid w:val="5E734DF0"/>
    <w:rsid w:val="5E7C4259"/>
    <w:rsid w:val="5E8C7BB6"/>
    <w:rsid w:val="5EB975B5"/>
    <w:rsid w:val="5EE4309A"/>
    <w:rsid w:val="5EE56833"/>
    <w:rsid w:val="5EF22D7B"/>
    <w:rsid w:val="5F0454EA"/>
    <w:rsid w:val="5F3B7088"/>
    <w:rsid w:val="5F447FDD"/>
    <w:rsid w:val="5F541D0A"/>
    <w:rsid w:val="5F562317"/>
    <w:rsid w:val="5F7F0725"/>
    <w:rsid w:val="5F930DF8"/>
    <w:rsid w:val="5F962C10"/>
    <w:rsid w:val="5FB92779"/>
    <w:rsid w:val="5FC81B31"/>
    <w:rsid w:val="60146320"/>
    <w:rsid w:val="60363EAD"/>
    <w:rsid w:val="60427649"/>
    <w:rsid w:val="604858AA"/>
    <w:rsid w:val="608B5A6C"/>
    <w:rsid w:val="60982C77"/>
    <w:rsid w:val="60A40EB9"/>
    <w:rsid w:val="60B427BF"/>
    <w:rsid w:val="60B44395"/>
    <w:rsid w:val="60B97475"/>
    <w:rsid w:val="60D46E4F"/>
    <w:rsid w:val="60D62EB6"/>
    <w:rsid w:val="60E263B8"/>
    <w:rsid w:val="61000F3B"/>
    <w:rsid w:val="610F7448"/>
    <w:rsid w:val="61123A5A"/>
    <w:rsid w:val="61227EAA"/>
    <w:rsid w:val="61387EE8"/>
    <w:rsid w:val="613F0A5C"/>
    <w:rsid w:val="61554981"/>
    <w:rsid w:val="61677EC6"/>
    <w:rsid w:val="616A4EEF"/>
    <w:rsid w:val="619012B7"/>
    <w:rsid w:val="61BE2338"/>
    <w:rsid w:val="62201841"/>
    <w:rsid w:val="62451A52"/>
    <w:rsid w:val="628250A4"/>
    <w:rsid w:val="62DE326F"/>
    <w:rsid w:val="62E73159"/>
    <w:rsid w:val="62EA49F7"/>
    <w:rsid w:val="62F354C1"/>
    <w:rsid w:val="62F441C5"/>
    <w:rsid w:val="634B4390"/>
    <w:rsid w:val="634F59A9"/>
    <w:rsid w:val="635F0E1F"/>
    <w:rsid w:val="636B538A"/>
    <w:rsid w:val="636D0775"/>
    <w:rsid w:val="6377272F"/>
    <w:rsid w:val="638536B6"/>
    <w:rsid w:val="63D062E3"/>
    <w:rsid w:val="642301C1"/>
    <w:rsid w:val="642A0396"/>
    <w:rsid w:val="644D7725"/>
    <w:rsid w:val="644E6E76"/>
    <w:rsid w:val="645D6526"/>
    <w:rsid w:val="645F1B9D"/>
    <w:rsid w:val="64610207"/>
    <w:rsid w:val="64793010"/>
    <w:rsid w:val="64841461"/>
    <w:rsid w:val="64A74B3F"/>
    <w:rsid w:val="64AA4E0B"/>
    <w:rsid w:val="64E54EC3"/>
    <w:rsid w:val="64ED42F7"/>
    <w:rsid w:val="650E75E4"/>
    <w:rsid w:val="651433B0"/>
    <w:rsid w:val="65222FC4"/>
    <w:rsid w:val="652D5FDB"/>
    <w:rsid w:val="6553506E"/>
    <w:rsid w:val="655F79A3"/>
    <w:rsid w:val="65681E73"/>
    <w:rsid w:val="65773730"/>
    <w:rsid w:val="659154C8"/>
    <w:rsid w:val="65985371"/>
    <w:rsid w:val="65B011BE"/>
    <w:rsid w:val="65E47E23"/>
    <w:rsid w:val="65E53413"/>
    <w:rsid w:val="65F71217"/>
    <w:rsid w:val="665F74AA"/>
    <w:rsid w:val="6663687E"/>
    <w:rsid w:val="666D7E19"/>
    <w:rsid w:val="66863C3B"/>
    <w:rsid w:val="66D776F8"/>
    <w:rsid w:val="66DD06E0"/>
    <w:rsid w:val="66F127F8"/>
    <w:rsid w:val="66F63C5D"/>
    <w:rsid w:val="66F86C0B"/>
    <w:rsid w:val="670C5884"/>
    <w:rsid w:val="670D624C"/>
    <w:rsid w:val="67242BCD"/>
    <w:rsid w:val="67381478"/>
    <w:rsid w:val="67394B60"/>
    <w:rsid w:val="67424E02"/>
    <w:rsid w:val="674E39C0"/>
    <w:rsid w:val="675F45E9"/>
    <w:rsid w:val="676723DA"/>
    <w:rsid w:val="67A23584"/>
    <w:rsid w:val="67A25996"/>
    <w:rsid w:val="67B93654"/>
    <w:rsid w:val="67F67DDC"/>
    <w:rsid w:val="680C723C"/>
    <w:rsid w:val="68102E33"/>
    <w:rsid w:val="681C5D18"/>
    <w:rsid w:val="68791880"/>
    <w:rsid w:val="689C2C37"/>
    <w:rsid w:val="68A11AF9"/>
    <w:rsid w:val="68EC49A5"/>
    <w:rsid w:val="68F9502E"/>
    <w:rsid w:val="68FE2FAA"/>
    <w:rsid w:val="690D6182"/>
    <w:rsid w:val="691406ED"/>
    <w:rsid w:val="69330DF7"/>
    <w:rsid w:val="694806C9"/>
    <w:rsid w:val="694E3F32"/>
    <w:rsid w:val="695C2770"/>
    <w:rsid w:val="698536CB"/>
    <w:rsid w:val="698764EA"/>
    <w:rsid w:val="699456BD"/>
    <w:rsid w:val="69EE301F"/>
    <w:rsid w:val="6A076480"/>
    <w:rsid w:val="6A1026F9"/>
    <w:rsid w:val="6A314E58"/>
    <w:rsid w:val="6A436179"/>
    <w:rsid w:val="6A4507D5"/>
    <w:rsid w:val="6A7061D6"/>
    <w:rsid w:val="6A7B065E"/>
    <w:rsid w:val="6A8671A6"/>
    <w:rsid w:val="6A8B2F63"/>
    <w:rsid w:val="6A8F3072"/>
    <w:rsid w:val="6A9570EF"/>
    <w:rsid w:val="6ABC1704"/>
    <w:rsid w:val="6AC02C0D"/>
    <w:rsid w:val="6AD03A26"/>
    <w:rsid w:val="6AFC79BD"/>
    <w:rsid w:val="6B3C5B9F"/>
    <w:rsid w:val="6B6630F4"/>
    <w:rsid w:val="6B6932A5"/>
    <w:rsid w:val="6B6D2669"/>
    <w:rsid w:val="6B867605"/>
    <w:rsid w:val="6BA31452"/>
    <w:rsid w:val="6BB10FD5"/>
    <w:rsid w:val="6BC229B5"/>
    <w:rsid w:val="6BCD76BE"/>
    <w:rsid w:val="6BDA7CFF"/>
    <w:rsid w:val="6BEC5C84"/>
    <w:rsid w:val="6BEF6070"/>
    <w:rsid w:val="6C0C624A"/>
    <w:rsid w:val="6C1236EB"/>
    <w:rsid w:val="6C231969"/>
    <w:rsid w:val="6C295DED"/>
    <w:rsid w:val="6C6727B2"/>
    <w:rsid w:val="6C7252F8"/>
    <w:rsid w:val="6C7C5FAF"/>
    <w:rsid w:val="6C8247FD"/>
    <w:rsid w:val="6C903EC8"/>
    <w:rsid w:val="6CC90C2D"/>
    <w:rsid w:val="6CCC5D86"/>
    <w:rsid w:val="6CD82036"/>
    <w:rsid w:val="6CDC6F8F"/>
    <w:rsid w:val="6CDC7B2E"/>
    <w:rsid w:val="6CE60925"/>
    <w:rsid w:val="6CF06A9E"/>
    <w:rsid w:val="6CFA2F04"/>
    <w:rsid w:val="6D162FB8"/>
    <w:rsid w:val="6D210722"/>
    <w:rsid w:val="6D2E048C"/>
    <w:rsid w:val="6D3C0545"/>
    <w:rsid w:val="6D54624D"/>
    <w:rsid w:val="6D687008"/>
    <w:rsid w:val="6D6B459B"/>
    <w:rsid w:val="6D7258DD"/>
    <w:rsid w:val="6D7662CE"/>
    <w:rsid w:val="6D7E6441"/>
    <w:rsid w:val="6D863327"/>
    <w:rsid w:val="6D935305"/>
    <w:rsid w:val="6DB2110A"/>
    <w:rsid w:val="6DB6259F"/>
    <w:rsid w:val="6DDB1B0C"/>
    <w:rsid w:val="6E032E11"/>
    <w:rsid w:val="6E08037D"/>
    <w:rsid w:val="6E0B6ED5"/>
    <w:rsid w:val="6E192634"/>
    <w:rsid w:val="6E3B3F7D"/>
    <w:rsid w:val="6E421B8B"/>
    <w:rsid w:val="6E53171A"/>
    <w:rsid w:val="6E535B69"/>
    <w:rsid w:val="6E6536B4"/>
    <w:rsid w:val="6E7F433B"/>
    <w:rsid w:val="6E823952"/>
    <w:rsid w:val="6E83370F"/>
    <w:rsid w:val="6E891568"/>
    <w:rsid w:val="6EB93B02"/>
    <w:rsid w:val="6EC732B4"/>
    <w:rsid w:val="6EE97E30"/>
    <w:rsid w:val="6F311AC2"/>
    <w:rsid w:val="6F451169"/>
    <w:rsid w:val="6F814935"/>
    <w:rsid w:val="6F8C4053"/>
    <w:rsid w:val="6F930E11"/>
    <w:rsid w:val="6FAD7A87"/>
    <w:rsid w:val="6FC14FAF"/>
    <w:rsid w:val="6FD41061"/>
    <w:rsid w:val="6FEF3872"/>
    <w:rsid w:val="70390D6C"/>
    <w:rsid w:val="70740265"/>
    <w:rsid w:val="709646F3"/>
    <w:rsid w:val="70A9288A"/>
    <w:rsid w:val="70C51D39"/>
    <w:rsid w:val="70C745CA"/>
    <w:rsid w:val="70CB40BA"/>
    <w:rsid w:val="70CC398E"/>
    <w:rsid w:val="70D8659F"/>
    <w:rsid w:val="70FC24C5"/>
    <w:rsid w:val="710730EC"/>
    <w:rsid w:val="711579BE"/>
    <w:rsid w:val="715336F2"/>
    <w:rsid w:val="7156642C"/>
    <w:rsid w:val="715C2F64"/>
    <w:rsid w:val="71704C61"/>
    <w:rsid w:val="717604C9"/>
    <w:rsid w:val="71880E18"/>
    <w:rsid w:val="71915F81"/>
    <w:rsid w:val="719630FA"/>
    <w:rsid w:val="719E300E"/>
    <w:rsid w:val="71B132B0"/>
    <w:rsid w:val="71BF2350"/>
    <w:rsid w:val="71C652FE"/>
    <w:rsid w:val="71ED21B3"/>
    <w:rsid w:val="72062ED0"/>
    <w:rsid w:val="72114AAA"/>
    <w:rsid w:val="722515A8"/>
    <w:rsid w:val="724A0812"/>
    <w:rsid w:val="724A52DC"/>
    <w:rsid w:val="724D7FA5"/>
    <w:rsid w:val="72502024"/>
    <w:rsid w:val="7298775E"/>
    <w:rsid w:val="72A8785B"/>
    <w:rsid w:val="72B664E0"/>
    <w:rsid w:val="72CA5614"/>
    <w:rsid w:val="72D02258"/>
    <w:rsid w:val="72D52FCE"/>
    <w:rsid w:val="72E231CE"/>
    <w:rsid w:val="730A7AA7"/>
    <w:rsid w:val="732452B0"/>
    <w:rsid w:val="732D67A7"/>
    <w:rsid w:val="734B749E"/>
    <w:rsid w:val="73575823"/>
    <w:rsid w:val="73607B9C"/>
    <w:rsid w:val="737E0329"/>
    <w:rsid w:val="73816918"/>
    <w:rsid w:val="73894506"/>
    <w:rsid w:val="738E06F6"/>
    <w:rsid w:val="73D747B2"/>
    <w:rsid w:val="73F34921"/>
    <w:rsid w:val="73FD2A9B"/>
    <w:rsid w:val="74192476"/>
    <w:rsid w:val="741C7E24"/>
    <w:rsid w:val="745873A9"/>
    <w:rsid w:val="7463285B"/>
    <w:rsid w:val="748E2EBD"/>
    <w:rsid w:val="74AB0605"/>
    <w:rsid w:val="74B11B3B"/>
    <w:rsid w:val="74BF3F35"/>
    <w:rsid w:val="74C4575A"/>
    <w:rsid w:val="74D43BDC"/>
    <w:rsid w:val="74EF6A0A"/>
    <w:rsid w:val="74F33324"/>
    <w:rsid w:val="75023186"/>
    <w:rsid w:val="752F4586"/>
    <w:rsid w:val="75581C94"/>
    <w:rsid w:val="75600A65"/>
    <w:rsid w:val="7563387A"/>
    <w:rsid w:val="756A6DEA"/>
    <w:rsid w:val="75750A98"/>
    <w:rsid w:val="759A1D67"/>
    <w:rsid w:val="75A650F5"/>
    <w:rsid w:val="75E672A0"/>
    <w:rsid w:val="760D59D6"/>
    <w:rsid w:val="764A3CD3"/>
    <w:rsid w:val="765042D0"/>
    <w:rsid w:val="766A1C7F"/>
    <w:rsid w:val="76702E8B"/>
    <w:rsid w:val="767F4589"/>
    <w:rsid w:val="76C84BF7"/>
    <w:rsid w:val="76DC2782"/>
    <w:rsid w:val="77171FB8"/>
    <w:rsid w:val="7740651B"/>
    <w:rsid w:val="77453BED"/>
    <w:rsid w:val="774B7FC3"/>
    <w:rsid w:val="77675644"/>
    <w:rsid w:val="77690189"/>
    <w:rsid w:val="776E0DC5"/>
    <w:rsid w:val="77B910C6"/>
    <w:rsid w:val="77BA6851"/>
    <w:rsid w:val="77F261B3"/>
    <w:rsid w:val="78172436"/>
    <w:rsid w:val="78362761"/>
    <w:rsid w:val="78524552"/>
    <w:rsid w:val="786310A3"/>
    <w:rsid w:val="78880775"/>
    <w:rsid w:val="789E7863"/>
    <w:rsid w:val="78A27DF6"/>
    <w:rsid w:val="78D24D05"/>
    <w:rsid w:val="78D9001A"/>
    <w:rsid w:val="78EB02AC"/>
    <w:rsid w:val="78FB47EE"/>
    <w:rsid w:val="79142B24"/>
    <w:rsid w:val="7925297D"/>
    <w:rsid w:val="794B223C"/>
    <w:rsid w:val="795D5ACB"/>
    <w:rsid w:val="796926C2"/>
    <w:rsid w:val="796F7259"/>
    <w:rsid w:val="797161CD"/>
    <w:rsid w:val="799A02D2"/>
    <w:rsid w:val="79DB6678"/>
    <w:rsid w:val="79E41D48"/>
    <w:rsid w:val="79E5262F"/>
    <w:rsid w:val="79FC6F2D"/>
    <w:rsid w:val="7A02374B"/>
    <w:rsid w:val="7A0A15D1"/>
    <w:rsid w:val="7A0E4F5E"/>
    <w:rsid w:val="7A3E3B4E"/>
    <w:rsid w:val="7A6A4943"/>
    <w:rsid w:val="7A94551C"/>
    <w:rsid w:val="7AAB2866"/>
    <w:rsid w:val="7AC16928"/>
    <w:rsid w:val="7ADD6223"/>
    <w:rsid w:val="7B273FF1"/>
    <w:rsid w:val="7B2A7C2F"/>
    <w:rsid w:val="7B51110C"/>
    <w:rsid w:val="7B607549"/>
    <w:rsid w:val="7B7315D6"/>
    <w:rsid w:val="7BB31AED"/>
    <w:rsid w:val="7BE65B58"/>
    <w:rsid w:val="7BF344C5"/>
    <w:rsid w:val="7BFC15CB"/>
    <w:rsid w:val="7C06069C"/>
    <w:rsid w:val="7C191832"/>
    <w:rsid w:val="7C32728E"/>
    <w:rsid w:val="7C4114E7"/>
    <w:rsid w:val="7C440B4F"/>
    <w:rsid w:val="7C462E05"/>
    <w:rsid w:val="7C7C270C"/>
    <w:rsid w:val="7C7C37A5"/>
    <w:rsid w:val="7C93004B"/>
    <w:rsid w:val="7CA76433"/>
    <w:rsid w:val="7CC61BD9"/>
    <w:rsid w:val="7D080444"/>
    <w:rsid w:val="7D5B3360"/>
    <w:rsid w:val="7D636FB6"/>
    <w:rsid w:val="7D6569F7"/>
    <w:rsid w:val="7D7A661D"/>
    <w:rsid w:val="7D883096"/>
    <w:rsid w:val="7D8831F9"/>
    <w:rsid w:val="7D8A1852"/>
    <w:rsid w:val="7D9C3DC9"/>
    <w:rsid w:val="7DA3248E"/>
    <w:rsid w:val="7DC26844"/>
    <w:rsid w:val="7DD00F8E"/>
    <w:rsid w:val="7DF61E58"/>
    <w:rsid w:val="7E046E5D"/>
    <w:rsid w:val="7E14311B"/>
    <w:rsid w:val="7E195778"/>
    <w:rsid w:val="7E312A4C"/>
    <w:rsid w:val="7E41673E"/>
    <w:rsid w:val="7E4B4A8C"/>
    <w:rsid w:val="7E510A0E"/>
    <w:rsid w:val="7E70618F"/>
    <w:rsid w:val="7EA26F5F"/>
    <w:rsid w:val="7EBC78FA"/>
    <w:rsid w:val="7ED26EEB"/>
    <w:rsid w:val="7EDE145C"/>
    <w:rsid w:val="7F0D1E11"/>
    <w:rsid w:val="7F340705"/>
    <w:rsid w:val="7F49540C"/>
    <w:rsid w:val="7F93642B"/>
    <w:rsid w:val="7F9D30C5"/>
    <w:rsid w:val="7F9D5B80"/>
    <w:rsid w:val="7FAD3176"/>
    <w:rsid w:val="7FB06E37"/>
    <w:rsid w:val="7FCF6FF7"/>
    <w:rsid w:val="7FE01204"/>
    <w:rsid w:val="7FEA1C7F"/>
    <w:rsid w:val="7FF177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qFormat="1"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20"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27"/>
    <w:autoRedefine/>
    <w:qFormat/>
    <w:uiPriority w:val="9"/>
    <w:pPr>
      <w:keepNext/>
      <w:keepLines/>
      <w:spacing w:before="100" w:beforeLines="100" w:after="100" w:afterLines="100"/>
      <w:ind w:firstLine="0" w:firstLineChars="0"/>
      <w:jc w:val="center"/>
      <w:outlineLvl w:val="0"/>
    </w:pPr>
    <w:rPr>
      <w:rFonts w:ascii="黑体" w:hAnsi="黑体" w:eastAsia="黑体"/>
      <w:b/>
      <w:bCs/>
      <w:kern w:val="44"/>
      <w:sz w:val="32"/>
      <w:szCs w:val="44"/>
    </w:rPr>
  </w:style>
  <w:style w:type="paragraph" w:styleId="4">
    <w:name w:val="heading 2"/>
    <w:basedOn w:val="1"/>
    <w:next w:val="1"/>
    <w:link w:val="28"/>
    <w:autoRedefine/>
    <w:unhideWhenUsed/>
    <w:qFormat/>
    <w:uiPriority w:val="9"/>
    <w:pPr>
      <w:keepNext/>
      <w:keepLines/>
      <w:spacing w:before="50" w:beforeLines="50" w:after="50" w:afterLines="50"/>
      <w:outlineLvl w:val="1"/>
    </w:pPr>
    <w:rPr>
      <w:rFonts w:ascii="黑体" w:hAnsi="黑体" w:eastAsia="黑体" w:cstheme="majorBidi"/>
      <w:sz w:val="30"/>
      <w:szCs w:val="32"/>
    </w:rPr>
  </w:style>
  <w:style w:type="paragraph" w:styleId="5">
    <w:name w:val="heading 3"/>
    <w:basedOn w:val="1"/>
    <w:next w:val="1"/>
    <w:link w:val="29"/>
    <w:autoRedefine/>
    <w:unhideWhenUsed/>
    <w:qFormat/>
    <w:uiPriority w:val="9"/>
    <w:pPr>
      <w:keepNext/>
      <w:keepLines/>
      <w:outlineLvl w:val="2"/>
    </w:pPr>
    <w:rPr>
      <w:rFonts w:ascii="黑体" w:hAnsi="黑体" w:eastAsia="黑体"/>
      <w:b/>
      <w:bCs/>
      <w:sz w:val="28"/>
      <w:szCs w:val="32"/>
    </w:rPr>
  </w:style>
  <w:style w:type="paragraph" w:styleId="6">
    <w:name w:val="heading 4"/>
    <w:basedOn w:val="1"/>
    <w:next w:val="1"/>
    <w:link w:val="30"/>
    <w:autoRedefine/>
    <w:unhideWhenUsed/>
    <w:qFormat/>
    <w:uiPriority w:val="9"/>
    <w:pPr>
      <w:keepNext/>
      <w:keepLines/>
      <w:outlineLvl w:val="3"/>
    </w:pPr>
    <w:rPr>
      <w:rFonts w:ascii="黑体" w:hAnsi="黑体" w:eastAsia="黑体" w:cstheme="majorBidi"/>
      <w:b/>
      <w:bCs/>
      <w:szCs w:val="28"/>
    </w:rPr>
  </w:style>
  <w:style w:type="paragraph" w:styleId="7">
    <w:name w:val="heading 5"/>
    <w:basedOn w:val="1"/>
    <w:next w:val="1"/>
    <w:link w:val="31"/>
    <w:autoRedefine/>
    <w:unhideWhenUsed/>
    <w:qFormat/>
    <w:uiPriority w:val="9"/>
    <w:pPr>
      <w:keepNext/>
      <w:keepLines/>
      <w:outlineLvl w:val="4"/>
    </w:pPr>
    <w:rPr>
      <w:rFonts w:ascii="宋体" w:hAnsi="宋体"/>
      <w:b/>
      <w:bCs/>
      <w:szCs w:val="28"/>
    </w:rPr>
  </w:style>
  <w:style w:type="paragraph" w:styleId="8">
    <w:name w:val="heading 6"/>
    <w:basedOn w:val="1"/>
    <w:next w:val="1"/>
    <w:autoRedefine/>
    <w:semiHidden/>
    <w:unhideWhenUsed/>
    <w:qFormat/>
    <w:uiPriority w:val="9"/>
    <w:pPr>
      <w:keepNext/>
      <w:keepLines/>
      <w:ind w:firstLine="480"/>
      <w:outlineLvl w:val="5"/>
    </w:pPr>
    <w:rPr>
      <w:rFonts w:ascii="宋体" w:hAnsi="宋体" w:cs="Times New Roman"/>
      <w:b/>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32"/>
    <w:autoRedefine/>
    <w:unhideWhenUsed/>
    <w:qFormat/>
    <w:uiPriority w:val="99"/>
    <w:pPr>
      <w:adjustRightInd w:val="0"/>
      <w:snapToGrid w:val="0"/>
    </w:pPr>
    <w:rPr>
      <w:rFonts w:cs="Times New Roman"/>
    </w:rPr>
  </w:style>
  <w:style w:type="paragraph" w:styleId="9">
    <w:name w:val="toc 7"/>
    <w:basedOn w:val="1"/>
    <w:next w:val="1"/>
    <w:autoRedefine/>
    <w:semiHidden/>
    <w:unhideWhenUsed/>
    <w:qFormat/>
    <w:uiPriority w:val="39"/>
    <w:pPr>
      <w:ind w:left="2520" w:leftChars="1200"/>
    </w:pPr>
  </w:style>
  <w:style w:type="paragraph" w:styleId="10">
    <w:name w:val="annotation text"/>
    <w:basedOn w:val="1"/>
    <w:autoRedefine/>
    <w:unhideWhenUsed/>
    <w:qFormat/>
    <w:uiPriority w:val="99"/>
    <w:pPr>
      <w:jc w:val="left"/>
    </w:pPr>
    <w:rPr>
      <w:rFonts w:ascii="Calibri" w:hAnsi="Calibri"/>
      <w:sz w:val="21"/>
    </w:rPr>
  </w:style>
  <w:style w:type="paragraph" w:styleId="11">
    <w:name w:val="Body Text"/>
    <w:basedOn w:val="1"/>
    <w:link w:val="56"/>
    <w:autoRedefine/>
    <w:unhideWhenUsed/>
    <w:qFormat/>
    <w:uiPriority w:val="99"/>
    <w:pPr>
      <w:spacing w:after="120"/>
    </w:pPr>
  </w:style>
  <w:style w:type="paragraph" w:styleId="12">
    <w:name w:val="toc 3"/>
    <w:basedOn w:val="1"/>
    <w:next w:val="1"/>
    <w:autoRedefine/>
    <w:unhideWhenUsed/>
    <w:qFormat/>
    <w:uiPriority w:val="39"/>
    <w:pPr>
      <w:ind w:left="840" w:leftChars="400"/>
    </w:pPr>
  </w:style>
  <w:style w:type="paragraph" w:styleId="13">
    <w:name w:val="footer"/>
    <w:basedOn w:val="1"/>
    <w:link w:val="34"/>
    <w:autoRedefine/>
    <w:unhideWhenUsed/>
    <w:qFormat/>
    <w:uiPriority w:val="99"/>
    <w:pPr>
      <w:tabs>
        <w:tab w:val="center" w:pos="4153"/>
        <w:tab w:val="right" w:pos="8306"/>
      </w:tabs>
      <w:snapToGrid w:val="0"/>
      <w:jc w:val="left"/>
    </w:pPr>
    <w:rPr>
      <w:rFonts w:ascii="宋体" w:hAnsi="宋体"/>
      <w:szCs w:val="18"/>
    </w:rPr>
  </w:style>
  <w:style w:type="paragraph" w:styleId="14">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4"/>
    <w:basedOn w:val="1"/>
    <w:next w:val="1"/>
    <w:autoRedefine/>
    <w:semiHidden/>
    <w:unhideWhenUsed/>
    <w:qFormat/>
    <w:uiPriority w:val="39"/>
    <w:pPr>
      <w:ind w:left="1260" w:leftChars="600"/>
    </w:pPr>
  </w:style>
  <w:style w:type="paragraph" w:styleId="17">
    <w:name w:val="table of figures"/>
    <w:basedOn w:val="1"/>
    <w:next w:val="1"/>
    <w:autoRedefine/>
    <w:unhideWhenUsed/>
    <w:qFormat/>
    <w:uiPriority w:val="99"/>
    <w:pPr>
      <w:spacing w:line="480" w:lineRule="auto"/>
      <w:ind w:firstLine="0" w:firstLineChars="0"/>
      <w:jc w:val="center"/>
    </w:pPr>
    <w:rPr>
      <w:rFonts w:ascii="黑体" w:hAnsi="黑体" w:eastAsia="黑体"/>
      <w:sz w:val="21"/>
    </w:rPr>
  </w:style>
  <w:style w:type="paragraph" w:styleId="18">
    <w:name w:val="toc 2"/>
    <w:basedOn w:val="1"/>
    <w:next w:val="1"/>
    <w:autoRedefine/>
    <w:unhideWhenUsed/>
    <w:qFormat/>
    <w:uiPriority w:val="39"/>
    <w:pPr>
      <w:ind w:left="420" w:leftChars="200"/>
    </w:pPr>
  </w:style>
  <w:style w:type="paragraph" w:styleId="19">
    <w:name w:val="Body Text 2"/>
    <w:basedOn w:val="1"/>
    <w:link w:val="60"/>
    <w:autoRedefine/>
    <w:qFormat/>
    <w:uiPriority w:val="0"/>
    <w:pPr>
      <w:spacing w:after="120" w:line="480" w:lineRule="auto"/>
      <w:ind w:firstLine="883"/>
    </w:pPr>
    <w:rPr>
      <w:rFonts w:ascii="Calibri" w:hAnsi="Calibri" w:eastAsia="新宋体" w:cs="Times New Roman"/>
      <w:sz w:val="28"/>
    </w:rPr>
  </w:style>
  <w:style w:type="paragraph" w:styleId="20">
    <w:name w:val="Normal (Web)"/>
    <w:basedOn w:val="1"/>
    <w:autoRedefine/>
    <w:unhideWhenUsed/>
    <w:qFormat/>
    <w:uiPriority w:val="99"/>
  </w:style>
  <w:style w:type="table" w:styleId="22">
    <w:name w:val="Table Grid"/>
    <w:basedOn w:val="21"/>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Hyperlink"/>
    <w:basedOn w:val="23"/>
    <w:autoRedefine/>
    <w:unhideWhenUsed/>
    <w:qFormat/>
    <w:uiPriority w:val="99"/>
    <w:rPr>
      <w:color w:val="0000FF"/>
      <w:u w:val="single"/>
    </w:rPr>
  </w:style>
  <w:style w:type="character" w:styleId="26">
    <w:name w:val="annotation reference"/>
    <w:basedOn w:val="23"/>
    <w:autoRedefine/>
    <w:semiHidden/>
    <w:unhideWhenUsed/>
    <w:qFormat/>
    <w:uiPriority w:val="99"/>
    <w:rPr>
      <w:sz w:val="21"/>
      <w:szCs w:val="21"/>
    </w:rPr>
  </w:style>
  <w:style w:type="character" w:customStyle="1" w:styleId="27">
    <w:name w:val="标题 1 字符"/>
    <w:basedOn w:val="23"/>
    <w:link w:val="3"/>
    <w:autoRedefine/>
    <w:qFormat/>
    <w:uiPriority w:val="9"/>
    <w:rPr>
      <w:rFonts w:ascii="黑体" w:hAnsi="黑体" w:eastAsia="黑体"/>
      <w:b/>
      <w:bCs/>
      <w:kern w:val="44"/>
      <w:sz w:val="32"/>
      <w:szCs w:val="44"/>
    </w:rPr>
  </w:style>
  <w:style w:type="character" w:customStyle="1" w:styleId="28">
    <w:name w:val="标题 2 字符"/>
    <w:basedOn w:val="23"/>
    <w:link w:val="4"/>
    <w:autoRedefine/>
    <w:qFormat/>
    <w:uiPriority w:val="9"/>
    <w:rPr>
      <w:rFonts w:ascii="黑体" w:hAnsi="黑体" w:eastAsia="黑体" w:cstheme="majorBidi"/>
      <w:b/>
      <w:bCs/>
      <w:sz w:val="30"/>
      <w:szCs w:val="32"/>
    </w:rPr>
  </w:style>
  <w:style w:type="character" w:customStyle="1" w:styleId="29">
    <w:name w:val="标题 3 字符"/>
    <w:basedOn w:val="23"/>
    <w:link w:val="5"/>
    <w:autoRedefine/>
    <w:qFormat/>
    <w:uiPriority w:val="9"/>
    <w:rPr>
      <w:rFonts w:ascii="黑体" w:hAnsi="黑体" w:eastAsia="黑体"/>
      <w:b/>
      <w:bCs/>
      <w:sz w:val="28"/>
      <w:szCs w:val="32"/>
    </w:rPr>
  </w:style>
  <w:style w:type="character" w:customStyle="1" w:styleId="30">
    <w:name w:val="标题 4 字符"/>
    <w:basedOn w:val="23"/>
    <w:link w:val="6"/>
    <w:autoRedefine/>
    <w:qFormat/>
    <w:uiPriority w:val="9"/>
    <w:rPr>
      <w:rFonts w:ascii="黑体" w:hAnsi="黑体" w:eastAsia="黑体" w:cstheme="majorBidi"/>
      <w:b/>
      <w:bCs/>
      <w:sz w:val="24"/>
      <w:szCs w:val="28"/>
    </w:rPr>
  </w:style>
  <w:style w:type="character" w:customStyle="1" w:styleId="31">
    <w:name w:val="标题 5 字符"/>
    <w:basedOn w:val="23"/>
    <w:link w:val="7"/>
    <w:autoRedefine/>
    <w:qFormat/>
    <w:uiPriority w:val="9"/>
    <w:rPr>
      <w:rFonts w:ascii="宋体" w:hAnsi="宋体" w:eastAsia="宋体"/>
      <w:b/>
      <w:bCs/>
      <w:sz w:val="24"/>
      <w:szCs w:val="28"/>
    </w:rPr>
  </w:style>
  <w:style w:type="character" w:customStyle="1" w:styleId="32">
    <w:name w:val="正文文本缩进 2 字符"/>
    <w:basedOn w:val="23"/>
    <w:link w:val="2"/>
    <w:autoRedefine/>
    <w:semiHidden/>
    <w:qFormat/>
    <w:uiPriority w:val="99"/>
    <w:rPr>
      <w:rFonts w:ascii="Times New Roman" w:hAnsi="Times New Roman" w:eastAsia="宋体" w:cs="Times New Roman"/>
      <w:sz w:val="24"/>
    </w:rPr>
  </w:style>
  <w:style w:type="paragraph" w:customStyle="1" w:styleId="33">
    <w:name w:val="表格"/>
    <w:basedOn w:val="1"/>
    <w:autoRedefine/>
    <w:qFormat/>
    <w:uiPriority w:val="0"/>
    <w:pPr>
      <w:adjustRightInd w:val="0"/>
      <w:snapToGrid w:val="0"/>
      <w:spacing w:before="50" w:beforeLines="50" w:after="50" w:afterLines="50" w:line="240" w:lineRule="auto"/>
      <w:ind w:firstLine="0" w:firstLineChars="0"/>
      <w:jc w:val="center"/>
    </w:pPr>
    <w:rPr>
      <w:rFonts w:cs="Times New Roman"/>
      <w:sz w:val="21"/>
    </w:rPr>
  </w:style>
  <w:style w:type="character" w:customStyle="1" w:styleId="34">
    <w:name w:val="页脚 字符"/>
    <w:basedOn w:val="23"/>
    <w:link w:val="13"/>
    <w:autoRedefine/>
    <w:qFormat/>
    <w:uiPriority w:val="99"/>
    <w:rPr>
      <w:rFonts w:ascii="宋体" w:hAnsi="宋体" w:eastAsia="宋体"/>
      <w:sz w:val="21"/>
      <w:szCs w:val="18"/>
    </w:rPr>
  </w:style>
  <w:style w:type="character" w:customStyle="1" w:styleId="35">
    <w:name w:val="页眉 字符"/>
    <w:basedOn w:val="23"/>
    <w:link w:val="14"/>
    <w:autoRedefine/>
    <w:qFormat/>
    <w:uiPriority w:val="99"/>
    <w:rPr>
      <w:sz w:val="18"/>
      <w:szCs w:val="18"/>
    </w:rPr>
  </w:style>
  <w:style w:type="table" w:customStyle="1" w:styleId="36">
    <w:name w:val="网格型2"/>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表 1 浅色1"/>
    <w:basedOn w:val="21"/>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paragraph" w:customStyle="1" w:styleId="3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0">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41">
    <w:name w:val="font21"/>
    <w:basedOn w:val="23"/>
    <w:autoRedefine/>
    <w:qFormat/>
    <w:uiPriority w:val="0"/>
    <w:rPr>
      <w:rFonts w:hint="eastAsia" w:ascii="宋体" w:hAnsi="宋体" w:eastAsia="宋体" w:cs="宋体"/>
      <w:color w:val="000000"/>
      <w:sz w:val="20"/>
      <w:szCs w:val="20"/>
      <w:u w:val="none"/>
    </w:rPr>
  </w:style>
  <w:style w:type="character" w:customStyle="1" w:styleId="42">
    <w:name w:val="font11"/>
    <w:basedOn w:val="23"/>
    <w:autoRedefine/>
    <w:qFormat/>
    <w:uiPriority w:val="0"/>
    <w:rPr>
      <w:rFonts w:hint="default" w:ascii="Times New Roman" w:hAnsi="Times New Roman" w:cs="Times New Roman"/>
      <w:color w:val="000000"/>
      <w:sz w:val="20"/>
      <w:szCs w:val="20"/>
      <w:u w:val="none"/>
    </w:rPr>
  </w:style>
  <w:style w:type="character" w:customStyle="1" w:styleId="43">
    <w:name w:val="font01"/>
    <w:basedOn w:val="23"/>
    <w:autoRedefine/>
    <w:qFormat/>
    <w:uiPriority w:val="0"/>
    <w:rPr>
      <w:rFonts w:hint="eastAsia" w:ascii="宋体" w:hAnsi="宋体" w:eastAsia="宋体" w:cs="宋体"/>
      <w:color w:val="000000"/>
      <w:sz w:val="20"/>
      <w:szCs w:val="20"/>
      <w:u w:val="none"/>
    </w:rPr>
  </w:style>
  <w:style w:type="character" w:customStyle="1" w:styleId="44">
    <w:name w:val="font71"/>
    <w:basedOn w:val="23"/>
    <w:autoRedefine/>
    <w:qFormat/>
    <w:uiPriority w:val="0"/>
    <w:rPr>
      <w:rFonts w:hint="eastAsia" w:ascii="宋体" w:hAnsi="宋体" w:eastAsia="宋体" w:cs="宋体"/>
      <w:color w:val="000000"/>
      <w:sz w:val="22"/>
      <w:szCs w:val="22"/>
      <w:u w:val="none"/>
    </w:rPr>
  </w:style>
  <w:style w:type="character" w:customStyle="1" w:styleId="45">
    <w:name w:val="font61"/>
    <w:basedOn w:val="23"/>
    <w:autoRedefine/>
    <w:qFormat/>
    <w:uiPriority w:val="0"/>
    <w:rPr>
      <w:rFonts w:hint="default" w:ascii="Times New Roman" w:hAnsi="Times New Roman" w:cs="Times New Roman"/>
      <w:color w:val="000000"/>
      <w:sz w:val="18"/>
      <w:szCs w:val="18"/>
      <w:u w:val="none"/>
    </w:rPr>
  </w:style>
  <w:style w:type="character" w:customStyle="1" w:styleId="46">
    <w:name w:val="font41"/>
    <w:basedOn w:val="23"/>
    <w:autoRedefine/>
    <w:qFormat/>
    <w:uiPriority w:val="0"/>
    <w:rPr>
      <w:rFonts w:hint="default" w:ascii="Times New Roman" w:hAnsi="Times New Roman" w:cs="Times New Roman"/>
      <w:color w:val="000000"/>
      <w:sz w:val="22"/>
      <w:szCs w:val="22"/>
      <w:u w:val="none"/>
    </w:rPr>
  </w:style>
  <w:style w:type="character" w:customStyle="1" w:styleId="47">
    <w:name w:val="font51"/>
    <w:basedOn w:val="23"/>
    <w:autoRedefine/>
    <w:qFormat/>
    <w:uiPriority w:val="0"/>
    <w:rPr>
      <w:rFonts w:hint="eastAsia" w:ascii="宋体" w:hAnsi="宋体" w:eastAsia="宋体" w:cs="宋体"/>
      <w:color w:val="000000"/>
      <w:sz w:val="12"/>
      <w:szCs w:val="12"/>
      <w:u w:val="none"/>
    </w:rPr>
  </w:style>
  <w:style w:type="paragraph" w:customStyle="1" w:styleId="48">
    <w:name w:val="pgc-p"/>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styleId="49">
    <w:name w:val="List Paragraph"/>
    <w:basedOn w:val="1"/>
    <w:autoRedefine/>
    <w:qFormat/>
    <w:uiPriority w:val="99"/>
  </w:style>
  <w:style w:type="character" w:customStyle="1" w:styleId="50">
    <w:name w:val="ed_ep"/>
    <w:basedOn w:val="23"/>
    <w:autoRedefine/>
    <w:qFormat/>
    <w:uiPriority w:val="0"/>
  </w:style>
  <w:style w:type="character" w:customStyle="1" w:styleId="51">
    <w:name w:val="ed_tk"/>
    <w:basedOn w:val="23"/>
    <w:autoRedefine/>
    <w:qFormat/>
    <w:uiPriority w:val="0"/>
  </w:style>
  <w:style w:type="character" w:customStyle="1" w:styleId="52">
    <w:name w:val="bjh-p"/>
    <w:basedOn w:val="23"/>
    <w:autoRedefine/>
    <w:qFormat/>
    <w:uiPriority w:val="0"/>
  </w:style>
  <w:style w:type="paragraph" w:customStyle="1" w:styleId="53">
    <w:name w:val="ql-align-justify"/>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4">
    <w:name w:val="vsbcontent_start"/>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55">
    <w:name w:val="vsbcontent_end"/>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6">
    <w:name w:val="正文文本 字符"/>
    <w:basedOn w:val="23"/>
    <w:link w:val="11"/>
    <w:autoRedefine/>
    <w:qFormat/>
    <w:uiPriority w:val="99"/>
    <w:rPr>
      <w:rFonts w:cstheme="minorBidi"/>
      <w:kern w:val="2"/>
      <w:sz w:val="24"/>
      <w:szCs w:val="24"/>
    </w:rPr>
  </w:style>
  <w:style w:type="paragraph" w:customStyle="1" w:styleId="57">
    <w:name w:val="p"/>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rPr>
  </w:style>
  <w:style w:type="character" w:customStyle="1" w:styleId="58">
    <w:name w:val="15"/>
    <w:basedOn w:val="23"/>
    <w:autoRedefine/>
    <w:qFormat/>
    <w:uiPriority w:val="0"/>
  </w:style>
  <w:style w:type="character" w:customStyle="1" w:styleId="59">
    <w:name w:val="text_tcumt"/>
    <w:basedOn w:val="23"/>
    <w:autoRedefine/>
    <w:qFormat/>
    <w:uiPriority w:val="0"/>
  </w:style>
  <w:style w:type="character" w:customStyle="1" w:styleId="60">
    <w:name w:val="正文文本 2 字符"/>
    <w:basedOn w:val="23"/>
    <w:link w:val="19"/>
    <w:autoRedefine/>
    <w:qFormat/>
    <w:uiPriority w:val="0"/>
    <w:rPr>
      <w:rFonts w:ascii="Calibri" w:hAnsi="Calibri" w:eastAsia="新宋体"/>
      <w:kern w:val="2"/>
      <w:sz w:val="28"/>
      <w:szCs w:val="24"/>
    </w:rPr>
  </w:style>
  <w:style w:type="character" w:customStyle="1" w:styleId="61">
    <w:name w:val="filter-default-option__container-name"/>
    <w:basedOn w:val="23"/>
    <w:autoRedefine/>
    <w:qFormat/>
    <w:uiPriority w:val="0"/>
  </w:style>
  <w:style w:type="character" w:customStyle="1" w:styleId="62">
    <w:name w:val="wx_search_keyword_wrap"/>
    <w:basedOn w:val="23"/>
    <w:autoRedefine/>
    <w:qFormat/>
    <w:uiPriority w:val="0"/>
  </w:style>
  <w:style w:type="character" w:customStyle="1" w:styleId="63">
    <w:name w:val="text_oteqz"/>
    <w:basedOn w:val="23"/>
    <w:autoRedefine/>
    <w:qFormat/>
    <w:uiPriority w:val="0"/>
  </w:style>
  <w:style w:type="character" w:customStyle="1" w:styleId="64">
    <w:name w:val="ref_content_circle"/>
    <w:basedOn w:val="23"/>
    <w:autoRedefine/>
    <w:qFormat/>
    <w:uiPriority w:val="0"/>
  </w:style>
  <w:style w:type="character" w:customStyle="1" w:styleId="65">
    <w:name w:val="lb"/>
    <w:basedOn w:val="2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580E9-3053-4EB4-A6AA-B7539077F82F}">
  <ds:schemaRefs/>
</ds:datastoreItem>
</file>

<file path=docProps/app.xml><?xml version="1.0" encoding="utf-8"?>
<Properties xmlns="http://schemas.openxmlformats.org/officeDocument/2006/extended-properties" xmlns:vt="http://schemas.openxmlformats.org/officeDocument/2006/docPropsVTypes">
  <Template>Normal</Template>
  <Pages>91</Pages>
  <Words>10120</Words>
  <Characters>57684</Characters>
  <Lines>480</Lines>
  <Paragraphs>135</Paragraphs>
  <TotalTime>0</TotalTime>
  <ScaleCrop>false</ScaleCrop>
  <LinksUpToDate>false</LinksUpToDate>
  <CharactersWithSpaces>67669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2021-12-14T02:38:00Z</dcterms:created>
  <dc:creator>20210414-pc</dc:creator>
  <cp:lastModifiedBy>娄冰玉</cp:lastModifiedBy>
  <dcterms:modified xsi:type="dcterms:W3CDTF">2025-07-21T07:57:13Z</dcterms:modified>
  <cp:revision>32767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2EFE2BA009D44CB4B618B50A80E2C498</vt:lpwstr>
  </property>
  <property fmtid="{D5CDD505-2E9C-101B-9397-08002B2CF9AE}" pid="4" name="commondata">
    <vt:lpwstr>eyJoZGlkIjoiMzljZjYxM2Y0ODM0OGY2NTE2NTQ2OTUwOWU4YTc1YzAifQ==</vt:lpwstr>
  </property>
</Properties>
</file>