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0" w:firstLineChars="0"/>
        <w:jc w:val="center"/>
        <w:rPr>
          <w:rFonts w:ascii="黑体" w:hAnsi="黑体" w:eastAsia="黑体" w:cs="黑体"/>
          <w:b/>
          <w:bCs/>
          <w:sz w:val="44"/>
          <w:szCs w:val="44"/>
        </w:rPr>
      </w:pPr>
      <w:r>
        <w:rPr>
          <w:rFonts w:hint="eastAsia" w:ascii="黑体" w:hAnsi="黑体" w:eastAsia="黑体" w:cs="黑体"/>
          <w:b/>
          <w:bCs/>
          <w:sz w:val="44"/>
          <w:szCs w:val="44"/>
        </w:rPr>
        <w:t>聊城市石油化工产业海外知识产权风险预警</w:t>
      </w: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left="0" w:leftChars="0" w:firstLine="0" w:firstLineChars="0"/>
        <w:jc w:val="center"/>
        <w:rPr>
          <w:rFonts w:hint="eastAsia" w:asciiTheme="minorEastAsia" w:hAnsiTheme="minorEastAsia" w:eastAsiaTheme="minorEastAsia"/>
          <w:lang w:eastAsia="zh-CN"/>
        </w:rPr>
      </w:pPr>
      <w:r>
        <w:rPr>
          <w:rFonts w:hint="eastAsia" w:ascii="黑体" w:hAnsi="黑体" w:eastAsia="黑体" w:cs="黑体"/>
          <w:kern w:val="21"/>
          <w:lang w:eastAsia="zh-CN"/>
        </w:rPr>
        <w:t>聊城市知识产权事业发展中心</w:t>
      </w:r>
    </w:p>
    <w:p>
      <w:pPr>
        <w:ind w:firstLine="0" w:firstLineChars="0"/>
        <w:jc w:val="center"/>
        <w:rPr>
          <w:rFonts w:ascii="黑体" w:hAnsi="黑体" w:eastAsia="黑体" w:cs="黑体"/>
          <w:kern w:val="21"/>
        </w:rPr>
      </w:pPr>
      <w:bookmarkStart w:id="106" w:name="_GoBack"/>
      <w:bookmarkEnd w:id="106"/>
      <w:r>
        <w:rPr>
          <w:rFonts w:hint="eastAsia" w:ascii="黑体" w:hAnsi="黑体" w:eastAsia="黑体" w:cs="黑体"/>
          <w:kern w:val="21"/>
        </w:rPr>
        <w:t>莘县企业家协会</w:t>
      </w:r>
    </w:p>
    <w:p>
      <w:pPr>
        <w:ind w:firstLine="0" w:firstLineChars="0"/>
        <w:jc w:val="center"/>
        <w:rPr>
          <w:rFonts w:ascii="黑体" w:hAnsi="黑体" w:eastAsia="黑体" w:cs="黑体"/>
          <w:kern w:val="21"/>
        </w:rPr>
      </w:pPr>
      <w:r>
        <w:rPr>
          <w:rFonts w:hint="eastAsia" w:ascii="黑体" w:hAnsi="黑体" w:eastAsia="黑体" w:cs="黑体"/>
          <w:kern w:val="21"/>
        </w:rPr>
        <w:t>202</w:t>
      </w:r>
      <w:r>
        <w:rPr>
          <w:rFonts w:ascii="黑体" w:hAnsi="黑体" w:eastAsia="黑体" w:cs="黑体"/>
          <w:kern w:val="21"/>
        </w:rPr>
        <w:t>5</w:t>
      </w:r>
      <w:r>
        <w:rPr>
          <w:rFonts w:hint="eastAsia" w:ascii="黑体" w:hAnsi="黑体" w:eastAsia="黑体" w:cs="黑体"/>
          <w:kern w:val="21"/>
        </w:rPr>
        <w:t>年</w:t>
      </w:r>
      <w:r>
        <w:rPr>
          <w:rFonts w:ascii="黑体" w:hAnsi="黑体" w:eastAsia="黑体" w:cs="黑体"/>
          <w:kern w:val="21"/>
        </w:rPr>
        <w:t>7</w:t>
      </w:r>
      <w:r>
        <w:rPr>
          <w:rFonts w:hint="eastAsia" w:ascii="黑体" w:hAnsi="黑体" w:eastAsia="黑体" w:cs="黑体"/>
          <w:kern w:val="21"/>
        </w:rPr>
        <w:t>月</w:t>
      </w:r>
    </w:p>
    <w:p>
      <w:pPr>
        <w:ind w:firstLine="0" w:firstLineChars="0"/>
        <w:rPr>
          <w:rFonts w:cs="Times New Roman"/>
          <w:kern w:val="21"/>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sdt>
      <w:sdtPr>
        <w:rPr>
          <w:rFonts w:hint="eastAsia" w:ascii="黑体" w:hAnsi="黑体" w:eastAsia="黑体" w:cs="黑体"/>
          <w:sz w:val="30"/>
          <w:szCs w:val="30"/>
        </w:rPr>
        <w:id w:val="147455780"/>
        <w15:color w:val="DBDBDB"/>
        <w:docPartObj>
          <w:docPartGallery w:val="Table of Contents"/>
          <w:docPartUnique/>
        </w:docPartObj>
      </w:sdtPr>
      <w:sdtEndPr>
        <w:rPr>
          <w:rFonts w:hint="eastAsia" w:ascii="黑体" w:hAnsi="黑体" w:eastAsia="黑体" w:cs="黑体"/>
          <w:sz w:val="30"/>
          <w:szCs w:val="30"/>
        </w:rPr>
      </w:sdtEndPr>
      <w:sdtContent>
        <w:p>
          <w:pPr>
            <w:ind w:firstLine="0" w:firstLineChars="0"/>
            <w:jc w:val="center"/>
            <w:rPr>
              <w:rFonts w:cs="黑体" w:asciiTheme="minorEastAsia" w:hAnsiTheme="minorEastAsia" w:eastAsiaTheme="minorEastAsia"/>
              <w:b/>
              <w:bCs/>
              <w:sz w:val="32"/>
              <w:szCs w:val="32"/>
            </w:rPr>
          </w:pPr>
          <w:r>
            <w:rPr>
              <w:rFonts w:hint="eastAsia" w:cs="黑体" w:asciiTheme="minorEastAsia" w:hAnsiTheme="minorEastAsia" w:eastAsiaTheme="minorEastAsia"/>
              <w:b/>
              <w:bCs/>
              <w:sz w:val="32"/>
              <w:szCs w:val="32"/>
            </w:rPr>
            <w:t>目录</w:t>
          </w:r>
        </w:p>
        <w:p>
          <w:pPr>
            <w:pStyle w:val="15"/>
            <w:tabs>
              <w:tab w:val="right" w:leader="dot" w:pos="8296"/>
            </w:tabs>
            <w:ind w:firstLine="480"/>
            <w:rPr>
              <w:rFonts w:asciiTheme="majorEastAsia" w:hAnsiTheme="majorEastAsia" w:eastAsiaTheme="majorEastAsia"/>
            </w:rPr>
          </w:pPr>
          <w:r>
            <w:rPr>
              <w:rFonts w:hint="eastAsia" w:cs="黑体" w:asciiTheme="majorEastAsia" w:hAnsiTheme="majorEastAsia" w:eastAsiaTheme="majorEastAsia"/>
            </w:rPr>
            <w:fldChar w:fldCharType="begin"/>
          </w:r>
          <w:r>
            <w:rPr>
              <w:rFonts w:hint="eastAsia" w:cs="黑体" w:asciiTheme="majorEastAsia" w:hAnsiTheme="majorEastAsia" w:eastAsiaTheme="majorEastAsia"/>
            </w:rPr>
            <w:instrText xml:space="preserve">TOC \o "1-3" \h \u </w:instrText>
          </w:r>
          <w:r>
            <w:rPr>
              <w:rFonts w:hint="eastAsia" w:cs="黑体" w:asciiTheme="majorEastAsia" w:hAnsiTheme="majorEastAsia" w:eastAsiaTheme="majorEastAsia"/>
            </w:rPr>
            <w:fldChar w:fldCharType="separate"/>
          </w:r>
          <w:r>
            <w:fldChar w:fldCharType="begin"/>
          </w:r>
          <w:r>
            <w:instrText xml:space="preserve"> HYPERLINK \l "_Toc203057544" </w:instrText>
          </w:r>
          <w:r>
            <w:fldChar w:fldCharType="separate"/>
          </w:r>
          <w:r>
            <w:rPr>
              <w:rStyle w:val="25"/>
              <w:rFonts w:asciiTheme="majorEastAsia" w:hAnsiTheme="majorEastAsia" w:eastAsiaTheme="majorEastAsia"/>
            </w:rPr>
            <w:t>引言</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_Toc203057544 \h </w:instrText>
          </w:r>
          <w:r>
            <w:rPr>
              <w:rFonts w:asciiTheme="majorEastAsia" w:hAnsiTheme="majorEastAsia" w:eastAsiaTheme="majorEastAsia"/>
            </w:rPr>
            <w:fldChar w:fldCharType="separate"/>
          </w:r>
          <w:r>
            <w:rPr>
              <w:rFonts w:asciiTheme="majorEastAsia" w:hAnsiTheme="majorEastAsia" w:eastAsiaTheme="majorEastAsia"/>
            </w:rPr>
            <w:t>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rPr>
          </w:pPr>
          <w:r>
            <w:fldChar w:fldCharType="begin"/>
          </w:r>
          <w:r>
            <w:instrText xml:space="preserve"> HYPERLINK \l "_Toc203057545" </w:instrText>
          </w:r>
          <w:r>
            <w:fldChar w:fldCharType="separate"/>
          </w:r>
          <w:r>
            <w:rPr>
              <w:rStyle w:val="25"/>
              <w:rFonts w:asciiTheme="majorEastAsia" w:hAnsiTheme="majorEastAsia" w:eastAsiaTheme="majorEastAsia"/>
            </w:rPr>
            <w:t>摘要</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_Toc203057545 \h </w:instrText>
          </w:r>
          <w:r>
            <w:rPr>
              <w:rFonts w:asciiTheme="majorEastAsia" w:hAnsiTheme="majorEastAsia" w:eastAsiaTheme="majorEastAsia"/>
            </w:rPr>
            <w:fldChar w:fldCharType="separate"/>
          </w:r>
          <w:r>
            <w:rPr>
              <w:rFonts w:asciiTheme="majorEastAsia" w:hAnsiTheme="majorEastAsia" w:eastAsiaTheme="majorEastAsia"/>
            </w:rPr>
            <w:t>2</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rPr>
          </w:pPr>
          <w:r>
            <w:fldChar w:fldCharType="begin"/>
          </w:r>
          <w:r>
            <w:instrText xml:space="preserve"> HYPERLINK \l "_Toc203057546" </w:instrText>
          </w:r>
          <w:r>
            <w:fldChar w:fldCharType="separate"/>
          </w:r>
          <w:r>
            <w:rPr>
              <w:rStyle w:val="25"/>
              <w:rFonts w:asciiTheme="majorEastAsia" w:hAnsiTheme="majorEastAsia" w:eastAsiaTheme="majorEastAsia"/>
            </w:rPr>
            <w:t>第一章 产业及重点企业情况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_Toc203057546 \h </w:instrText>
          </w:r>
          <w:r>
            <w:rPr>
              <w:rFonts w:asciiTheme="majorEastAsia" w:hAnsiTheme="majorEastAsia" w:eastAsiaTheme="majorEastAsia"/>
            </w:rPr>
            <w:fldChar w:fldCharType="separate"/>
          </w:r>
          <w:r>
            <w:rPr>
              <w:rFonts w:asciiTheme="majorEastAsia" w:hAnsiTheme="majorEastAsia" w:eastAsiaTheme="majorEastAsia"/>
            </w:rPr>
            <w:t>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"_Toc203057547" </w:instrText>
          </w:r>
          <w:r>
            <w:fldChar w:fldCharType="separate"/>
          </w:r>
          <w:r>
            <w:rPr>
              <w:rStyle w:val="25"/>
              <w:rFonts w:asciiTheme="majorEastAsia" w:hAnsiTheme="majorEastAsia" w:eastAsiaTheme="majorEastAsia"/>
            </w:rPr>
            <w:t>1.1 石油化工产业分析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_Toc203057547 \h </w:instrText>
          </w:r>
          <w:r>
            <w:rPr>
              <w:rFonts w:asciiTheme="majorEastAsia" w:hAnsiTheme="majorEastAsia" w:eastAsiaTheme="majorEastAsia"/>
            </w:rPr>
            <w:fldChar w:fldCharType="separate"/>
          </w:r>
          <w:r>
            <w:rPr>
              <w:rFonts w:asciiTheme="majorEastAsia" w:hAnsiTheme="majorEastAsia" w:eastAsiaTheme="majorEastAsia"/>
            </w:rPr>
            <w:t>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"_Toc203057548" </w:instrText>
          </w:r>
          <w:r>
            <w:fldChar w:fldCharType="separate"/>
          </w:r>
          <w:r>
            <w:rPr>
              <w:rStyle w:val="25"/>
              <w:rFonts w:cs="Helvetica" w:asciiTheme="majorEastAsia" w:hAnsiTheme="majorEastAsia" w:eastAsiaTheme="majorEastAsia"/>
              <w:kern w:val="0"/>
            </w:rPr>
            <w:t>1.1.1 全球石油化工产业发展概况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_Toc203057548 \h </w:instrText>
          </w:r>
          <w:r>
            <w:rPr>
              <w:rFonts w:asciiTheme="majorEastAsia" w:hAnsiTheme="majorEastAsia" w:eastAsiaTheme="majorEastAsia"/>
            </w:rPr>
            <w:fldChar w:fldCharType="separate"/>
          </w:r>
          <w:r>
            <w:rPr>
              <w:rFonts w:asciiTheme="majorEastAsia" w:hAnsiTheme="majorEastAsia" w:eastAsiaTheme="majorEastAsia"/>
            </w:rPr>
            <w:t>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"_Toc203057549" </w:instrText>
          </w:r>
          <w:r>
            <w:fldChar w:fldCharType="separate"/>
          </w:r>
          <w:r>
            <w:rPr>
              <w:rStyle w:val="25"/>
              <w:rFonts w:cs="Helvetica" w:asciiTheme="majorEastAsia" w:hAnsiTheme="majorEastAsia" w:eastAsiaTheme="majorEastAsia"/>
              <w:kern w:val="0"/>
            </w:rPr>
            <w:t>1.1.2 中国石油化工产业发展概况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_Toc203057549 \h </w:instrText>
          </w:r>
          <w:r>
            <w:rPr>
              <w:rFonts w:asciiTheme="majorEastAsia" w:hAnsiTheme="majorEastAsia" w:eastAsiaTheme="majorEastAsia"/>
            </w:rPr>
            <w:fldChar w:fldCharType="separate"/>
          </w:r>
          <w:r>
            <w:rPr>
              <w:rFonts w:asciiTheme="majorEastAsia" w:hAnsiTheme="majorEastAsia" w:eastAsiaTheme="majorEastAsia"/>
            </w:rPr>
            <w:t>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"_Toc203057550" </w:instrText>
          </w:r>
          <w:r>
            <w:fldChar w:fldCharType="separate"/>
          </w:r>
          <w:r>
            <w:rPr>
              <w:rStyle w:val="25"/>
              <w:rFonts w:asciiTheme="majorEastAsia" w:hAnsiTheme="majorEastAsia" w:eastAsiaTheme="majorEastAsia"/>
            </w:rPr>
            <w:t>1.2 聊城市石油化工产业分析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_Toc203057550 \h </w:instrText>
          </w:r>
          <w:r>
            <w:rPr>
              <w:rFonts w:asciiTheme="majorEastAsia" w:hAnsiTheme="majorEastAsia" w:eastAsiaTheme="majorEastAsia"/>
            </w:rPr>
            <w:fldChar w:fldCharType="separate"/>
          </w:r>
          <w:r>
            <w:rPr>
              <w:rFonts w:asciiTheme="majorEastAsia" w:hAnsiTheme="majorEastAsia" w:eastAsiaTheme="majorEastAsia"/>
            </w:rPr>
            <w:t>6</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"_Toc203057551" </w:instrText>
          </w:r>
          <w:r>
            <w:fldChar w:fldCharType="separate"/>
          </w:r>
          <w:r>
            <w:rPr>
              <w:rStyle w:val="25"/>
              <w:rFonts w:cs="Helvetica" w:asciiTheme="majorEastAsia" w:hAnsiTheme="majorEastAsia" w:eastAsiaTheme="majorEastAsia"/>
              <w:kern w:val="0"/>
            </w:rPr>
            <w:t>1.2.1 产业发展概况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_Toc203057551 \h </w:instrText>
          </w:r>
          <w:r>
            <w:rPr>
              <w:rFonts w:asciiTheme="majorEastAsia" w:hAnsiTheme="majorEastAsia" w:eastAsiaTheme="majorEastAsia"/>
            </w:rPr>
            <w:fldChar w:fldCharType="separate"/>
          </w:r>
          <w:r>
            <w:rPr>
              <w:rFonts w:asciiTheme="majorEastAsia" w:hAnsiTheme="majorEastAsia" w:eastAsiaTheme="majorEastAsia"/>
            </w:rPr>
            <w:t>6</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"_Toc203057552" </w:instrText>
          </w:r>
          <w:r>
            <w:fldChar w:fldCharType="separate"/>
          </w:r>
          <w:r>
            <w:rPr>
              <w:rStyle w:val="25"/>
              <w:rFonts w:cs="Helvetica" w:asciiTheme="majorEastAsia" w:hAnsiTheme="majorEastAsia" w:eastAsiaTheme="majorEastAsia"/>
              <w:kern w:val="0"/>
            </w:rPr>
            <w:t>1.2.2 重点企业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_Toc203057552 \h </w:instrText>
          </w:r>
          <w:r>
            <w:rPr>
              <w:rFonts w:asciiTheme="majorEastAsia" w:hAnsiTheme="majorEastAsia" w:eastAsiaTheme="majorEastAsia"/>
            </w:rPr>
            <w:fldChar w:fldCharType="separate"/>
          </w:r>
          <w:r>
            <w:rPr>
              <w:rFonts w:asciiTheme="majorEastAsia" w:hAnsiTheme="majorEastAsia" w:eastAsiaTheme="majorEastAsia"/>
            </w:rPr>
            <w:t>10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rPr>
          </w:pPr>
          <w:r>
            <w:fldChar w:fldCharType="begin"/>
          </w:r>
          <w:r>
            <w:instrText xml:space="preserve"> HYPERLINK \l "_Toc203057553" </w:instrText>
          </w:r>
          <w:r>
            <w:fldChar w:fldCharType="separate"/>
          </w:r>
          <w:r>
            <w:rPr>
              <w:rStyle w:val="25"/>
              <w:rFonts w:asciiTheme="majorEastAsia" w:hAnsiTheme="majorEastAsia" w:eastAsiaTheme="majorEastAsia"/>
            </w:rPr>
            <w:t>第二章 专利检索、产业专利竞争态势及风险识别</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_Toc203057553 \h </w:instrText>
          </w:r>
          <w:r>
            <w:rPr>
              <w:rFonts w:asciiTheme="majorEastAsia" w:hAnsiTheme="majorEastAsia" w:eastAsiaTheme="majorEastAsia"/>
            </w:rPr>
            <w:fldChar w:fldCharType="separate"/>
          </w:r>
          <w:r>
            <w:rPr>
              <w:rFonts w:asciiTheme="majorEastAsia" w:hAnsiTheme="majorEastAsia" w:eastAsiaTheme="majorEastAsia"/>
            </w:rPr>
            <w:t>19</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"_Toc203057554" </w:instrText>
          </w:r>
          <w:r>
            <w:fldChar w:fldCharType="separate"/>
          </w:r>
          <w:r>
            <w:rPr>
              <w:rStyle w:val="25"/>
              <w:rFonts w:asciiTheme="majorEastAsia" w:hAnsiTheme="majorEastAsia" w:eastAsiaTheme="majorEastAsia"/>
            </w:rPr>
            <w:t>2.1 技术分解及专利检索</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_Toc203057554 \h </w:instrText>
          </w:r>
          <w:r>
            <w:rPr>
              <w:rFonts w:asciiTheme="majorEastAsia" w:hAnsiTheme="majorEastAsia" w:eastAsiaTheme="majorEastAsia"/>
            </w:rPr>
            <w:fldChar w:fldCharType="separate"/>
          </w:r>
          <w:r>
            <w:rPr>
              <w:rFonts w:asciiTheme="majorEastAsia" w:hAnsiTheme="majorEastAsia" w:eastAsiaTheme="majorEastAsia"/>
            </w:rPr>
            <w:t>19</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"_Toc203057555" </w:instrText>
          </w:r>
          <w:r>
            <w:fldChar w:fldCharType="separate"/>
          </w:r>
          <w:r>
            <w:rPr>
              <w:rStyle w:val="25"/>
              <w:rFonts w:asciiTheme="majorEastAsia" w:hAnsiTheme="majorEastAsia" w:eastAsiaTheme="majorEastAsia"/>
            </w:rPr>
            <w:t>2.2 聊城市石油化工产业知识产权保护现状</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_Toc203057555 \h </w:instrText>
          </w:r>
          <w:r>
            <w:rPr>
              <w:rFonts w:asciiTheme="majorEastAsia" w:hAnsiTheme="majorEastAsia" w:eastAsiaTheme="majorEastAsia"/>
            </w:rPr>
            <w:fldChar w:fldCharType="separate"/>
          </w:r>
          <w:r>
            <w:rPr>
              <w:rFonts w:asciiTheme="majorEastAsia" w:hAnsiTheme="majorEastAsia" w:eastAsiaTheme="majorEastAsia"/>
            </w:rPr>
            <w:t>23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"_Toc203057556" </w:instrText>
          </w:r>
          <w:r>
            <w:fldChar w:fldCharType="separate"/>
          </w:r>
          <w:r>
            <w:rPr>
              <w:rStyle w:val="25"/>
              <w:rFonts w:asciiTheme="majorEastAsia" w:hAnsiTheme="majorEastAsia" w:eastAsiaTheme="majorEastAsia"/>
            </w:rPr>
            <w:t>2.3 产业重点布局区域知识产权竞争态势</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_Toc203057556 \h </w:instrText>
          </w:r>
          <w:r>
            <w:rPr>
              <w:rFonts w:asciiTheme="majorEastAsia" w:hAnsiTheme="majorEastAsia" w:eastAsiaTheme="majorEastAsia"/>
            </w:rPr>
            <w:fldChar w:fldCharType="separate"/>
          </w:r>
          <w:r>
            <w:rPr>
              <w:rFonts w:asciiTheme="majorEastAsia" w:hAnsiTheme="majorEastAsia" w:eastAsiaTheme="majorEastAsia"/>
            </w:rPr>
            <w:t>25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"_Toc203057557" </w:instrText>
          </w:r>
          <w:r>
            <w:fldChar w:fldCharType="separate"/>
          </w:r>
          <w:r>
            <w:rPr>
              <w:rStyle w:val="25"/>
              <w:rFonts w:cs="Helvetica" w:asciiTheme="majorEastAsia" w:hAnsiTheme="majorEastAsia" w:eastAsiaTheme="majorEastAsia"/>
              <w:kern w:val="0"/>
            </w:rPr>
            <w:t>2.3.1 日本</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_Toc203057557 \h </w:instrText>
          </w:r>
          <w:r>
            <w:rPr>
              <w:rFonts w:asciiTheme="majorEastAsia" w:hAnsiTheme="majorEastAsia" w:eastAsiaTheme="majorEastAsia"/>
            </w:rPr>
            <w:fldChar w:fldCharType="separate"/>
          </w:r>
          <w:r>
            <w:rPr>
              <w:rFonts w:asciiTheme="majorEastAsia" w:hAnsiTheme="majorEastAsia" w:eastAsiaTheme="majorEastAsia"/>
            </w:rPr>
            <w:t>25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"_Toc203057558" </w:instrText>
          </w:r>
          <w:r>
            <w:fldChar w:fldCharType="separate"/>
          </w:r>
          <w:r>
            <w:rPr>
              <w:rStyle w:val="25"/>
              <w:rFonts w:cs="Helvetica" w:asciiTheme="majorEastAsia" w:hAnsiTheme="majorEastAsia" w:eastAsiaTheme="majorEastAsia"/>
              <w:kern w:val="0"/>
            </w:rPr>
            <w:t>2.3.2 美国</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_Toc203057558 \h </w:instrText>
          </w:r>
          <w:r>
            <w:rPr>
              <w:rFonts w:asciiTheme="majorEastAsia" w:hAnsiTheme="majorEastAsia" w:eastAsiaTheme="majorEastAsia"/>
            </w:rPr>
            <w:fldChar w:fldCharType="separate"/>
          </w:r>
          <w:r>
            <w:rPr>
              <w:rFonts w:asciiTheme="majorEastAsia" w:hAnsiTheme="majorEastAsia" w:eastAsiaTheme="majorEastAsia"/>
            </w:rPr>
            <w:t>27</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"_Toc203057559" </w:instrText>
          </w:r>
          <w:r>
            <w:fldChar w:fldCharType="separate"/>
          </w:r>
          <w:r>
            <w:rPr>
              <w:rStyle w:val="25"/>
              <w:rFonts w:cs="Helvetica" w:asciiTheme="majorEastAsia" w:hAnsiTheme="majorEastAsia" w:eastAsiaTheme="majorEastAsia"/>
              <w:kern w:val="0"/>
            </w:rPr>
            <w:t>2.3.3 韩国</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_Toc203057559 \h </w:instrText>
          </w:r>
          <w:r>
            <w:rPr>
              <w:rFonts w:asciiTheme="majorEastAsia" w:hAnsiTheme="majorEastAsia" w:eastAsiaTheme="majorEastAsia"/>
            </w:rPr>
            <w:fldChar w:fldCharType="separate"/>
          </w:r>
          <w:r>
            <w:rPr>
              <w:rFonts w:asciiTheme="majorEastAsia" w:hAnsiTheme="majorEastAsia" w:eastAsiaTheme="majorEastAsia"/>
            </w:rPr>
            <w:t>29</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"_Toc203057560" </w:instrText>
          </w:r>
          <w:r>
            <w:fldChar w:fldCharType="separate"/>
          </w:r>
          <w:r>
            <w:rPr>
              <w:rStyle w:val="25"/>
              <w:rFonts w:cs="Helvetica" w:asciiTheme="majorEastAsia" w:hAnsiTheme="majorEastAsia" w:eastAsiaTheme="majorEastAsia"/>
              <w:kern w:val="0"/>
            </w:rPr>
            <w:t>2.3.4 德国</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_Toc203057560 \h </w:instrText>
          </w:r>
          <w:r>
            <w:rPr>
              <w:rFonts w:asciiTheme="majorEastAsia" w:hAnsiTheme="majorEastAsia" w:eastAsiaTheme="majorEastAsia"/>
            </w:rPr>
            <w:fldChar w:fldCharType="separate"/>
          </w:r>
          <w:r>
            <w:rPr>
              <w:rFonts w:asciiTheme="majorEastAsia" w:hAnsiTheme="majorEastAsia" w:eastAsiaTheme="majorEastAsia"/>
            </w:rPr>
            <w:t>30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"_Toc203057561" </w:instrText>
          </w:r>
          <w:r>
            <w:fldChar w:fldCharType="separate"/>
          </w:r>
          <w:r>
            <w:rPr>
              <w:rStyle w:val="25"/>
              <w:rFonts w:asciiTheme="majorEastAsia" w:hAnsiTheme="majorEastAsia" w:eastAsiaTheme="majorEastAsia"/>
            </w:rPr>
            <w:t>2.4 重点企业知识产权竞争态势</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_Toc203057561 \h </w:instrText>
          </w:r>
          <w:r>
            <w:rPr>
              <w:rFonts w:asciiTheme="majorEastAsia" w:hAnsiTheme="majorEastAsia" w:eastAsiaTheme="majorEastAsia"/>
            </w:rPr>
            <w:fldChar w:fldCharType="separate"/>
          </w:r>
          <w:r>
            <w:rPr>
              <w:rFonts w:asciiTheme="majorEastAsia" w:hAnsiTheme="majorEastAsia" w:eastAsiaTheme="majorEastAsia"/>
            </w:rPr>
            <w:t>32</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"_Toc203057562" </w:instrText>
          </w:r>
          <w:r>
            <w:fldChar w:fldCharType="separate"/>
          </w:r>
          <w:r>
            <w:rPr>
              <w:rStyle w:val="25"/>
              <w:rFonts w:asciiTheme="majorEastAsia" w:hAnsiTheme="majorEastAsia" w:eastAsiaTheme="majorEastAsia"/>
            </w:rPr>
            <w:t>2.5 风险区域识别</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_Toc203057562 \h </w:instrText>
          </w:r>
          <w:r>
            <w:rPr>
              <w:rFonts w:asciiTheme="majorEastAsia" w:hAnsiTheme="majorEastAsia" w:eastAsiaTheme="majorEastAsia"/>
            </w:rPr>
            <w:fldChar w:fldCharType="separate"/>
          </w:r>
          <w:r>
            <w:rPr>
              <w:rFonts w:asciiTheme="majorEastAsia" w:hAnsiTheme="majorEastAsia" w:eastAsiaTheme="majorEastAsia"/>
            </w:rPr>
            <w:t>36</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"_Toc203057563" </w:instrText>
          </w:r>
          <w:r>
            <w:fldChar w:fldCharType="separate"/>
          </w:r>
          <w:r>
            <w:rPr>
              <w:rStyle w:val="25"/>
              <w:rFonts w:asciiTheme="majorEastAsia" w:hAnsiTheme="majorEastAsia" w:eastAsiaTheme="majorEastAsia"/>
            </w:rPr>
            <w:t>2.6 风险企业识别</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_Toc203057563 \h </w:instrText>
          </w:r>
          <w:r>
            <w:rPr>
              <w:rFonts w:asciiTheme="majorEastAsia" w:hAnsiTheme="majorEastAsia" w:eastAsiaTheme="majorEastAsia"/>
            </w:rPr>
            <w:fldChar w:fldCharType="separate"/>
          </w:r>
          <w:r>
            <w:rPr>
              <w:rFonts w:asciiTheme="majorEastAsia" w:hAnsiTheme="majorEastAsia" w:eastAsiaTheme="majorEastAsia"/>
            </w:rPr>
            <w:t>37</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"_Toc203057564" </w:instrText>
          </w:r>
          <w:r>
            <w:fldChar w:fldCharType="separate"/>
          </w:r>
          <w:r>
            <w:rPr>
              <w:rStyle w:val="25"/>
              <w:rFonts w:asciiTheme="majorEastAsia" w:hAnsiTheme="majorEastAsia" w:eastAsiaTheme="majorEastAsia"/>
            </w:rPr>
            <w:t>2.7 风险技术方向识别</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_Toc203057564 \h </w:instrText>
          </w:r>
          <w:r>
            <w:rPr>
              <w:rFonts w:asciiTheme="majorEastAsia" w:hAnsiTheme="majorEastAsia" w:eastAsiaTheme="majorEastAsia"/>
            </w:rPr>
            <w:fldChar w:fldCharType="separate"/>
          </w:r>
          <w:r>
            <w:rPr>
              <w:rFonts w:asciiTheme="majorEastAsia" w:hAnsiTheme="majorEastAsia" w:eastAsiaTheme="majorEastAsia"/>
            </w:rPr>
            <w:t>38</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rPr>
          </w:pPr>
          <w:r>
            <w:fldChar w:fldCharType="begin"/>
          </w:r>
          <w:r>
            <w:instrText xml:space="preserve"> HYPERLINK \l "_Toc203057565" </w:instrText>
          </w:r>
          <w:r>
            <w:fldChar w:fldCharType="separate"/>
          </w:r>
          <w:r>
            <w:rPr>
              <w:rStyle w:val="25"/>
              <w:rFonts w:asciiTheme="majorEastAsia" w:hAnsiTheme="majorEastAsia" w:eastAsiaTheme="majorEastAsia"/>
            </w:rPr>
            <w:t>第三章 产业知识产权司法实践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_Toc203057565 \h </w:instrText>
          </w:r>
          <w:r>
            <w:rPr>
              <w:rFonts w:asciiTheme="majorEastAsia" w:hAnsiTheme="majorEastAsia" w:eastAsiaTheme="majorEastAsia"/>
            </w:rPr>
            <w:fldChar w:fldCharType="separate"/>
          </w:r>
          <w:r>
            <w:rPr>
              <w:rFonts w:asciiTheme="majorEastAsia" w:hAnsiTheme="majorEastAsia" w:eastAsiaTheme="majorEastAsia"/>
            </w:rPr>
            <w:t>40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"_Toc203057566" </w:instrText>
          </w:r>
          <w:r>
            <w:fldChar w:fldCharType="separate"/>
          </w:r>
          <w:r>
            <w:rPr>
              <w:rStyle w:val="25"/>
              <w:rFonts w:asciiTheme="majorEastAsia" w:hAnsiTheme="majorEastAsia" w:eastAsiaTheme="majorEastAsia"/>
            </w:rPr>
            <w:t>3.1 商标</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_Toc203057566 \h </w:instrText>
          </w:r>
          <w:r>
            <w:rPr>
              <w:rFonts w:asciiTheme="majorEastAsia" w:hAnsiTheme="majorEastAsia" w:eastAsiaTheme="majorEastAsia"/>
            </w:rPr>
            <w:fldChar w:fldCharType="separate"/>
          </w:r>
          <w:r>
            <w:rPr>
              <w:rFonts w:asciiTheme="majorEastAsia" w:hAnsiTheme="majorEastAsia" w:eastAsiaTheme="majorEastAsia"/>
            </w:rPr>
            <w:t>40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"_Toc203057567" </w:instrText>
          </w:r>
          <w:r>
            <w:fldChar w:fldCharType="separate"/>
          </w:r>
          <w:r>
            <w:rPr>
              <w:rStyle w:val="25"/>
              <w:rFonts w:asciiTheme="majorEastAsia" w:hAnsiTheme="majorEastAsia" w:eastAsiaTheme="majorEastAsia"/>
            </w:rPr>
            <w:t>3.2 不正当竞争</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_Toc203057567 \h </w:instrText>
          </w:r>
          <w:r>
            <w:rPr>
              <w:rFonts w:asciiTheme="majorEastAsia" w:hAnsiTheme="majorEastAsia" w:eastAsiaTheme="majorEastAsia"/>
            </w:rPr>
            <w:fldChar w:fldCharType="separate"/>
          </w:r>
          <w:r>
            <w:rPr>
              <w:rFonts w:asciiTheme="majorEastAsia" w:hAnsiTheme="majorEastAsia" w:eastAsiaTheme="majorEastAsia"/>
            </w:rPr>
            <w:t>43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"_Toc203057568" </w:instrText>
          </w:r>
          <w:r>
            <w:fldChar w:fldCharType="separate"/>
          </w:r>
          <w:r>
            <w:rPr>
              <w:rStyle w:val="25"/>
              <w:rFonts w:asciiTheme="majorEastAsia" w:hAnsiTheme="majorEastAsia" w:eastAsiaTheme="majorEastAsia"/>
            </w:rPr>
            <w:t>3.3 软著</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_Toc203057568 \h </w:instrText>
          </w:r>
          <w:r>
            <w:rPr>
              <w:rFonts w:asciiTheme="majorEastAsia" w:hAnsiTheme="majorEastAsia" w:eastAsiaTheme="majorEastAsia"/>
            </w:rPr>
            <w:fldChar w:fldCharType="separate"/>
          </w:r>
          <w:r>
            <w:rPr>
              <w:rFonts w:asciiTheme="majorEastAsia" w:hAnsiTheme="majorEastAsia" w:eastAsiaTheme="majorEastAsia"/>
            </w:rPr>
            <w:t>45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"_Toc203057569" </w:instrText>
          </w:r>
          <w:r>
            <w:fldChar w:fldCharType="separate"/>
          </w:r>
          <w:r>
            <w:rPr>
              <w:rStyle w:val="25"/>
              <w:rFonts w:asciiTheme="majorEastAsia" w:hAnsiTheme="majorEastAsia" w:eastAsiaTheme="majorEastAsia"/>
            </w:rPr>
            <w:t>3.4 专利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_Toc203057569 \h </w:instrText>
          </w:r>
          <w:r>
            <w:rPr>
              <w:rFonts w:asciiTheme="majorEastAsia" w:hAnsiTheme="majorEastAsia" w:eastAsiaTheme="majorEastAsia"/>
            </w:rPr>
            <w:fldChar w:fldCharType="separate"/>
          </w:r>
          <w:r>
            <w:rPr>
              <w:rFonts w:asciiTheme="majorEastAsia" w:hAnsiTheme="majorEastAsia" w:eastAsiaTheme="majorEastAsia"/>
            </w:rPr>
            <w:t>47</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rPr>
          </w:pPr>
          <w:r>
            <w:fldChar w:fldCharType="begin"/>
          </w:r>
          <w:r>
            <w:instrText xml:space="preserve"> HYPERLINK \l "_Toc203057570" </w:instrText>
          </w:r>
          <w:r>
            <w:fldChar w:fldCharType="separate"/>
          </w:r>
          <w:r>
            <w:rPr>
              <w:rStyle w:val="25"/>
              <w:rFonts w:asciiTheme="majorEastAsia" w:hAnsiTheme="majorEastAsia" w:eastAsiaTheme="majorEastAsia"/>
            </w:rPr>
            <w:t>第四章 重点国家或地区知识产权相关法律法规汇总分析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_Toc203057570 \h </w:instrText>
          </w:r>
          <w:r>
            <w:rPr>
              <w:rFonts w:asciiTheme="majorEastAsia" w:hAnsiTheme="majorEastAsia" w:eastAsiaTheme="majorEastAsia"/>
            </w:rPr>
            <w:fldChar w:fldCharType="separate"/>
          </w:r>
          <w:r>
            <w:rPr>
              <w:rFonts w:asciiTheme="majorEastAsia" w:hAnsiTheme="majorEastAsia" w:eastAsiaTheme="majorEastAsia"/>
            </w:rPr>
            <w:t>49</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"_Toc203057571" </w:instrText>
          </w:r>
          <w:r>
            <w:fldChar w:fldCharType="separate"/>
          </w:r>
          <w:r>
            <w:rPr>
              <w:rStyle w:val="25"/>
              <w:rFonts w:asciiTheme="majorEastAsia" w:hAnsiTheme="majorEastAsia" w:eastAsiaTheme="majorEastAsia"/>
            </w:rPr>
            <w:t>4.1 日本知识产权风险防控分析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_Toc203057571 \h </w:instrText>
          </w:r>
          <w:r>
            <w:rPr>
              <w:rFonts w:asciiTheme="majorEastAsia" w:hAnsiTheme="majorEastAsia" w:eastAsiaTheme="majorEastAsia"/>
            </w:rPr>
            <w:fldChar w:fldCharType="separate"/>
          </w:r>
          <w:r>
            <w:rPr>
              <w:rFonts w:asciiTheme="majorEastAsia" w:hAnsiTheme="majorEastAsia" w:eastAsiaTheme="majorEastAsia"/>
            </w:rPr>
            <w:t>49</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"_Toc203057572" </w:instrText>
          </w:r>
          <w:r>
            <w:fldChar w:fldCharType="separate"/>
          </w:r>
          <w:r>
            <w:rPr>
              <w:rStyle w:val="25"/>
              <w:rFonts w:cs="Helvetica" w:asciiTheme="majorEastAsia" w:hAnsiTheme="majorEastAsia" w:eastAsiaTheme="majorEastAsia"/>
              <w:kern w:val="0"/>
            </w:rPr>
            <w:t>4.1.1 日本专利侵权行为</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_Toc203057572 \h </w:instrText>
          </w:r>
          <w:r>
            <w:rPr>
              <w:rFonts w:asciiTheme="majorEastAsia" w:hAnsiTheme="majorEastAsia" w:eastAsiaTheme="majorEastAsia"/>
            </w:rPr>
            <w:fldChar w:fldCharType="separate"/>
          </w:r>
          <w:r>
            <w:rPr>
              <w:rFonts w:asciiTheme="majorEastAsia" w:hAnsiTheme="majorEastAsia" w:eastAsiaTheme="majorEastAsia"/>
            </w:rPr>
            <w:t>49</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"_Toc203057573" </w:instrText>
          </w:r>
          <w:r>
            <w:fldChar w:fldCharType="separate"/>
          </w:r>
          <w:r>
            <w:rPr>
              <w:rStyle w:val="25"/>
              <w:rFonts w:cs="Helvetica" w:asciiTheme="majorEastAsia" w:hAnsiTheme="majorEastAsia" w:eastAsiaTheme="majorEastAsia"/>
              <w:kern w:val="0"/>
            </w:rPr>
            <w:t>4.1.2 日本专利侵权诉讼的反诉及抗辩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_Toc203057573 \h </w:instrText>
          </w:r>
          <w:r>
            <w:rPr>
              <w:rFonts w:asciiTheme="majorEastAsia" w:hAnsiTheme="majorEastAsia" w:eastAsiaTheme="majorEastAsia"/>
            </w:rPr>
            <w:fldChar w:fldCharType="separate"/>
          </w:r>
          <w:r>
            <w:rPr>
              <w:rFonts w:asciiTheme="majorEastAsia" w:hAnsiTheme="majorEastAsia" w:eastAsiaTheme="majorEastAsia"/>
            </w:rPr>
            <w:t>51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"_Toc203057574" </w:instrText>
          </w:r>
          <w:r>
            <w:fldChar w:fldCharType="separate"/>
          </w:r>
          <w:r>
            <w:rPr>
              <w:rStyle w:val="25"/>
              <w:rFonts w:asciiTheme="majorEastAsia" w:hAnsiTheme="majorEastAsia" w:eastAsiaTheme="majorEastAsia"/>
            </w:rPr>
            <w:t>4.2 美国知识产权风险防控分析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_Toc203057574 \h </w:instrText>
          </w:r>
          <w:r>
            <w:rPr>
              <w:rFonts w:asciiTheme="majorEastAsia" w:hAnsiTheme="majorEastAsia" w:eastAsiaTheme="majorEastAsia"/>
            </w:rPr>
            <w:fldChar w:fldCharType="separate"/>
          </w:r>
          <w:r>
            <w:rPr>
              <w:rFonts w:asciiTheme="majorEastAsia" w:hAnsiTheme="majorEastAsia" w:eastAsiaTheme="majorEastAsia"/>
            </w:rPr>
            <w:t>57</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"_Toc203057575" </w:instrText>
          </w:r>
          <w:r>
            <w:fldChar w:fldCharType="separate"/>
          </w:r>
          <w:r>
            <w:rPr>
              <w:rStyle w:val="25"/>
              <w:rFonts w:cs="Helvetica" w:asciiTheme="majorEastAsia" w:hAnsiTheme="majorEastAsia" w:eastAsiaTheme="majorEastAsia"/>
              <w:kern w:val="0"/>
            </w:rPr>
            <w:t>4.2.1 美国专利侵权行为的认定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_Toc203057575 \h </w:instrText>
          </w:r>
          <w:r>
            <w:rPr>
              <w:rFonts w:asciiTheme="majorEastAsia" w:hAnsiTheme="majorEastAsia" w:eastAsiaTheme="majorEastAsia"/>
            </w:rPr>
            <w:fldChar w:fldCharType="separate"/>
          </w:r>
          <w:r>
            <w:rPr>
              <w:rFonts w:asciiTheme="majorEastAsia" w:hAnsiTheme="majorEastAsia" w:eastAsiaTheme="majorEastAsia"/>
            </w:rPr>
            <w:t>57</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"_Toc203057576" </w:instrText>
          </w:r>
          <w:r>
            <w:fldChar w:fldCharType="separate"/>
          </w:r>
          <w:r>
            <w:rPr>
              <w:rStyle w:val="25"/>
              <w:rFonts w:cs="Helvetica" w:asciiTheme="majorEastAsia" w:hAnsiTheme="majorEastAsia" w:eastAsiaTheme="majorEastAsia"/>
              <w:kern w:val="0"/>
            </w:rPr>
            <w:t>4.2.2 “337调查”及常规应对策略</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_Toc203057576 \h </w:instrText>
          </w:r>
          <w:r>
            <w:rPr>
              <w:rFonts w:asciiTheme="majorEastAsia" w:hAnsiTheme="majorEastAsia" w:eastAsiaTheme="majorEastAsia"/>
            </w:rPr>
            <w:fldChar w:fldCharType="separate"/>
          </w:r>
          <w:r>
            <w:rPr>
              <w:rFonts w:asciiTheme="majorEastAsia" w:hAnsiTheme="majorEastAsia" w:eastAsiaTheme="majorEastAsia"/>
            </w:rPr>
            <w:t>60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"_Toc203057577" </w:instrText>
          </w:r>
          <w:r>
            <w:fldChar w:fldCharType="separate"/>
          </w:r>
          <w:r>
            <w:rPr>
              <w:rStyle w:val="25"/>
              <w:rFonts w:cs="Helvetica" w:asciiTheme="majorEastAsia" w:hAnsiTheme="majorEastAsia" w:eastAsiaTheme="majorEastAsia"/>
              <w:kern w:val="0"/>
            </w:rPr>
            <w:t>4.2.3 美国专利诉讼及常规应对策略</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_Toc203057577 \h </w:instrText>
          </w:r>
          <w:r>
            <w:rPr>
              <w:rFonts w:asciiTheme="majorEastAsia" w:hAnsiTheme="majorEastAsia" w:eastAsiaTheme="majorEastAsia"/>
            </w:rPr>
            <w:fldChar w:fldCharType="separate"/>
          </w:r>
          <w:r>
            <w:rPr>
              <w:rFonts w:asciiTheme="majorEastAsia" w:hAnsiTheme="majorEastAsia" w:eastAsiaTheme="majorEastAsia"/>
            </w:rPr>
            <w:t>63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"_Toc203057578" </w:instrText>
          </w:r>
          <w:r>
            <w:fldChar w:fldCharType="separate"/>
          </w:r>
          <w:r>
            <w:rPr>
              <w:rStyle w:val="25"/>
              <w:rFonts w:cs="Helvetica" w:asciiTheme="majorEastAsia" w:hAnsiTheme="majorEastAsia" w:eastAsiaTheme="majorEastAsia"/>
              <w:kern w:val="0"/>
            </w:rPr>
            <w:t>4.2.4 美国侵权诉讼中的反诉及抗辩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_Toc203057578 \h </w:instrText>
          </w:r>
          <w:r>
            <w:rPr>
              <w:rFonts w:asciiTheme="majorEastAsia" w:hAnsiTheme="majorEastAsia" w:eastAsiaTheme="majorEastAsia"/>
            </w:rPr>
            <w:fldChar w:fldCharType="separate"/>
          </w:r>
          <w:r>
            <w:rPr>
              <w:rFonts w:asciiTheme="majorEastAsia" w:hAnsiTheme="majorEastAsia" w:eastAsiaTheme="majorEastAsia"/>
            </w:rPr>
            <w:t>65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"_Toc203057579" </w:instrText>
          </w:r>
          <w:r>
            <w:fldChar w:fldCharType="separate"/>
          </w:r>
          <w:r>
            <w:rPr>
              <w:rStyle w:val="25"/>
              <w:rFonts w:asciiTheme="majorEastAsia" w:hAnsiTheme="majorEastAsia" w:eastAsiaTheme="majorEastAsia"/>
            </w:rPr>
            <w:t>4.3 韩国知识产权风险防控分析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_Toc203057579 \h </w:instrText>
          </w:r>
          <w:r>
            <w:rPr>
              <w:rFonts w:asciiTheme="majorEastAsia" w:hAnsiTheme="majorEastAsia" w:eastAsiaTheme="majorEastAsia"/>
            </w:rPr>
            <w:fldChar w:fldCharType="separate"/>
          </w:r>
          <w:r>
            <w:rPr>
              <w:rFonts w:asciiTheme="majorEastAsia" w:hAnsiTheme="majorEastAsia" w:eastAsiaTheme="majorEastAsia"/>
            </w:rPr>
            <w:t>69</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"_Toc203057580" </w:instrText>
          </w:r>
          <w:r>
            <w:fldChar w:fldCharType="separate"/>
          </w:r>
          <w:r>
            <w:rPr>
              <w:rStyle w:val="25"/>
              <w:rFonts w:cs="Helvetica" w:asciiTheme="majorEastAsia" w:hAnsiTheme="majorEastAsia" w:eastAsiaTheme="majorEastAsia"/>
              <w:kern w:val="0"/>
            </w:rPr>
            <w:t>4.3.1 韩国专利侵权行为</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_Toc203057580 \h </w:instrText>
          </w:r>
          <w:r>
            <w:rPr>
              <w:rFonts w:asciiTheme="majorEastAsia" w:hAnsiTheme="majorEastAsia" w:eastAsiaTheme="majorEastAsia"/>
            </w:rPr>
            <w:fldChar w:fldCharType="separate"/>
          </w:r>
          <w:r>
            <w:rPr>
              <w:rFonts w:asciiTheme="majorEastAsia" w:hAnsiTheme="majorEastAsia" w:eastAsiaTheme="majorEastAsia"/>
            </w:rPr>
            <w:t>69</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"_Toc203057581" </w:instrText>
          </w:r>
          <w:r>
            <w:fldChar w:fldCharType="separate"/>
          </w:r>
          <w:r>
            <w:rPr>
              <w:rStyle w:val="25"/>
              <w:rFonts w:cs="Helvetica" w:asciiTheme="majorEastAsia" w:hAnsiTheme="majorEastAsia" w:eastAsiaTheme="majorEastAsia"/>
              <w:kern w:val="0"/>
            </w:rPr>
            <w:t>4.3.2 韩国专利侵权的反诉及抗辩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_Toc203057581 \h </w:instrText>
          </w:r>
          <w:r>
            <w:rPr>
              <w:rFonts w:asciiTheme="majorEastAsia" w:hAnsiTheme="majorEastAsia" w:eastAsiaTheme="majorEastAsia"/>
            </w:rPr>
            <w:fldChar w:fldCharType="separate"/>
          </w:r>
          <w:r>
            <w:rPr>
              <w:rFonts w:asciiTheme="majorEastAsia" w:hAnsiTheme="majorEastAsia" w:eastAsiaTheme="majorEastAsia"/>
            </w:rPr>
            <w:t>70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"_Toc203057582" </w:instrText>
          </w:r>
          <w:r>
            <w:fldChar w:fldCharType="separate"/>
          </w:r>
          <w:r>
            <w:rPr>
              <w:rStyle w:val="25"/>
              <w:rFonts w:asciiTheme="majorEastAsia" w:hAnsiTheme="majorEastAsia" w:eastAsiaTheme="majorEastAsia"/>
            </w:rPr>
            <w:t>4.4 德国知识产权风险防控分析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_Toc203057582 \h </w:instrText>
          </w:r>
          <w:r>
            <w:rPr>
              <w:rFonts w:asciiTheme="majorEastAsia" w:hAnsiTheme="majorEastAsia" w:eastAsiaTheme="majorEastAsia"/>
            </w:rPr>
            <w:fldChar w:fldCharType="separate"/>
          </w:r>
          <w:r>
            <w:rPr>
              <w:rFonts w:asciiTheme="majorEastAsia" w:hAnsiTheme="majorEastAsia" w:eastAsiaTheme="majorEastAsia"/>
            </w:rPr>
            <w:t>70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"_Toc203057583" </w:instrText>
          </w:r>
          <w:r>
            <w:fldChar w:fldCharType="separate"/>
          </w:r>
          <w:r>
            <w:rPr>
              <w:rStyle w:val="25"/>
              <w:rFonts w:cs="Helvetica" w:asciiTheme="majorEastAsia" w:hAnsiTheme="majorEastAsia" w:eastAsiaTheme="majorEastAsia"/>
              <w:kern w:val="0"/>
            </w:rPr>
            <w:t>4.4.1 德国专利侵权行为及其例外</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_Toc203057583 \h </w:instrText>
          </w:r>
          <w:r>
            <w:rPr>
              <w:rFonts w:asciiTheme="majorEastAsia" w:hAnsiTheme="majorEastAsia" w:eastAsiaTheme="majorEastAsia"/>
            </w:rPr>
            <w:fldChar w:fldCharType="separate"/>
          </w:r>
          <w:r>
            <w:rPr>
              <w:rFonts w:asciiTheme="majorEastAsia" w:hAnsiTheme="majorEastAsia" w:eastAsiaTheme="majorEastAsia"/>
            </w:rPr>
            <w:t>70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rPr>
          </w:pPr>
          <w:r>
            <w:fldChar w:fldCharType="begin"/>
          </w:r>
          <w:r>
            <w:instrText xml:space="preserve"> HYPERLINK \l "_Toc203057584" </w:instrText>
          </w:r>
          <w:r>
            <w:fldChar w:fldCharType="separate"/>
          </w:r>
          <w:r>
            <w:rPr>
              <w:rStyle w:val="25"/>
              <w:rFonts w:cs="Helvetica" w:asciiTheme="majorEastAsia" w:hAnsiTheme="majorEastAsia" w:eastAsiaTheme="majorEastAsia"/>
              <w:kern w:val="0"/>
            </w:rPr>
            <w:t>4.4.2 德国侵权诉讼的反诉及抗辩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_Toc203057584 \h </w:instrText>
          </w:r>
          <w:r>
            <w:rPr>
              <w:rFonts w:asciiTheme="majorEastAsia" w:hAnsiTheme="majorEastAsia" w:eastAsiaTheme="majorEastAsia"/>
            </w:rPr>
            <w:fldChar w:fldCharType="separate"/>
          </w:r>
          <w:r>
            <w:rPr>
              <w:rFonts w:asciiTheme="majorEastAsia" w:hAnsiTheme="majorEastAsia" w:eastAsiaTheme="majorEastAsia"/>
            </w:rPr>
            <w:t>78</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rPr>
          </w:pPr>
          <w:r>
            <w:fldChar w:fldCharType="begin"/>
          </w:r>
          <w:r>
            <w:instrText xml:space="preserve"> HYPERLINK \l "_Toc203057585" </w:instrText>
          </w:r>
          <w:r>
            <w:fldChar w:fldCharType="separate"/>
          </w:r>
          <w:r>
            <w:rPr>
              <w:rStyle w:val="25"/>
              <w:rFonts w:asciiTheme="majorEastAsia" w:hAnsiTheme="majorEastAsia" w:eastAsiaTheme="majorEastAsia"/>
            </w:rPr>
            <w:t>第五章 应对措施</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_Toc203057585 \h </w:instrText>
          </w:r>
          <w:r>
            <w:rPr>
              <w:rFonts w:asciiTheme="majorEastAsia" w:hAnsiTheme="majorEastAsia" w:eastAsiaTheme="majorEastAsia"/>
            </w:rPr>
            <w:fldChar w:fldCharType="separate"/>
          </w:r>
          <w:r>
            <w:rPr>
              <w:rFonts w:asciiTheme="majorEastAsia" w:hAnsiTheme="majorEastAsia" w:eastAsiaTheme="majorEastAsia"/>
            </w:rPr>
            <w:t>80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"_Toc203057586" </w:instrText>
          </w:r>
          <w:r>
            <w:fldChar w:fldCharType="separate"/>
          </w:r>
          <w:r>
            <w:rPr>
              <w:rStyle w:val="25"/>
              <w:rFonts w:asciiTheme="majorEastAsia" w:hAnsiTheme="majorEastAsia" w:eastAsiaTheme="majorEastAsia"/>
            </w:rPr>
            <w:t>5.1 产业现状与海外知识产权风险研判</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_Toc203057586 \h </w:instrText>
          </w:r>
          <w:r>
            <w:rPr>
              <w:rFonts w:asciiTheme="majorEastAsia" w:hAnsiTheme="majorEastAsia" w:eastAsiaTheme="majorEastAsia"/>
            </w:rPr>
            <w:fldChar w:fldCharType="separate"/>
          </w:r>
          <w:r>
            <w:rPr>
              <w:rFonts w:asciiTheme="majorEastAsia" w:hAnsiTheme="majorEastAsia" w:eastAsiaTheme="majorEastAsia"/>
            </w:rPr>
            <w:t>80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"_Toc203057587" </w:instrText>
          </w:r>
          <w:r>
            <w:fldChar w:fldCharType="separate"/>
          </w:r>
          <w:r>
            <w:rPr>
              <w:rStyle w:val="25"/>
              <w:rFonts w:asciiTheme="majorEastAsia" w:hAnsiTheme="majorEastAsia" w:eastAsiaTheme="majorEastAsia"/>
            </w:rPr>
            <w:t>5.2 建立健全知识产权管理体系</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_Toc203057587 \h </w:instrText>
          </w:r>
          <w:r>
            <w:rPr>
              <w:rFonts w:asciiTheme="majorEastAsia" w:hAnsiTheme="majorEastAsia" w:eastAsiaTheme="majorEastAsia"/>
            </w:rPr>
            <w:fldChar w:fldCharType="separate"/>
          </w:r>
          <w:r>
            <w:rPr>
              <w:rFonts w:asciiTheme="majorEastAsia" w:hAnsiTheme="majorEastAsia" w:eastAsiaTheme="majorEastAsia"/>
            </w:rPr>
            <w:t>80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"_Toc203057588" </w:instrText>
          </w:r>
          <w:r>
            <w:fldChar w:fldCharType="separate"/>
          </w:r>
          <w:r>
            <w:rPr>
              <w:rStyle w:val="25"/>
              <w:rFonts w:asciiTheme="majorEastAsia" w:hAnsiTheme="majorEastAsia" w:eastAsiaTheme="majorEastAsia"/>
            </w:rPr>
            <w:t>5.3 加强海外知识产权布局</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_Toc203057588 \h </w:instrText>
          </w:r>
          <w:r>
            <w:rPr>
              <w:rFonts w:asciiTheme="majorEastAsia" w:hAnsiTheme="majorEastAsia" w:eastAsiaTheme="majorEastAsia"/>
            </w:rPr>
            <w:fldChar w:fldCharType="separate"/>
          </w:r>
          <w:r>
            <w:rPr>
              <w:rFonts w:asciiTheme="majorEastAsia" w:hAnsiTheme="majorEastAsia" w:eastAsiaTheme="majorEastAsia"/>
            </w:rPr>
            <w:t>80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"_Toc203057589" </w:instrText>
          </w:r>
          <w:r>
            <w:fldChar w:fldCharType="separate"/>
          </w:r>
          <w:r>
            <w:rPr>
              <w:rStyle w:val="25"/>
              <w:rFonts w:asciiTheme="majorEastAsia" w:hAnsiTheme="majorEastAsia" w:eastAsiaTheme="majorEastAsia"/>
            </w:rPr>
            <w:t>5.4 提升纠纷应对能力</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_Toc203057589 \h </w:instrText>
          </w:r>
          <w:r>
            <w:rPr>
              <w:rFonts w:asciiTheme="majorEastAsia" w:hAnsiTheme="majorEastAsia" w:eastAsiaTheme="majorEastAsia"/>
            </w:rPr>
            <w:fldChar w:fldCharType="separate"/>
          </w:r>
          <w:r>
            <w:rPr>
              <w:rFonts w:asciiTheme="majorEastAsia" w:hAnsiTheme="majorEastAsia" w:eastAsiaTheme="majorEastAsia"/>
            </w:rPr>
            <w:t>81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"_Toc203057590" </w:instrText>
          </w:r>
          <w:r>
            <w:fldChar w:fldCharType="separate"/>
          </w:r>
          <w:r>
            <w:rPr>
              <w:rStyle w:val="25"/>
              <w:rFonts w:asciiTheme="majorEastAsia" w:hAnsiTheme="majorEastAsia" w:eastAsiaTheme="majorEastAsia"/>
            </w:rPr>
            <w:t>5.5 加强人才培养和引进</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_Toc203057590 \h </w:instrText>
          </w:r>
          <w:r>
            <w:rPr>
              <w:rFonts w:asciiTheme="majorEastAsia" w:hAnsiTheme="majorEastAsia" w:eastAsiaTheme="majorEastAsia"/>
            </w:rPr>
            <w:fldChar w:fldCharType="separate"/>
          </w:r>
          <w:r>
            <w:rPr>
              <w:rFonts w:asciiTheme="majorEastAsia" w:hAnsiTheme="majorEastAsia" w:eastAsiaTheme="majorEastAsia"/>
            </w:rPr>
            <w:t>81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"_Toc203057591" </w:instrText>
          </w:r>
          <w:r>
            <w:fldChar w:fldCharType="separate"/>
          </w:r>
          <w:r>
            <w:rPr>
              <w:rStyle w:val="25"/>
              <w:rFonts w:asciiTheme="majorEastAsia" w:hAnsiTheme="majorEastAsia" w:eastAsiaTheme="majorEastAsia"/>
            </w:rPr>
            <w:t>5.6 完善政策支持体系</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_Toc203057591 \h </w:instrText>
          </w:r>
          <w:r>
            <w:rPr>
              <w:rFonts w:asciiTheme="majorEastAsia" w:hAnsiTheme="majorEastAsia" w:eastAsiaTheme="majorEastAsia"/>
            </w:rPr>
            <w:fldChar w:fldCharType="separate"/>
          </w:r>
          <w:r>
            <w:rPr>
              <w:rFonts w:asciiTheme="majorEastAsia" w:hAnsiTheme="majorEastAsia" w:eastAsiaTheme="majorEastAsia"/>
            </w:rPr>
            <w:t>81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"_Toc203057592" </w:instrText>
          </w:r>
          <w:r>
            <w:fldChar w:fldCharType="separate"/>
          </w:r>
          <w:r>
            <w:rPr>
              <w:rStyle w:val="25"/>
              <w:rFonts w:asciiTheme="majorEastAsia" w:hAnsiTheme="majorEastAsia" w:eastAsiaTheme="majorEastAsia"/>
            </w:rPr>
            <w:t>5.7 加强公共服务平台建设</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_Toc203057592 \h </w:instrText>
          </w:r>
          <w:r>
            <w:rPr>
              <w:rFonts w:asciiTheme="majorEastAsia" w:hAnsiTheme="majorEastAsia" w:eastAsiaTheme="majorEastAsia"/>
            </w:rPr>
            <w:fldChar w:fldCharType="separate"/>
          </w:r>
          <w:r>
            <w:rPr>
              <w:rFonts w:asciiTheme="majorEastAsia" w:hAnsiTheme="majorEastAsia" w:eastAsiaTheme="majorEastAsia"/>
            </w:rPr>
            <w:t>81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"_Toc203057593" </w:instrText>
          </w:r>
          <w:r>
            <w:fldChar w:fldCharType="separate"/>
          </w:r>
          <w:r>
            <w:rPr>
              <w:rStyle w:val="25"/>
              <w:rFonts w:asciiTheme="majorEastAsia" w:hAnsiTheme="majorEastAsia" w:eastAsiaTheme="majorEastAsia"/>
            </w:rPr>
            <w:t>5.8 强化知识产权宣传培训</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_Toc203057593 \h </w:instrText>
          </w:r>
          <w:r>
            <w:rPr>
              <w:rFonts w:asciiTheme="majorEastAsia" w:hAnsiTheme="majorEastAsia" w:eastAsiaTheme="majorEastAsia"/>
            </w:rPr>
            <w:fldChar w:fldCharType="separate"/>
          </w:r>
          <w:r>
            <w:rPr>
              <w:rFonts w:asciiTheme="majorEastAsia" w:hAnsiTheme="majorEastAsia" w:eastAsiaTheme="majorEastAsia"/>
            </w:rPr>
            <w:t>81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rPr>
          </w:pPr>
          <w:r>
            <w:fldChar w:fldCharType="begin"/>
          </w:r>
          <w:r>
            <w:instrText xml:space="preserve"> HYPERLINK \l "_Toc203057594" </w:instrText>
          </w:r>
          <w:r>
            <w:fldChar w:fldCharType="separate"/>
          </w:r>
          <w:r>
            <w:rPr>
              <w:rStyle w:val="25"/>
              <w:rFonts w:asciiTheme="majorEastAsia" w:hAnsiTheme="majorEastAsia" w:eastAsiaTheme="majorEastAsia"/>
            </w:rPr>
            <w:t>5.9 推动行业协会发挥作用</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_Toc203057594 \h </w:instrText>
          </w:r>
          <w:r>
            <w:rPr>
              <w:rFonts w:asciiTheme="majorEastAsia" w:hAnsiTheme="majorEastAsia" w:eastAsiaTheme="majorEastAsia"/>
            </w:rPr>
            <w:fldChar w:fldCharType="separate"/>
          </w:r>
          <w:r>
            <w:rPr>
              <w:rFonts w:asciiTheme="majorEastAsia" w:hAnsiTheme="majorEastAsia" w:eastAsiaTheme="majorEastAsia"/>
            </w:rPr>
            <w:t>82</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rPr>
          </w:pPr>
          <w:r>
            <w:fldChar w:fldCharType="begin"/>
          </w:r>
          <w:r>
            <w:instrText xml:space="preserve"> HYPERLINK \l "_Toc203057595" </w:instrText>
          </w:r>
          <w:r>
            <w:fldChar w:fldCharType="separate"/>
          </w:r>
          <w:r>
            <w:rPr>
              <w:rStyle w:val="25"/>
              <w:rFonts w:asciiTheme="majorEastAsia" w:hAnsiTheme="majorEastAsia" w:eastAsiaTheme="majorEastAsia"/>
            </w:rPr>
            <w:t>附件1：海外知识产权侵权风险防控标准化流程</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_Toc203057595 \h </w:instrText>
          </w:r>
          <w:r>
            <w:rPr>
              <w:rFonts w:asciiTheme="majorEastAsia" w:hAnsiTheme="majorEastAsia" w:eastAsiaTheme="majorEastAsia"/>
            </w:rPr>
            <w:fldChar w:fldCharType="separate"/>
          </w:r>
          <w:r>
            <w:rPr>
              <w:rFonts w:asciiTheme="majorEastAsia" w:hAnsiTheme="majorEastAsia" w:eastAsiaTheme="majorEastAsia"/>
            </w:rPr>
            <w:t>83</w:t>
          </w:r>
          <w:r>
            <w:rPr>
              <w:rFonts w:asciiTheme="majorEastAsia" w:hAnsiTheme="majorEastAsia" w:eastAsiaTheme="majorEastAsia"/>
            </w:rPr>
            <w:fldChar w:fldCharType="end"/>
          </w:r>
          <w:r>
            <w:rPr>
              <w:rFonts w:asciiTheme="majorEastAsia" w:hAnsiTheme="majorEastAsia" w:eastAsiaTheme="majorEastAsia"/>
            </w:rPr>
            <w:fldChar w:fldCharType="end"/>
          </w:r>
        </w:p>
        <w:p>
          <w:pPr>
            <w:ind w:firstLine="0" w:firstLineChars="0"/>
          </w:pPr>
          <w:r>
            <w:rPr>
              <w:rFonts w:hint="eastAsia" w:cs="黑体" w:asciiTheme="majorEastAsia" w:hAnsiTheme="majorEastAsia" w:eastAsiaTheme="majorEastAsia"/>
            </w:rPr>
            <w:fldChar w:fldCharType="end"/>
          </w:r>
        </w:p>
      </w:sdtContent>
    </w:sdt>
    <w:p>
      <w:pPr>
        <w:pStyle w:val="3"/>
        <w:numPr>
          <w:ilvl w:val="0"/>
          <w:numId w:val="1"/>
        </w:numPr>
        <w:spacing w:before="312" w:after="312"/>
        <w:sectPr>
          <w:footerReference r:id="rId11" w:type="default"/>
          <w:pgSz w:w="11906" w:h="16838"/>
          <w:pgMar w:top="1440" w:right="1800" w:bottom="1440" w:left="1800" w:header="851" w:footer="992" w:gutter="0"/>
          <w:pgNumType w:start="1"/>
          <w:cols w:space="425" w:num="1"/>
          <w:docGrid w:type="lines" w:linePitch="312" w:charSpace="0"/>
        </w:sectPr>
      </w:pPr>
    </w:p>
    <w:p>
      <w:pPr>
        <w:pStyle w:val="3"/>
        <w:spacing w:before="312" w:after="312"/>
      </w:pPr>
      <w:bookmarkStart w:id="0" w:name="_Toc141969502"/>
      <w:bookmarkStart w:id="1" w:name="_Toc203057544"/>
      <w:bookmarkStart w:id="2" w:name="_Toc141969503"/>
      <w:r>
        <w:rPr>
          <w:rFonts w:hint="eastAsia"/>
        </w:rPr>
        <w:t>引言</w:t>
      </w:r>
      <w:bookmarkEnd w:id="0"/>
      <w:bookmarkEnd w:id="1"/>
    </w:p>
    <w:p>
      <w:pPr>
        <w:ind w:firstLine="480"/>
      </w:pPr>
      <w:r>
        <w:rPr>
          <w:rFonts w:hint="eastAsia"/>
        </w:rPr>
        <w:t>莘县企业家协会是2016年7月经莘县民政局批准成立的社会团体，是由全县各种所有制企业、优秀企业经营者及有关经济、科研和相关人士组成的非营利的社会团体法人，现有会员212名，涉及食品、饲料、化工、建筑、路桥、等十几个行业，办公地址位于莘县甘泉路28号。</w:t>
      </w:r>
    </w:p>
    <w:p>
      <w:pPr>
        <w:ind w:firstLine="480"/>
      </w:pPr>
      <w:r>
        <w:rPr>
          <w:rFonts w:hint="eastAsia"/>
        </w:rPr>
        <w:t>莘县企业家协会以为企业和企业家服务为宗旨，遵守宪法、法律、法规和国家政策，遵守社会道德风尚，发挥企业与政府之间的桥梁纽带作用，维护企业、企业家的合法权益，推进企业家素质建设，促进企业守法自律，推动企业改革发展，提高企业管理水平，增强企业竞争力等方面，开展各项服务活动,为政府提供第三方服务。</w:t>
      </w:r>
    </w:p>
    <w:p>
      <w:pPr>
        <w:ind w:firstLine="480"/>
      </w:pPr>
      <w:r>
        <w:rPr>
          <w:rFonts w:hint="eastAsia"/>
        </w:rPr>
        <w:t>202</w:t>
      </w:r>
      <w:r>
        <w:t>5</w:t>
      </w:r>
      <w:r>
        <w:rPr>
          <w:rFonts w:hint="eastAsia"/>
        </w:rPr>
        <w:t>年，协会根据莘县石油化工产业相关企业的经营现状和发展前景，对多家企业进行了实地走访调研，组织涉外企业开展海外知识产权风险预警培训，帮助企业加强海外风险防控体系建设，并针对石油化工产业制作一份海外知识产权预警分析报告，本次报告经过多次现场调研和座谈，希望通过这次预警分析，在石油化工为优势产品的情况下，保护海外产品的销售，并帮助企业在国外市场寻找多个经济增长点，逐步开拓海外市场</w:t>
      </w:r>
      <w:r>
        <w:rPr>
          <w:rFonts w:hint="eastAsia" w:cs="Arial" w:asciiTheme="minorEastAsia" w:hAnsiTheme="minorEastAsia" w:eastAsiaTheme="minorEastAsia"/>
          <w:color w:val="000000"/>
          <w:shd w:val="clear" w:color="auto" w:fill="FFFFFF"/>
        </w:rPr>
        <w:t>。</w:t>
      </w:r>
    </w:p>
    <w:p>
      <w:pPr>
        <w:widowControl/>
        <w:spacing w:line="240" w:lineRule="auto"/>
        <w:ind w:firstLine="0" w:firstLineChars="0"/>
        <w:jc w:val="left"/>
        <w:rPr>
          <w:rFonts w:ascii="黑体" w:hAnsi="黑体" w:eastAsia="黑体"/>
          <w:b/>
          <w:bCs/>
          <w:kern w:val="44"/>
          <w:sz w:val="32"/>
          <w:szCs w:val="44"/>
        </w:rPr>
      </w:pPr>
      <w:r>
        <w:br w:type="page"/>
      </w:r>
    </w:p>
    <w:p>
      <w:pPr>
        <w:pStyle w:val="3"/>
        <w:spacing w:before="312" w:after="312"/>
      </w:pPr>
      <w:bookmarkStart w:id="3" w:name="_Toc203057545"/>
      <w:r>
        <w:rPr>
          <w:rFonts w:hint="eastAsia"/>
        </w:rPr>
        <w:t>摘要</w:t>
      </w:r>
      <w:bookmarkEnd w:id="2"/>
      <w:bookmarkEnd w:id="3"/>
    </w:p>
    <w:p>
      <w:pPr>
        <w:ind w:firstLine="480"/>
      </w:pPr>
      <w:r>
        <w:rPr>
          <w:rFonts w:hint="eastAsia"/>
        </w:rPr>
        <w:t>本报告，首先分析了全球、中国以及聊城市石油化工产业的发展现状，包括产业规模，产业链，产业竞争格局，产业发展趋势，产业内重点企业等，对石油化工产业当前的发展现状做了详细具体的分析。</w:t>
      </w:r>
    </w:p>
    <w:p>
      <w:pPr>
        <w:ind w:firstLine="480"/>
      </w:pPr>
      <w:r>
        <w:rPr>
          <w:rFonts w:hint="eastAsia"/>
        </w:rPr>
        <w:t>其次，基于对石油化工产业的技术分解，对石油化工领域的专利进行检索形成专利数据库，并基于该专利数据库对全球石油化工领域的专利进行技术分析。具体分析内容包括聊城市以及部分重点国家或地区专利的申请趋势，专利的类型，专利的法律状态，石油化工领域专利侵权诉讼高发区域，石油化工领域专利无效高发区域，石油化工领域专利诉讼涉及的企业，石油化工领域专利诉讼涉及的技术方向等。</w:t>
      </w:r>
    </w:p>
    <w:p>
      <w:pPr>
        <w:ind w:firstLine="480"/>
      </w:pPr>
      <w:r>
        <w:rPr>
          <w:rFonts w:hint="eastAsia"/>
        </w:rPr>
        <w:t>再次，结合具体案例，对商标、软著、专利等知识产权侵权行为进行了具体的分析。同时对石油化工领域主要国家的知识产权侵权相关法律法规做了介绍，并对如何进行侵权抗辩做了具体的分析。</w:t>
      </w:r>
    </w:p>
    <w:p>
      <w:pPr>
        <w:ind w:firstLine="480"/>
      </w:pPr>
      <w:r>
        <w:t>最后，</w:t>
      </w:r>
      <w:r>
        <w:rPr>
          <w:rFonts w:hint="eastAsia"/>
        </w:rPr>
        <w:t>基于产业分析和知识产权分析，并结合聊城市石油化工企业的具体情况，</w:t>
      </w:r>
      <w:r>
        <w:t>给</w:t>
      </w:r>
      <w:r>
        <w:rPr>
          <w:rFonts w:hint="eastAsia"/>
        </w:rPr>
        <w:t>出了应对海外知识产权侵权风险的具体应对措施，供聊城市石油化工行业内企业参考，增强聊城市石油化工企业应对海外知识产权侵权风险的能力。</w:t>
      </w:r>
    </w:p>
    <w:p>
      <w:pPr>
        <w:pStyle w:val="2"/>
        <w:ind w:firstLine="0" w:firstLineChars="0"/>
      </w:pPr>
      <w:r>
        <w:br w:type="page"/>
      </w:r>
    </w:p>
    <w:p>
      <w:pPr>
        <w:pStyle w:val="3"/>
        <w:spacing w:before="312" w:after="312"/>
      </w:pPr>
      <w:bookmarkStart w:id="4" w:name="_Toc203057546"/>
      <w:r>
        <w:rPr>
          <w:rFonts w:hint="eastAsia"/>
        </w:rPr>
        <w:t>第一章 产业及重点企业情况</w:t>
      </w:r>
      <w:bookmarkEnd w:id="4"/>
    </w:p>
    <w:p>
      <w:pPr>
        <w:ind w:firstLine="562"/>
        <w:outlineLvl w:val="1"/>
        <w:rPr>
          <w:rFonts w:ascii="黑体" w:hAnsi="黑体" w:eastAsia="黑体"/>
          <w:b/>
          <w:bCs/>
          <w:sz w:val="28"/>
          <w:szCs w:val="28"/>
        </w:rPr>
      </w:pPr>
      <w:bookmarkStart w:id="5" w:name="_Toc203057547"/>
      <w:r>
        <w:rPr>
          <w:rFonts w:ascii="黑体" w:hAnsi="黑体" w:eastAsia="黑体"/>
          <w:b/>
          <w:bCs/>
          <w:sz w:val="28"/>
          <w:szCs w:val="28"/>
        </w:rPr>
        <w:t xml:space="preserve">1.1 </w:t>
      </w:r>
      <w:r>
        <w:rPr>
          <w:rFonts w:hint="eastAsia" w:ascii="黑体" w:hAnsi="黑体" w:eastAsia="黑体"/>
          <w:b/>
          <w:bCs/>
          <w:sz w:val="28"/>
          <w:szCs w:val="28"/>
        </w:rPr>
        <w:t>石油化工产业分析</w:t>
      </w:r>
      <w:bookmarkEnd w:id="5"/>
    </w:p>
    <w:p>
      <w:pPr>
        <w:ind w:firstLine="480"/>
        <w:rPr>
          <w:rFonts w:asciiTheme="minorEastAsia" w:hAnsiTheme="minorEastAsia" w:eastAsiaTheme="minorEastAsia"/>
        </w:rPr>
      </w:pPr>
      <w:r>
        <w:rPr>
          <w:rFonts w:hint="eastAsia" w:asciiTheme="minorEastAsia" w:hAnsiTheme="minorEastAsia" w:eastAsiaTheme="minorEastAsia"/>
        </w:rPr>
        <w:t>石油化学工业，简称石油化工，一般指以石油和天然气为原料的化学工业;石油化工产业是以石油、天然气为原料，生产汽油、煤油、柴油、润滑油等石油产品和基本有机化工原料、三大合成材料(合成树脂、合成纤维、合成橡胶)等石油化工产品的产业。</w:t>
      </w:r>
    </w:p>
    <w:p>
      <w:pPr>
        <w:ind w:firstLine="480"/>
        <w:rPr>
          <w:rFonts w:asciiTheme="minorEastAsia" w:hAnsiTheme="minorEastAsia" w:eastAsiaTheme="minorEastAsia"/>
        </w:rPr>
      </w:pPr>
      <w:r>
        <w:rPr>
          <w:rFonts w:asciiTheme="minorEastAsia" w:hAnsiTheme="minorEastAsia" w:eastAsiaTheme="minorEastAsia"/>
        </w:rPr>
        <w:t>石油化工产业按照产业链上下游划分可分为石油和天然气开采行业、石油炼制行业、化学工业。其中，石油和天然气开采是指将原油、天然气从地下采出，然后将原油和天然气分离的过程；石油炼制是指将原油加工成汽油、柴油、煤油、石脑油、重油等油品的过程；化学工业是指将石油产品加工成基本化工原料、有机化工产品和合成材料等，化学工业按加工流程可分为：基本有机行业、高分子合成行业和高分子材料成型行业。</w:t>
      </w:r>
    </w:p>
    <w:p>
      <w:pPr>
        <w:ind w:firstLine="480"/>
        <w:rPr>
          <w:rFonts w:asciiTheme="minorEastAsia" w:hAnsiTheme="minorEastAsia" w:eastAsiaTheme="minorEastAsia"/>
        </w:rPr>
      </w:pPr>
      <w:r>
        <w:rPr>
          <w:rFonts w:asciiTheme="minorEastAsia" w:hAnsiTheme="minorEastAsia" w:eastAsiaTheme="minorEastAsia"/>
        </w:rPr>
        <w:t>石油炼制向下游化工产业链延伸，主要有两种产品路线，分别为烯烃路线和芳烃路线：烯烃路线是以炼油生产的轻石脑油、液化气等部分原料经过乙烯裂解装置反应后，将裂解产品进一步分离精制，生产出乙烯、丙烯、丁烯、丁二烯等基础有机原料或进一步加工生产聚乙烯、环氧乙烯、苯乙烯等化工产品。芳烃路线是指从炼油生产的重石脑油中通过重整装置处理后生成苯、甲苯、乙苯等芳烃产品。其中由对二甲苯、邻二甲苯和间二甲苯组成的混二甲苯又是下游 PTA 及聚酯的生产原料。</w:t>
      </w:r>
    </w:p>
    <w:p>
      <w:pPr>
        <w:ind w:firstLine="562"/>
        <w:outlineLvl w:val="2"/>
        <w:rPr>
          <w:rFonts w:ascii="黑体" w:hAnsi="黑体" w:eastAsia="黑体" w:cs="Helvetica"/>
          <w:b/>
          <w:color w:val="000000" w:themeColor="text1"/>
          <w:kern w:val="0"/>
          <w:sz w:val="28"/>
          <w:szCs w:val="28"/>
        </w:rPr>
      </w:pPr>
      <w:bookmarkStart w:id="6" w:name="_Toc203057548"/>
      <w:r>
        <w:rPr>
          <w:rFonts w:ascii="黑体" w:hAnsi="黑体" w:eastAsia="黑体" w:cs="Helvetica"/>
          <w:b/>
          <w:color w:val="000000" w:themeColor="text1"/>
          <w:kern w:val="0"/>
          <w:sz w:val="28"/>
          <w:szCs w:val="28"/>
        </w:rPr>
        <w:t xml:space="preserve">1.1.1 </w:t>
      </w:r>
      <w:r>
        <w:rPr>
          <w:rFonts w:hint="eastAsia" w:ascii="黑体" w:hAnsi="黑体" w:eastAsia="黑体" w:cs="Helvetica"/>
          <w:b/>
          <w:color w:val="000000" w:themeColor="text1"/>
          <w:kern w:val="0"/>
          <w:sz w:val="28"/>
          <w:szCs w:val="28"/>
        </w:rPr>
        <w:t>全球石油化工产业发展概况</w:t>
      </w:r>
      <w:bookmarkEnd w:id="6"/>
    </w:p>
    <w:p>
      <w:pPr>
        <w:ind w:firstLine="480"/>
        <w:rPr>
          <w:rFonts w:asciiTheme="minorEastAsia" w:hAnsiTheme="minorEastAsia" w:eastAsiaTheme="minorEastAsia"/>
        </w:rPr>
      </w:pPr>
      <w:r>
        <w:rPr>
          <w:rFonts w:asciiTheme="minorEastAsia" w:hAnsiTheme="minorEastAsia" w:eastAsiaTheme="minorEastAsia"/>
        </w:rPr>
        <w:t>1.市场规模</w:t>
      </w:r>
    </w:p>
    <w:p>
      <w:pPr>
        <w:ind w:firstLine="480"/>
        <w:rPr>
          <w:rFonts w:asciiTheme="minorEastAsia" w:hAnsiTheme="minorEastAsia" w:eastAsiaTheme="minorEastAsia"/>
        </w:rPr>
      </w:pPr>
      <w:r>
        <w:rPr>
          <w:rFonts w:asciiTheme="minorEastAsia" w:hAnsiTheme="minorEastAsia" w:eastAsiaTheme="minorEastAsia"/>
        </w:rPr>
        <w:t>根据 Research and Markets 发布的报告显示，2024年全球石油化工产业市场规模为7305.4亿美元。该市场规模从2023年的6921.1亿美元增长而来，年复合增长率为5.6%。同时，报告预计到2028年，全球石油化工市场规模将增长至9104.8亿美元，年复合增长率为5.7%。</w:t>
      </w:r>
    </w:p>
    <w:p>
      <w:pPr>
        <w:ind w:firstLine="48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.产业竞争格局：</w:t>
      </w:r>
    </w:p>
    <w:p>
      <w:pPr>
        <w:ind w:firstLine="480"/>
        <w:rPr>
          <w:rFonts w:asciiTheme="minorEastAsia" w:hAnsiTheme="minorEastAsia" w:eastAsiaTheme="minorEastAsia"/>
        </w:rPr>
      </w:pPr>
      <w:r>
        <w:rPr>
          <w:rFonts w:asciiTheme="minorEastAsia" w:hAnsiTheme="minorEastAsia" w:eastAsiaTheme="minorEastAsia"/>
        </w:rPr>
        <w:t>企业竞争方面</w:t>
      </w:r>
      <w:r>
        <w:rPr>
          <w:rFonts w:hint="eastAsia" w:asciiTheme="minorEastAsia" w:hAnsiTheme="minorEastAsia" w:eastAsiaTheme="minorEastAsia"/>
        </w:rPr>
        <w:t>，</w:t>
      </w:r>
      <w:r>
        <w:rPr>
          <w:rFonts w:asciiTheme="minorEastAsia" w:hAnsiTheme="minorEastAsia" w:eastAsiaTheme="minorEastAsia"/>
        </w:rPr>
        <w:t>全球石油化工行业竞争激烈，有众多大型企业参与。如印度石油公司、出光兴产、道达尔、荷兰皇家壳牌、中国石化、信实工业、沙特基础工业公司等，这些企业在全球范围内布局石化业务，通过技术研发、产能扩张、产业链整合等方式提升竞争力。</w:t>
      </w:r>
    </w:p>
    <w:p>
      <w:pPr>
        <w:ind w:firstLine="480"/>
        <w:rPr>
          <w:rFonts w:asciiTheme="minorEastAsia" w:hAnsiTheme="minorEastAsia" w:eastAsiaTheme="minorEastAsia"/>
        </w:rPr>
      </w:pPr>
      <w:r>
        <w:rPr>
          <w:rFonts w:asciiTheme="minorEastAsia" w:hAnsiTheme="minorEastAsia" w:eastAsiaTheme="minorEastAsia"/>
        </w:rPr>
        <w:t>区域竞争方面</w:t>
      </w:r>
      <w:r>
        <w:rPr>
          <w:rFonts w:hint="eastAsia" w:asciiTheme="minorEastAsia" w:hAnsiTheme="minorEastAsia" w:eastAsiaTheme="minorEastAsia"/>
        </w:rPr>
        <w:t>，</w:t>
      </w:r>
      <w:r>
        <w:rPr>
          <w:rFonts w:asciiTheme="minorEastAsia" w:hAnsiTheme="minorEastAsia" w:eastAsiaTheme="minorEastAsia"/>
        </w:rPr>
        <w:t>中国已成为全球石化产品销售第一大国，2023 年全球石化产品销售额占比达 43.0%，美国占比约 9.7%。同时，欧洲石化产业综合竞争力衰退，2023 - 2024 年宣布关闭 1100 万吨化工产能，壳牌等企业也计划重组其在欧洲的化工业务。日本炼化产业处于衰退期，产能不断萎缩，韩国处于成熟期，但近年来受全球经济及中国石化自给率提高等影响，产能利用率下滑。</w:t>
      </w:r>
    </w:p>
    <w:p>
      <w:pPr>
        <w:ind w:firstLine="48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.产业分布</w:t>
      </w:r>
    </w:p>
    <w:p>
      <w:pPr>
        <w:ind w:firstLine="480"/>
        <w:rPr>
          <w:rFonts w:asciiTheme="minorEastAsia" w:hAnsiTheme="minorEastAsia" w:eastAsiaTheme="minorEastAsia"/>
        </w:rPr>
      </w:pPr>
      <w:r>
        <w:rPr>
          <w:rFonts w:asciiTheme="minorEastAsia" w:hAnsiTheme="minorEastAsia" w:eastAsiaTheme="minorEastAsia"/>
        </w:rPr>
        <w:t>亚太地区是全球重要的石油化工产业集中地，中国炼油产能稳定在 9.8 亿吨左右，炼油能力全球第一。此外，日本、韩国也有一定规模的石化产业，不过目前发展态势不如中国。同时，印尼等国家也在不断发展石化产业，随着中国裕龙岛、印尼 Balikpapan 炼厂等投产，亚太地区在全球石化产业中的地位将进一步提升。</w:t>
      </w:r>
    </w:p>
    <w:p>
      <w:pPr>
        <w:ind w:firstLine="480"/>
        <w:rPr>
          <w:rFonts w:asciiTheme="minorEastAsia" w:hAnsiTheme="minorEastAsia" w:eastAsiaTheme="minorEastAsia"/>
        </w:rPr>
      </w:pPr>
      <w:r>
        <w:rPr>
          <w:rFonts w:asciiTheme="minorEastAsia" w:hAnsiTheme="minorEastAsia" w:eastAsiaTheme="minorEastAsia"/>
        </w:rPr>
        <w:t>北美地区美国是重要的石化生产和消费国，拥有埃克森美孚、雪佛龙等大型石化企业，在高端石化产品和技术研发方面具有优势。加拿大也有一定规模的石化产业，主要集中在阿尔伯塔省等地。</w:t>
      </w:r>
    </w:p>
    <w:p>
      <w:pPr>
        <w:ind w:firstLine="480"/>
        <w:rPr>
          <w:rFonts w:asciiTheme="minorEastAsia" w:hAnsiTheme="minorEastAsia" w:eastAsiaTheme="minorEastAsia"/>
        </w:rPr>
      </w:pPr>
      <w:r>
        <w:rPr>
          <w:rFonts w:asciiTheme="minorEastAsia" w:hAnsiTheme="minorEastAsia" w:eastAsiaTheme="minorEastAsia"/>
        </w:rPr>
        <w:t>欧洲地区曾经是石化产业发达地区，但俄乌冲突后，由于高昂的气价、电价、碳价等因素，石化产业迎来关停潮，产业规模有所缩减。不过，仍有巴斯夫等知名企业，在精细化工等领域保持一定竞争力。</w:t>
      </w:r>
    </w:p>
    <w:p>
      <w:pPr>
        <w:ind w:firstLine="480"/>
        <w:rPr>
          <w:rFonts w:asciiTheme="minorEastAsia" w:hAnsiTheme="minorEastAsia" w:eastAsiaTheme="minorEastAsia"/>
        </w:rPr>
      </w:pPr>
      <w:r>
        <w:rPr>
          <w:rFonts w:asciiTheme="minorEastAsia" w:hAnsiTheme="minorEastAsia" w:eastAsiaTheme="minorEastAsia"/>
        </w:rPr>
        <w:t>中东地区凭借丰富的石油和天然气资源，成为全球重要的石化原料生产和出口地，沙特基础工业公司等企业在全球具有较高知名度，主要以生产基础石化产品为主，出口到世界各地。</w:t>
      </w:r>
    </w:p>
    <w:p>
      <w:pPr>
        <w:ind w:firstLine="48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.产业转移趋势</w:t>
      </w:r>
    </w:p>
    <w:p>
      <w:pPr>
        <w:ind w:firstLine="480"/>
        <w:rPr>
          <w:rFonts w:asciiTheme="minorEastAsia" w:hAnsiTheme="minorEastAsia" w:eastAsiaTheme="minorEastAsia"/>
        </w:rPr>
      </w:pPr>
      <w:r>
        <w:rPr>
          <w:rFonts w:hint="eastAsia" w:asciiTheme="minorEastAsia" w:hAnsiTheme="minorEastAsia" w:eastAsiaTheme="minorEastAsia"/>
        </w:rPr>
        <w:t>当前，全球石油化工产业</w:t>
      </w:r>
      <w:r>
        <w:rPr>
          <w:rFonts w:asciiTheme="minorEastAsia" w:hAnsiTheme="minorEastAsia" w:eastAsiaTheme="minorEastAsia"/>
        </w:rPr>
        <w:t>整体呈现出从欧洲向亚洲转移的趋势。欧洲由于成本上升、需求增长放缓等因素，石化产能逐步收缩，而中国、印度等亚洲国家，一方面市场需求大，另一方面凭借较低的生产成本和不断提升的技术水平，吸引了大量石化产业投资，石化产能不断扩张，全球炼油中心进一步东移。</w:t>
      </w:r>
    </w:p>
    <w:p>
      <w:pPr>
        <w:ind w:firstLine="480"/>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.产业政策环境</w:t>
      </w:r>
    </w:p>
    <w:p>
      <w:pPr>
        <w:ind w:firstLine="480"/>
        <w:rPr>
          <w:rFonts w:asciiTheme="minorEastAsia" w:hAnsiTheme="minorEastAsia" w:eastAsiaTheme="minorEastAsia"/>
        </w:rPr>
      </w:pPr>
      <w:r>
        <w:rPr>
          <w:rFonts w:asciiTheme="minorEastAsia" w:hAnsiTheme="minorEastAsia" w:eastAsiaTheme="minorEastAsia"/>
        </w:rPr>
        <w:t>环保政策趋严</w:t>
      </w:r>
      <w:r>
        <w:rPr>
          <w:rFonts w:hint="eastAsia" w:asciiTheme="minorEastAsia" w:hAnsiTheme="minorEastAsia" w:eastAsiaTheme="minorEastAsia"/>
        </w:rPr>
        <w:t>。</w:t>
      </w:r>
      <w:r>
        <w:rPr>
          <w:rFonts w:asciiTheme="minorEastAsia" w:hAnsiTheme="minorEastAsia" w:eastAsiaTheme="minorEastAsia"/>
        </w:rPr>
        <w:t>全球范围内对环境保护的重视程度不断提高，许多国家和地区出台了严格的环保政策，要求石油化工企业降低碳排放，减少污染物排放。如中国根据《2030 年前碳达峰行动方案》，对炼油产能实施总量控制，推进碳捕集利用、生物基材料替代等措施实现减排。欧盟推出碳边境调节机制（CBAM），对进口的石化产品可能征收碳关税，促使全球石化企业重视碳排放问题。</w:t>
      </w:r>
    </w:p>
    <w:p>
      <w:pPr>
        <w:ind w:firstLine="480"/>
        <w:rPr>
          <w:rFonts w:asciiTheme="minorEastAsia" w:hAnsiTheme="minorEastAsia" w:eastAsiaTheme="minorEastAsia"/>
        </w:rPr>
      </w:pPr>
      <w:r>
        <w:rPr>
          <w:rFonts w:asciiTheme="minorEastAsia" w:hAnsiTheme="minorEastAsia" w:eastAsiaTheme="minorEastAsia"/>
        </w:rPr>
        <w:t>鼓励技术创新</w:t>
      </w:r>
      <w:r>
        <w:rPr>
          <w:rFonts w:hint="eastAsia" w:asciiTheme="minorEastAsia" w:hAnsiTheme="minorEastAsia" w:eastAsiaTheme="minorEastAsia"/>
        </w:rPr>
        <w:t>。</w:t>
      </w:r>
      <w:r>
        <w:rPr>
          <w:rFonts w:asciiTheme="minorEastAsia" w:hAnsiTheme="minorEastAsia" w:eastAsiaTheme="minorEastAsia"/>
        </w:rPr>
        <w:t>各国鼓励企业开展技术研发，推动石油化工产业向高端化、精细化发展。例如，中国工信部等部门要求突破新型催化等 20 项关键共性技术，提升乙烯当量保障水平和化工新材料保障水平。全球能源公司也纷纷投入研发，聚焦原料多元化技术，如 Axens 公司的 Atol® 技术，可通过可再生乙醇脱水生产聚合级生物乙烯。</w:t>
      </w:r>
    </w:p>
    <w:p>
      <w:pPr>
        <w:ind w:firstLine="480"/>
        <w:rPr>
          <w:rFonts w:asciiTheme="minorEastAsia" w:hAnsiTheme="minorEastAsia" w:eastAsiaTheme="minorEastAsia"/>
        </w:rPr>
      </w:pPr>
      <w:r>
        <w:rPr>
          <w:rFonts w:asciiTheme="minorEastAsia" w:hAnsiTheme="minorEastAsia" w:eastAsiaTheme="minorEastAsia"/>
        </w:rPr>
        <w:t>注重安全生产</w:t>
      </w:r>
      <w:r>
        <w:rPr>
          <w:rFonts w:hint="eastAsia" w:asciiTheme="minorEastAsia" w:hAnsiTheme="minorEastAsia" w:eastAsiaTheme="minorEastAsia"/>
        </w:rPr>
        <w:t>。</w:t>
      </w:r>
      <w:r>
        <w:rPr>
          <w:rFonts w:asciiTheme="minorEastAsia" w:hAnsiTheme="minorEastAsia" w:eastAsiaTheme="minorEastAsia"/>
        </w:rPr>
        <w:t>部分国家和地区加强了对石油化工企业的安全生产监管，要求企业推进危险工艺本质安全化改造，建设智慧化工园区，提高生产过程的安全性和可靠性。</w:t>
      </w:r>
    </w:p>
    <w:p>
      <w:pPr>
        <w:ind w:firstLine="562"/>
        <w:outlineLvl w:val="2"/>
        <w:rPr>
          <w:rFonts w:ascii="黑体" w:hAnsi="黑体" w:eastAsia="黑体" w:cs="Helvetica"/>
          <w:b/>
          <w:color w:val="000000" w:themeColor="text1"/>
          <w:kern w:val="0"/>
          <w:sz w:val="28"/>
          <w:szCs w:val="28"/>
        </w:rPr>
      </w:pPr>
      <w:bookmarkStart w:id="7" w:name="_Toc203057549"/>
      <w:r>
        <w:rPr>
          <w:rFonts w:ascii="黑体" w:hAnsi="黑体" w:eastAsia="黑体" w:cs="Helvetica"/>
          <w:b/>
          <w:color w:val="000000" w:themeColor="text1"/>
          <w:kern w:val="0"/>
          <w:sz w:val="28"/>
          <w:szCs w:val="28"/>
        </w:rPr>
        <w:t>1</w:t>
      </w:r>
      <w:r>
        <w:rPr>
          <w:rFonts w:hint="eastAsia" w:ascii="黑体" w:hAnsi="黑体" w:eastAsia="黑体" w:cs="Helvetica"/>
          <w:b/>
          <w:color w:val="000000" w:themeColor="text1"/>
          <w:kern w:val="0"/>
          <w:sz w:val="28"/>
          <w:szCs w:val="28"/>
        </w:rPr>
        <w:t>.1.</w:t>
      </w:r>
      <w:r>
        <w:rPr>
          <w:rFonts w:ascii="黑体" w:hAnsi="黑体" w:eastAsia="黑体" w:cs="Helvetica"/>
          <w:b/>
          <w:color w:val="000000" w:themeColor="text1"/>
          <w:kern w:val="0"/>
          <w:sz w:val="28"/>
          <w:szCs w:val="28"/>
        </w:rPr>
        <w:t xml:space="preserve">2 </w:t>
      </w:r>
      <w:r>
        <w:rPr>
          <w:rFonts w:hint="eastAsia" w:ascii="黑体" w:hAnsi="黑体" w:eastAsia="黑体" w:cs="Helvetica"/>
          <w:b/>
          <w:color w:val="000000" w:themeColor="text1"/>
          <w:kern w:val="0"/>
          <w:sz w:val="28"/>
          <w:szCs w:val="28"/>
        </w:rPr>
        <w:t>中国石油化工产业发展概况</w:t>
      </w:r>
      <w:bookmarkEnd w:id="7"/>
    </w:p>
    <w:p>
      <w:pPr>
        <w:ind w:firstLine="480"/>
        <w:rPr>
          <w:rFonts w:asciiTheme="majorEastAsia" w:hAnsiTheme="majorEastAsia" w:eastAsiaTheme="majorEastAsia"/>
        </w:rPr>
      </w:pPr>
      <w:r>
        <w:rPr>
          <w:rFonts w:hint="eastAsia" w:asciiTheme="majorEastAsia" w:hAnsiTheme="majorEastAsia" w:eastAsiaTheme="majorEastAsia"/>
        </w:rPr>
        <w:t>1</w:t>
      </w:r>
      <w:r>
        <w:rPr>
          <w:rFonts w:asciiTheme="majorEastAsia" w:hAnsiTheme="majorEastAsia" w:eastAsiaTheme="majorEastAsia"/>
        </w:rPr>
        <w:t>.市场规模</w:t>
      </w:r>
    </w:p>
    <w:p>
      <w:pPr>
        <w:ind w:firstLine="480"/>
        <w:rPr>
          <w:rFonts w:asciiTheme="majorEastAsia" w:hAnsiTheme="majorEastAsia" w:eastAsiaTheme="majorEastAsia"/>
        </w:rPr>
      </w:pPr>
      <w:r>
        <w:rPr>
          <w:rFonts w:asciiTheme="majorEastAsia" w:hAnsiTheme="majorEastAsia" w:eastAsiaTheme="majorEastAsia"/>
        </w:rPr>
        <w:t>2024 年我国石化行业实现营业收入 16.28 万亿元，连续 3 年稳定在 16 万亿元左右，占全国规模工业营业收入的比重稳定在 12% 左右。2024 年我国油气当量总产量同比增长 4.0%，主要化学品总产量增长 7.2%；油气表观消费总量同比增长 1.8%，主要化学品消费总量增长 6.1%。但行业利润总额 7897.1 亿元，同比下降 8.8%。</w:t>
      </w:r>
    </w:p>
    <w:p>
      <w:pPr>
        <w:ind w:firstLine="480"/>
        <w:rPr>
          <w:rFonts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.产业竞争格局</w:t>
      </w:r>
    </w:p>
    <w:p>
      <w:pPr>
        <w:ind w:firstLine="480"/>
        <w:rPr>
          <w:rFonts w:asciiTheme="majorEastAsia" w:hAnsiTheme="majorEastAsia" w:eastAsiaTheme="majorEastAsia"/>
        </w:rPr>
      </w:pPr>
      <w:r>
        <w:rPr>
          <w:rFonts w:asciiTheme="majorEastAsia" w:hAnsiTheme="majorEastAsia" w:eastAsiaTheme="majorEastAsia"/>
        </w:rPr>
        <w:t>中国石油、中国石化是产业龙头企业。恒力石化、荣盛石化、万华化学位于产业第一梯队。2024 年，两大龙头企业的总市场份额占到了整个石油和化工行业的 39.1%，其余企业市场份额均在 5% 以下。我国石油化工行业企业总量庞大，市场集中度仍然不高，竞争较为激烈。除了大型国有企业外，还有众多民营企业。</w:t>
      </w:r>
    </w:p>
    <w:p>
      <w:pPr>
        <w:ind w:firstLine="480"/>
        <w:rPr>
          <w:rFonts w:asciiTheme="majorEastAsia" w:hAnsiTheme="majorEastAsia" w:eastAsiaTheme="majorEastAsia"/>
        </w:rPr>
      </w:pPr>
      <w:r>
        <w:rPr>
          <w:rFonts w:hint="eastAsia" w:asciiTheme="majorEastAsia" w:hAnsiTheme="majorEastAsia" w:eastAsiaTheme="majorEastAsia"/>
        </w:rPr>
        <w:t>3</w:t>
      </w:r>
      <w:r>
        <w:rPr>
          <w:rFonts w:asciiTheme="majorEastAsia" w:hAnsiTheme="majorEastAsia" w:eastAsiaTheme="majorEastAsia"/>
        </w:rPr>
        <w:t>.产业分布</w:t>
      </w:r>
    </w:p>
    <w:p>
      <w:pPr>
        <w:ind w:firstLine="480"/>
        <w:rPr>
          <w:rFonts w:asciiTheme="majorEastAsia" w:hAnsiTheme="majorEastAsia" w:eastAsiaTheme="majorEastAsia"/>
        </w:rPr>
      </w:pPr>
      <w:r>
        <w:rPr>
          <w:rFonts w:asciiTheme="majorEastAsia" w:hAnsiTheme="majorEastAsia" w:eastAsiaTheme="majorEastAsia"/>
        </w:rPr>
        <w:t>我国石化产业主要集中在沿海地区，形成了七大世界级石化产业基地，分别是大连长兴岛（西中岛）、河北曹妃甸、江苏连云港、上海漕泾、浙江宁波、福建古雷和广东惠州。这些基地依托沿海优势，便于进口能源资源，形成产业集聚效应，发展炼化一体化等产业。</w:t>
      </w:r>
    </w:p>
    <w:p>
      <w:pPr>
        <w:ind w:firstLine="480"/>
        <w:rPr>
          <w:rFonts w:asciiTheme="majorEastAsia" w:hAnsiTheme="majorEastAsia" w:eastAsiaTheme="majorEastAsia"/>
        </w:rPr>
      </w:pPr>
      <w:r>
        <w:rPr>
          <w:rFonts w:hint="eastAsia" w:asciiTheme="majorEastAsia" w:hAnsiTheme="majorEastAsia" w:eastAsiaTheme="majorEastAsia"/>
        </w:rPr>
        <w:t>4</w:t>
      </w:r>
      <w:r>
        <w:rPr>
          <w:rFonts w:asciiTheme="majorEastAsia" w:hAnsiTheme="majorEastAsia" w:eastAsiaTheme="majorEastAsia"/>
        </w:rPr>
        <w:t>.产业政策环境</w:t>
      </w:r>
    </w:p>
    <w:p>
      <w:pPr>
        <w:ind w:firstLine="480"/>
        <w:rPr>
          <w:rFonts w:asciiTheme="majorEastAsia" w:hAnsiTheme="majorEastAsia" w:eastAsiaTheme="majorEastAsia"/>
        </w:rPr>
      </w:pPr>
      <w:r>
        <w:rPr>
          <w:rFonts w:asciiTheme="majorEastAsia" w:hAnsiTheme="majorEastAsia" w:eastAsiaTheme="majorEastAsia"/>
        </w:rPr>
        <w:t>“双碳” 战略推动石化行业加快绿色低碳转型，政策鼓励企业采用更环保的生产工艺和技术，减少污染物排放，提高资源利用效率。此外，政策支持石化产业向高端化、差异化发展，鼓励企业加强技术创新，突破高端聚烯烃、电子化学品等高端产品的技术瓶颈，解决 “卡脖子” 问题。</w:t>
      </w:r>
    </w:p>
    <w:p>
      <w:pPr>
        <w:ind w:firstLine="480"/>
        <w:rPr>
          <w:rFonts w:asciiTheme="majorEastAsia" w:hAnsiTheme="majorEastAsia" w:eastAsiaTheme="majorEastAsia"/>
        </w:rPr>
      </w:pPr>
      <w:r>
        <w:rPr>
          <w:rFonts w:hint="eastAsia" w:asciiTheme="majorEastAsia" w:hAnsiTheme="majorEastAsia" w:eastAsiaTheme="majorEastAsia"/>
        </w:rPr>
        <w:t>5</w:t>
      </w:r>
      <w:r>
        <w:rPr>
          <w:rFonts w:asciiTheme="majorEastAsia" w:hAnsiTheme="majorEastAsia" w:eastAsiaTheme="majorEastAsia"/>
        </w:rPr>
        <w:t>.产业发展机遇与挑战</w:t>
      </w:r>
    </w:p>
    <w:p>
      <w:pPr>
        <w:ind w:firstLine="480"/>
        <w:rPr>
          <w:rFonts w:asciiTheme="majorEastAsia" w:hAnsiTheme="majorEastAsia" w:eastAsiaTheme="majorEastAsia"/>
        </w:rPr>
      </w:pPr>
      <w:r>
        <w:rPr>
          <w:rFonts w:asciiTheme="majorEastAsia" w:hAnsiTheme="majorEastAsia" w:eastAsiaTheme="majorEastAsia"/>
        </w:rPr>
        <w:t>机遇：碳中和目标虽给石化企业带来绿色低碳转型压力，但也孕育着发展新能源、新材料、新业态的机遇，驱动行业重构产业链价值链。同时，随着全球经济的复苏和中国经济的发展，石油化工产品的市场需求仍有增长空间，特别是高端化工产品和专用化学品领域。</w:t>
      </w:r>
    </w:p>
    <w:p>
      <w:pPr>
        <w:ind w:firstLine="480"/>
        <w:rPr>
          <w:rFonts w:asciiTheme="majorEastAsia" w:hAnsiTheme="majorEastAsia" w:eastAsiaTheme="majorEastAsia"/>
        </w:rPr>
      </w:pPr>
      <w:r>
        <w:rPr>
          <w:rFonts w:asciiTheme="majorEastAsia" w:hAnsiTheme="majorEastAsia" w:eastAsiaTheme="majorEastAsia"/>
        </w:rPr>
        <w:t>挑战：石化产业长期存在供需失衡问题，基础原材料和中低端产品领域产能过剩，而高端化工品产能不足，精细化率不高，高端产品对外依存度高。此外，行业面临碳排放压力，需在实现碳减排目标过程中转变结构形态。与发达国家相比，我国石化行业还缺乏高端技术、核心技术和关键技术，创新能力有待提升。</w:t>
      </w:r>
    </w:p>
    <w:p>
      <w:pPr>
        <w:ind w:firstLine="480"/>
        <w:rPr>
          <w:rFonts w:asciiTheme="majorEastAsia" w:hAnsiTheme="majorEastAsia" w:eastAsiaTheme="majorEastAsia"/>
        </w:rPr>
      </w:pPr>
      <w:r>
        <w:rPr>
          <w:rFonts w:hint="eastAsia" w:asciiTheme="majorEastAsia" w:hAnsiTheme="majorEastAsia" w:eastAsiaTheme="majorEastAsia"/>
        </w:rPr>
        <w:t>6</w:t>
      </w:r>
      <w:r>
        <w:rPr>
          <w:rFonts w:asciiTheme="majorEastAsia" w:hAnsiTheme="majorEastAsia" w:eastAsiaTheme="majorEastAsia"/>
        </w:rPr>
        <w:t>.产业发展趋势</w:t>
      </w:r>
    </w:p>
    <w:p>
      <w:pPr>
        <w:ind w:firstLine="480"/>
        <w:rPr>
          <w:rFonts w:asciiTheme="majorEastAsia" w:hAnsiTheme="majorEastAsia" w:eastAsiaTheme="majorEastAsia"/>
        </w:rPr>
      </w:pPr>
      <w:r>
        <w:rPr>
          <w:rFonts w:asciiTheme="majorEastAsia" w:hAnsiTheme="majorEastAsia" w:eastAsiaTheme="majorEastAsia"/>
        </w:rPr>
        <w:t>未来，中国石油化工产业将持续向绿色低碳转型，加快推广应用节能降碳新技术，推动绿电替代和与绿氢耦合发展。同时，通过创新驱动向高端化、差异化发展，重点发展化工新材料、高端精细化工等新兴产业，提升产品附加值，减少对进口高端产品的依赖，努力解决 “卡脖子” 问题。</w:t>
      </w:r>
    </w:p>
    <w:p>
      <w:pPr>
        <w:ind w:firstLine="562"/>
        <w:outlineLvl w:val="1"/>
        <w:rPr>
          <w:rFonts w:ascii="黑体" w:hAnsi="黑体" w:eastAsia="黑体"/>
          <w:b/>
          <w:bCs/>
          <w:sz w:val="28"/>
          <w:szCs w:val="28"/>
        </w:rPr>
      </w:pPr>
      <w:bookmarkStart w:id="8" w:name="_Toc203057550"/>
      <w:r>
        <w:rPr>
          <w:rFonts w:ascii="黑体" w:hAnsi="黑体" w:eastAsia="黑体"/>
          <w:b/>
          <w:bCs/>
          <w:sz w:val="28"/>
          <w:szCs w:val="28"/>
        </w:rPr>
        <w:t>1</w:t>
      </w:r>
      <w:r>
        <w:rPr>
          <w:rFonts w:hint="eastAsia" w:ascii="黑体" w:hAnsi="黑体" w:eastAsia="黑体"/>
          <w:b/>
          <w:bCs/>
          <w:sz w:val="28"/>
          <w:szCs w:val="28"/>
        </w:rPr>
        <w:t>.2</w:t>
      </w:r>
      <w:r>
        <w:rPr>
          <w:rFonts w:ascii="黑体" w:hAnsi="黑体" w:eastAsia="黑体"/>
          <w:b/>
          <w:bCs/>
          <w:sz w:val="28"/>
          <w:szCs w:val="28"/>
        </w:rPr>
        <w:t xml:space="preserve"> </w:t>
      </w:r>
      <w:r>
        <w:rPr>
          <w:rFonts w:hint="eastAsia" w:ascii="黑体" w:hAnsi="黑体" w:eastAsia="黑体"/>
          <w:b/>
          <w:bCs/>
          <w:sz w:val="28"/>
          <w:szCs w:val="28"/>
        </w:rPr>
        <w:t>聊城市石油化工产业分析</w:t>
      </w:r>
      <w:bookmarkEnd w:id="8"/>
    </w:p>
    <w:p>
      <w:pPr>
        <w:ind w:firstLine="562"/>
        <w:outlineLvl w:val="2"/>
        <w:rPr>
          <w:rFonts w:ascii="黑体" w:hAnsi="黑体" w:eastAsia="黑体" w:cs="Helvetica"/>
          <w:b/>
          <w:color w:val="000000" w:themeColor="text1"/>
          <w:kern w:val="0"/>
          <w:sz w:val="28"/>
          <w:szCs w:val="28"/>
        </w:rPr>
      </w:pPr>
      <w:bookmarkStart w:id="9" w:name="_Toc203057551"/>
      <w:r>
        <w:rPr>
          <w:rFonts w:ascii="黑体" w:hAnsi="黑体" w:eastAsia="黑体" w:cs="Helvetica"/>
          <w:b/>
          <w:color w:val="000000" w:themeColor="text1"/>
          <w:kern w:val="0"/>
          <w:sz w:val="28"/>
          <w:szCs w:val="28"/>
        </w:rPr>
        <w:t>1</w:t>
      </w:r>
      <w:r>
        <w:rPr>
          <w:rFonts w:hint="eastAsia" w:ascii="黑体" w:hAnsi="黑体" w:eastAsia="黑体" w:cs="Helvetica"/>
          <w:b/>
          <w:color w:val="000000" w:themeColor="text1"/>
          <w:kern w:val="0"/>
          <w:sz w:val="28"/>
          <w:szCs w:val="28"/>
        </w:rPr>
        <w:t>.2.1</w:t>
      </w:r>
      <w:r>
        <w:rPr>
          <w:rFonts w:ascii="黑体" w:hAnsi="黑体" w:eastAsia="黑体" w:cs="Helvetica"/>
          <w:b/>
          <w:color w:val="000000" w:themeColor="text1"/>
          <w:kern w:val="0"/>
          <w:sz w:val="28"/>
          <w:szCs w:val="28"/>
        </w:rPr>
        <w:t xml:space="preserve"> </w:t>
      </w:r>
      <w:r>
        <w:rPr>
          <w:rFonts w:hint="eastAsia" w:ascii="黑体" w:hAnsi="黑体" w:eastAsia="黑体" w:cs="Helvetica"/>
          <w:b/>
          <w:color w:val="000000" w:themeColor="text1"/>
          <w:kern w:val="0"/>
          <w:sz w:val="28"/>
          <w:szCs w:val="28"/>
        </w:rPr>
        <w:t>产业发展概况</w:t>
      </w:r>
      <w:bookmarkEnd w:id="9"/>
    </w:p>
    <w:p>
      <w:pPr>
        <w:ind w:firstLine="480"/>
        <w:rPr>
          <w:rFonts w:ascii="Segoe UI" w:hAnsi="Segoe UI" w:cs="Segoe UI"/>
          <w:shd w:val="clear" w:color="auto" w:fill="FFFFFF"/>
        </w:rPr>
      </w:pPr>
      <w:r>
        <w:rPr>
          <w:rFonts w:ascii="Segoe UI" w:hAnsi="Segoe UI" w:cs="Segoe UI"/>
          <w:shd w:val="clear" w:color="auto" w:fill="FFFFFF"/>
        </w:rPr>
        <w:t>石油化工产业作为聊城市重要的传统产业之一，在区域经济发展中占据关键地位。历经多年发展，该产业已形成了一定规模与特色，在市场规模、产业结构等方面呈现出独特的发展态势。同时，在当前复杂多变的经济环境与产业变革趋势下，既面临着诸多发展机遇，也需应对一系列挑战。</w:t>
      </w:r>
    </w:p>
    <w:p>
      <w:pPr>
        <w:ind w:firstLine="480"/>
        <w:rPr>
          <w:rFonts w:asciiTheme="majorEastAsia" w:hAnsiTheme="majorEastAsia" w:eastAsiaTheme="majorEastAsia"/>
        </w:rPr>
      </w:pPr>
      <w:r>
        <w:rPr>
          <w:rFonts w:asciiTheme="majorEastAsia" w:hAnsiTheme="majorEastAsia" w:eastAsiaTheme="majorEastAsia"/>
        </w:rPr>
        <w:t>1.产业规模</w:t>
      </w:r>
    </w:p>
    <w:p>
      <w:pPr>
        <w:ind w:firstLine="480"/>
        <w:rPr>
          <w:rFonts w:asciiTheme="majorEastAsia" w:hAnsiTheme="majorEastAsia" w:eastAsiaTheme="majorEastAsia"/>
        </w:rPr>
      </w:pPr>
      <w:r>
        <w:rPr>
          <w:rFonts w:asciiTheme="majorEastAsia" w:hAnsiTheme="majorEastAsia" w:eastAsiaTheme="majorEastAsia"/>
        </w:rPr>
        <w:t>2023 年，聊城市规模以上化工产业企业展现出强劲的盈利能力，实现营业收入 695.93 亿元，利润高达 94.82 亿元，利润占全市规上工业利润的 57.26% ，凸显了化工产业在聊城市工业经济中的支柱性地位。当地积极推动产业发展，规划到 2025 年，力争规上化工企业营业收入突破 1000 亿元，展现出对产业增长的信心与期望。从产业发展的阶段性来看，目前正处于规模扩张与效益提升的关键时期，过往的良好营收表现为产业进一步发展提供了资金积累与市场基础。</w:t>
      </w:r>
    </w:p>
    <w:p>
      <w:pPr>
        <w:ind w:firstLine="480"/>
        <w:rPr>
          <w:rFonts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w:t>
      </w:r>
      <w:r>
        <w:rPr>
          <w:rFonts w:hint="eastAsia" w:asciiTheme="majorEastAsia" w:hAnsiTheme="majorEastAsia" w:eastAsiaTheme="majorEastAsia"/>
        </w:rPr>
        <w:t>产业结构</w:t>
      </w:r>
    </w:p>
    <w:p>
      <w:pPr>
        <w:ind w:firstLine="480"/>
        <w:rPr>
          <w:rFonts w:asciiTheme="majorEastAsia" w:hAnsiTheme="majorEastAsia" w:eastAsiaTheme="majorEastAsia"/>
        </w:rPr>
      </w:pPr>
      <w:r>
        <w:rPr>
          <w:rFonts w:asciiTheme="majorEastAsia" w:hAnsiTheme="majorEastAsia" w:eastAsiaTheme="majorEastAsia"/>
        </w:rPr>
        <w:t>聊城市拥有聊城化工产业园、莘县化工产业园、茌平化工产业园 3 个化工园区 ，产业集中度较高，化工产业产值占全市化工产业产值的 80% 左右。聊城化工产业园规划面积 17.95 平方公里，以煤化工、盐化工为基础，已建设 70 余套化工装置，年产各类化工产品 1000 万吨左右，是国内重要的化工产业基地之一。莘县化工产业园规划面积 10.48 平方公里，以盐化工、石油化工、精细化工为主导产业，产品涵盖 50 余种化工产品，荣获全国石油化工生产基地、全国盐化工生产基地等称号。茌平化工产业园规划面积 8.4 平方公里，依托信发集团循环经济产业链，具备 50 万吨烧碱、100 万吨电石的生产能力 。园区化发展促进了产业集聚，便于集中管理与资源共享，提升了产业整体竞争力。</w:t>
      </w:r>
    </w:p>
    <w:p>
      <w:pPr>
        <w:ind w:firstLine="480"/>
        <w:rPr>
          <w:rFonts w:asciiTheme="majorEastAsia" w:hAnsiTheme="majorEastAsia" w:eastAsiaTheme="majorEastAsia"/>
        </w:rPr>
      </w:pPr>
      <w:r>
        <w:rPr>
          <w:rFonts w:asciiTheme="majorEastAsia" w:hAnsiTheme="majorEastAsia" w:eastAsiaTheme="majorEastAsia"/>
        </w:rPr>
        <w:t>聊城市石油化工产业与煤化工、盐化工等协同发展，初步构建了化工新材料、精细化工等特色产业集群。产品种类丰富，涉及煤基精细化学品、化工新材料、橡胶助剂、化肥、农药、轮胎、涂料等 。在产业链方面，以鲁西化工为例，延伸了煤化工、盐化工、石油化工产品链，其聚碳酸酯、甲烷氯化物等产品产量在国内位居前列 。阳谷华泰化工的橡胶助剂产品，如防焦剂 CTP 建立了行业最全产业链，年产能 3 万吨，全球产销量 20 余年稳居第一 。然而，产业产品结构仍存在优化空间，大宗产品占比较大，精细化、差异化、功能化产品比重有待提高。</w:t>
      </w:r>
    </w:p>
    <w:p>
      <w:pPr>
        <w:ind w:firstLine="480"/>
        <w:rPr>
          <w:rFonts w:asciiTheme="majorEastAsia" w:hAnsiTheme="majorEastAsia" w:eastAsiaTheme="majorEastAsia"/>
        </w:rPr>
      </w:pPr>
      <w:r>
        <w:rPr>
          <w:rFonts w:asciiTheme="majorEastAsia" w:hAnsiTheme="majorEastAsia" w:eastAsiaTheme="majorEastAsia"/>
        </w:rPr>
        <w:t>3.</w:t>
      </w:r>
      <w:r>
        <w:rPr>
          <w:rFonts w:hint="eastAsia" w:asciiTheme="majorEastAsia" w:hAnsiTheme="majorEastAsia" w:eastAsiaTheme="majorEastAsia"/>
        </w:rPr>
        <w:t>产业竞争力</w:t>
      </w:r>
    </w:p>
    <w:p>
      <w:pPr>
        <w:ind w:firstLine="480"/>
        <w:rPr>
          <w:rFonts w:asciiTheme="majorEastAsia" w:hAnsiTheme="majorEastAsia" w:eastAsiaTheme="majorEastAsia"/>
        </w:rPr>
      </w:pPr>
      <w:r>
        <w:rPr>
          <w:rFonts w:hint="eastAsia" w:asciiTheme="majorEastAsia" w:hAnsiTheme="majorEastAsia" w:eastAsiaTheme="majorEastAsia"/>
        </w:rPr>
        <w:t>聊城市石油化工产业形成了</w:t>
      </w:r>
      <w:r>
        <w:rPr>
          <w:rFonts w:asciiTheme="majorEastAsia" w:hAnsiTheme="majorEastAsia" w:eastAsiaTheme="majorEastAsia"/>
        </w:rPr>
        <w:t>龙头企业引领</w:t>
      </w:r>
      <w:r>
        <w:rPr>
          <w:rFonts w:hint="eastAsia" w:asciiTheme="majorEastAsia" w:hAnsiTheme="majorEastAsia" w:eastAsiaTheme="majorEastAsia"/>
        </w:rPr>
        <w:t>，</w:t>
      </w:r>
      <w:r>
        <w:rPr>
          <w:rFonts w:asciiTheme="majorEastAsia" w:hAnsiTheme="majorEastAsia" w:eastAsiaTheme="majorEastAsia"/>
        </w:rPr>
        <w:t>中小企业</w:t>
      </w:r>
      <w:r>
        <w:rPr>
          <w:rFonts w:hint="eastAsia" w:asciiTheme="majorEastAsia" w:hAnsiTheme="majorEastAsia" w:eastAsiaTheme="majorEastAsia"/>
        </w:rPr>
        <w:t>协同</w:t>
      </w:r>
      <w:r>
        <w:rPr>
          <w:rFonts w:asciiTheme="majorEastAsia" w:hAnsiTheme="majorEastAsia" w:eastAsiaTheme="majorEastAsia"/>
        </w:rPr>
        <w:t>发展</w:t>
      </w:r>
      <w:r>
        <w:rPr>
          <w:rFonts w:hint="eastAsia" w:asciiTheme="majorEastAsia" w:hAnsiTheme="majorEastAsia" w:eastAsiaTheme="majorEastAsia"/>
        </w:rPr>
        <w:t>的产业格局。</w:t>
      </w:r>
      <w:r>
        <w:rPr>
          <w:rFonts w:asciiTheme="majorEastAsia" w:hAnsiTheme="majorEastAsia" w:eastAsiaTheme="majorEastAsia"/>
        </w:rPr>
        <w:t>聊城市培育出一批在国内化工行业占据重要地位的骨干企业。鲁西集团作为 “链主” 企业，不断拓展产品链，建设高端化工项目，在行业内具有强大的影响力与市场份额 。阳谷华泰化工凭借在橡胶助剂领域的技术优势与产品质量，在全球市场占据领先地位，其产品不仅技术水平国际领先，还建立了广泛的全球销售网络 。这些龙头企业在技术研发、市场拓展、品牌建设等方面发挥着引领作用，带动了整个产业的发展。</w:t>
      </w:r>
    </w:p>
    <w:p>
      <w:pPr>
        <w:ind w:firstLine="480"/>
        <w:rPr>
          <w:rFonts w:asciiTheme="majorEastAsia" w:hAnsiTheme="majorEastAsia" w:eastAsiaTheme="majorEastAsia"/>
        </w:rPr>
      </w:pPr>
      <w:r>
        <w:rPr>
          <w:rFonts w:asciiTheme="majorEastAsia" w:hAnsiTheme="majorEastAsia" w:eastAsiaTheme="majorEastAsia"/>
        </w:rPr>
        <w:t>除龙头企业外，聊城市还有众多中小企业。部分中小企业专注于细分领域，通过与大型企业配套协作，在产业链中找到生存空间。一些企业为大型化工企业提供原料初加工、零部件制造等服务。但整体来看，中小企业在技术创新能力、资金实力、市场开拓能力等方面相对薄弱，面临较大的市场竞争压力。</w:t>
      </w:r>
    </w:p>
    <w:p>
      <w:pPr>
        <w:ind w:firstLine="480"/>
        <w:rPr>
          <w:rFonts w:asciiTheme="majorEastAsia" w:hAnsiTheme="majorEastAsia" w:eastAsiaTheme="majorEastAsia"/>
        </w:rPr>
      </w:pPr>
      <w:r>
        <w:rPr>
          <w:rFonts w:hint="eastAsia" w:asciiTheme="majorEastAsia" w:hAnsiTheme="majorEastAsia" w:eastAsiaTheme="majorEastAsia"/>
        </w:rPr>
        <w:t>4</w:t>
      </w:r>
      <w:r>
        <w:rPr>
          <w:rFonts w:asciiTheme="majorEastAsia" w:hAnsiTheme="majorEastAsia" w:eastAsiaTheme="majorEastAsia"/>
        </w:rPr>
        <w:t>.</w:t>
      </w:r>
      <w:r>
        <w:rPr>
          <w:rFonts w:hint="eastAsia" w:asciiTheme="majorEastAsia" w:hAnsiTheme="majorEastAsia" w:eastAsiaTheme="majorEastAsia"/>
        </w:rPr>
        <w:t>产业发展机遇</w:t>
      </w:r>
    </w:p>
    <w:p>
      <w:pPr>
        <w:ind w:firstLine="480"/>
        <w:rPr>
          <w:rFonts w:asciiTheme="majorEastAsia" w:hAnsiTheme="majorEastAsia" w:eastAsiaTheme="majorEastAsia"/>
        </w:rPr>
      </w:pPr>
      <w:r>
        <w:rPr>
          <w:rFonts w:asciiTheme="majorEastAsia" w:hAnsiTheme="majorEastAsia" w:eastAsiaTheme="majorEastAsia"/>
        </w:rPr>
        <w:t>政策支持与产业规划：聊城市委、市政府将绿色化工产业列为重点打造的 4 条标志性产业链之一，出台了《关于支持绿色化工产业高质量发展的若干措施》等政策 。在《聊城市制造业强市三年攻坚突破行动计划（2023 - 2025 年）》中，明确提出聚焦精细化工、化工新材料等细分产业链，提升产业高端、绿色、安全发展水平，打造全国重要的现代化基础化工产业基地和精细化工示范基地 。政策支持为产业发展提供了良好的政策环境与资源保障。</w:t>
      </w:r>
    </w:p>
    <w:p>
      <w:pPr>
        <w:ind w:firstLine="480"/>
        <w:rPr>
          <w:rFonts w:asciiTheme="majorEastAsia" w:hAnsiTheme="majorEastAsia" w:eastAsiaTheme="majorEastAsia"/>
        </w:rPr>
      </w:pPr>
      <w:r>
        <w:rPr>
          <w:rFonts w:asciiTheme="majorEastAsia" w:hAnsiTheme="majorEastAsia" w:eastAsiaTheme="majorEastAsia"/>
        </w:rPr>
        <w:t>市场需求增长：随着国内经济的持续发展，化工新材料、精细化工产品等市场需求呈现增长态势。在新能源汽车、电子信息、高端装备制造等新兴产业快速发展的背景下，对高性能化工材料的需求不断增加，为聊城市石油化工产业向高端化发展提供了广阔的市场空间 。如化工新材料在电池隔膜、芯片制造等领域的应用，带动了相关产品的市场需求。</w:t>
      </w:r>
    </w:p>
    <w:p>
      <w:pPr>
        <w:ind w:firstLine="480"/>
        <w:rPr>
          <w:rFonts w:asciiTheme="majorEastAsia" w:hAnsiTheme="majorEastAsia" w:eastAsiaTheme="majorEastAsia"/>
        </w:rPr>
      </w:pPr>
      <w:r>
        <w:rPr>
          <w:rFonts w:asciiTheme="majorEastAsia" w:hAnsiTheme="majorEastAsia" w:eastAsiaTheme="majorEastAsia"/>
        </w:rPr>
        <w:t>5.</w:t>
      </w:r>
      <w:r>
        <w:rPr>
          <w:rFonts w:hint="eastAsia" w:asciiTheme="majorEastAsia" w:hAnsiTheme="majorEastAsia" w:eastAsiaTheme="majorEastAsia"/>
        </w:rPr>
        <w:t>产业发展面临的挑战</w:t>
      </w:r>
    </w:p>
    <w:p>
      <w:pPr>
        <w:ind w:firstLine="480"/>
        <w:rPr>
          <w:rFonts w:asciiTheme="majorEastAsia" w:hAnsiTheme="majorEastAsia" w:eastAsiaTheme="majorEastAsia"/>
        </w:rPr>
      </w:pPr>
      <w:r>
        <w:rPr>
          <w:rFonts w:asciiTheme="majorEastAsia" w:hAnsiTheme="majorEastAsia" w:eastAsiaTheme="majorEastAsia"/>
        </w:rPr>
        <w:t>承载能力不足</w:t>
      </w:r>
      <w:r>
        <w:rPr>
          <w:rFonts w:hint="eastAsia" w:asciiTheme="majorEastAsia" w:hAnsiTheme="majorEastAsia" w:eastAsiaTheme="majorEastAsia"/>
        </w:rPr>
        <w:t>。</w:t>
      </w:r>
      <w:r>
        <w:rPr>
          <w:rFonts w:asciiTheme="majorEastAsia" w:hAnsiTheme="majorEastAsia" w:eastAsiaTheme="majorEastAsia"/>
        </w:rPr>
        <w:t>与周边地市相比，聊城市化工园区和监控点个数较少，产业整体规模偏小。3 个化工园区容量接近饱和，莘县、茌平化工园区虽已成功扩区增加 7000 亩土地，但仍面临迫切的进一步扩区需求，限制了优质项目的引入与产业规模的进一步扩张 。</w:t>
      </w:r>
    </w:p>
    <w:p>
      <w:pPr>
        <w:ind w:firstLine="480"/>
        <w:rPr>
          <w:rFonts w:asciiTheme="majorEastAsia" w:hAnsiTheme="majorEastAsia" w:eastAsiaTheme="majorEastAsia"/>
        </w:rPr>
      </w:pPr>
      <w:r>
        <w:rPr>
          <w:rFonts w:asciiTheme="majorEastAsia" w:hAnsiTheme="majorEastAsia" w:eastAsiaTheme="majorEastAsia"/>
        </w:rPr>
        <w:t>产品结构不合理</w:t>
      </w:r>
      <w:r>
        <w:rPr>
          <w:rFonts w:hint="eastAsia" w:asciiTheme="majorEastAsia" w:hAnsiTheme="majorEastAsia" w:eastAsiaTheme="majorEastAsia"/>
        </w:rPr>
        <w:t>。</w:t>
      </w:r>
      <w:r>
        <w:rPr>
          <w:rFonts w:asciiTheme="majorEastAsia" w:hAnsiTheme="majorEastAsia" w:eastAsiaTheme="majorEastAsia"/>
        </w:rPr>
        <w:t>产业中大宗产品占比较大，精细化、差异化、功能化产品占比不高，导致产品附加值较低，市场竞争力受限。在市场需求日益多元化、高端化的趋势下，难以满足市场对高端化工产品的需求，影响了产业的盈利能力与可持续发展能力 。</w:t>
      </w:r>
    </w:p>
    <w:p>
      <w:pPr>
        <w:ind w:firstLine="480"/>
        <w:rPr>
          <w:rFonts w:asciiTheme="majorEastAsia" w:hAnsiTheme="majorEastAsia" w:eastAsiaTheme="majorEastAsia"/>
        </w:rPr>
      </w:pPr>
      <w:r>
        <w:rPr>
          <w:rFonts w:asciiTheme="majorEastAsia" w:hAnsiTheme="majorEastAsia" w:eastAsiaTheme="majorEastAsia"/>
        </w:rPr>
        <w:t>节能降碳压力大</w:t>
      </w:r>
      <w:r>
        <w:rPr>
          <w:rFonts w:hint="eastAsia" w:asciiTheme="majorEastAsia" w:hAnsiTheme="majorEastAsia" w:eastAsiaTheme="majorEastAsia"/>
        </w:rPr>
        <w:t>。</w:t>
      </w:r>
      <w:r>
        <w:rPr>
          <w:rFonts w:asciiTheme="majorEastAsia" w:hAnsiTheme="majorEastAsia" w:eastAsiaTheme="majorEastAsia"/>
        </w:rPr>
        <w:t>在 “双碳” 目标背景下，化工产业面临较大的节能降碳压力。聊城化工产业园万元主营业务收入能耗 0.7 吨标准煤，高于 0.3 吨标准煤的省定标准 。部分企业生产工艺相对落后，能源利用效率低，碳排放量大，需要加大技术改造投入，推进绿色化转型，以满足环保要求。</w:t>
      </w:r>
    </w:p>
    <w:p>
      <w:pPr>
        <w:ind w:firstLine="480"/>
        <w:rPr>
          <w:rFonts w:asciiTheme="majorEastAsia" w:hAnsiTheme="majorEastAsia" w:eastAsiaTheme="majorEastAsia"/>
        </w:rPr>
      </w:pPr>
      <w:r>
        <w:rPr>
          <w:rFonts w:asciiTheme="majorEastAsia" w:hAnsiTheme="majorEastAsia" w:eastAsiaTheme="majorEastAsia"/>
        </w:rPr>
        <w:t>智能化水平参差不齐</w:t>
      </w:r>
      <w:r>
        <w:rPr>
          <w:rFonts w:hint="eastAsia" w:asciiTheme="majorEastAsia" w:hAnsiTheme="majorEastAsia" w:eastAsiaTheme="majorEastAsia"/>
        </w:rPr>
        <w:t>。</w:t>
      </w:r>
      <w:r>
        <w:rPr>
          <w:rFonts w:asciiTheme="majorEastAsia" w:hAnsiTheme="majorEastAsia" w:eastAsiaTheme="majorEastAsia"/>
        </w:rPr>
        <w:t>除鲁西化工、阳谷华泰、齐鲁漆业等部分企业智能化水平较高外，其他化工企业智能化水平较低。在数字化时代，智能化水平不足影响了企业生产效率的提升、安全生产管理以及市场响应速度，制约了产业整体竞争力的提升。</w:t>
      </w:r>
    </w:p>
    <w:p>
      <w:pPr>
        <w:ind w:firstLine="480"/>
        <w:rPr>
          <w:rFonts w:asciiTheme="majorEastAsia" w:hAnsiTheme="majorEastAsia" w:eastAsiaTheme="majorEastAsia"/>
        </w:rPr>
      </w:pPr>
      <w:r>
        <w:rPr>
          <w:rFonts w:asciiTheme="majorEastAsia" w:hAnsiTheme="majorEastAsia" w:eastAsiaTheme="majorEastAsia"/>
        </w:rPr>
        <w:t>6.</w:t>
      </w:r>
      <w:r>
        <w:rPr>
          <w:rFonts w:hint="eastAsia" w:asciiTheme="majorEastAsia" w:hAnsiTheme="majorEastAsia" w:eastAsiaTheme="majorEastAsia"/>
        </w:rPr>
        <w:t>产业发展趋势</w:t>
      </w:r>
    </w:p>
    <w:p>
      <w:pPr>
        <w:ind w:firstLine="480"/>
        <w:rPr>
          <w:rFonts w:asciiTheme="majorEastAsia" w:hAnsiTheme="majorEastAsia" w:eastAsiaTheme="majorEastAsia"/>
        </w:rPr>
      </w:pPr>
      <w:r>
        <w:rPr>
          <w:rFonts w:asciiTheme="majorEastAsia" w:hAnsiTheme="majorEastAsia" w:eastAsiaTheme="majorEastAsia"/>
        </w:rPr>
        <w:t>产品升级与技术创新</w:t>
      </w:r>
      <w:r>
        <w:rPr>
          <w:rFonts w:hint="eastAsia" w:asciiTheme="majorEastAsia" w:hAnsiTheme="majorEastAsia" w:eastAsiaTheme="majorEastAsia"/>
        </w:rPr>
        <w:t>。</w:t>
      </w:r>
      <w:r>
        <w:rPr>
          <w:rFonts w:asciiTheme="majorEastAsia" w:hAnsiTheme="majorEastAsia" w:eastAsiaTheme="majorEastAsia"/>
        </w:rPr>
        <w:t>未来，聊城市石油化工产业将加大在化工新材料、高端精细化工产品等领域的研发与生产投入。企业将通过技术创新，开发高端聚碳酸酯树脂、尼龙6等差异化产品技术及应用，提高产品附加值</w:t>
      </w:r>
      <w:r>
        <w:rPr>
          <w:rFonts w:hint="eastAsia" w:asciiTheme="majorEastAsia" w:hAnsiTheme="majorEastAsia" w:eastAsiaTheme="majorEastAsia"/>
        </w:rPr>
        <w:t>。</w:t>
      </w:r>
    </w:p>
    <w:p>
      <w:pPr>
        <w:ind w:firstLine="480"/>
        <w:rPr>
          <w:rFonts w:asciiTheme="majorEastAsia" w:hAnsiTheme="majorEastAsia" w:eastAsiaTheme="majorEastAsia"/>
        </w:rPr>
      </w:pPr>
      <w:r>
        <w:rPr>
          <w:rFonts w:asciiTheme="majorEastAsia" w:hAnsiTheme="majorEastAsia" w:eastAsiaTheme="majorEastAsia"/>
        </w:rPr>
        <w:t>产业延伸与拓展</w:t>
      </w:r>
      <w:r>
        <w:rPr>
          <w:rFonts w:hint="eastAsia" w:asciiTheme="majorEastAsia" w:hAnsiTheme="majorEastAsia" w:eastAsiaTheme="majorEastAsia"/>
        </w:rPr>
        <w:t>。</w:t>
      </w:r>
      <w:r>
        <w:rPr>
          <w:rFonts w:asciiTheme="majorEastAsia" w:hAnsiTheme="majorEastAsia" w:eastAsiaTheme="majorEastAsia"/>
        </w:rPr>
        <w:t>进一步延伸产业链条，加强上下游产业协同发展。以现有产业为基础，向上游拓展原料多元化渠道，向下游拓展高附加值产品领域。</w:t>
      </w:r>
    </w:p>
    <w:p>
      <w:pPr>
        <w:ind w:firstLine="480"/>
        <w:rPr>
          <w:rFonts w:asciiTheme="majorEastAsia" w:hAnsiTheme="majorEastAsia" w:eastAsiaTheme="majorEastAsia"/>
        </w:rPr>
      </w:pPr>
      <w:r>
        <w:rPr>
          <w:rFonts w:asciiTheme="majorEastAsia" w:hAnsiTheme="majorEastAsia" w:eastAsiaTheme="majorEastAsia"/>
        </w:rPr>
        <w:t>节能减排与清洁生产</w:t>
      </w:r>
      <w:r>
        <w:rPr>
          <w:rFonts w:hint="eastAsia" w:asciiTheme="majorEastAsia" w:hAnsiTheme="majorEastAsia" w:eastAsiaTheme="majorEastAsia"/>
        </w:rPr>
        <w:t>。</w:t>
      </w:r>
      <w:r>
        <w:rPr>
          <w:rFonts w:asciiTheme="majorEastAsia" w:hAnsiTheme="majorEastAsia" w:eastAsiaTheme="majorEastAsia"/>
        </w:rPr>
        <w:t>企业将加快绿色低碳技术攻关，推进生产工艺的绿色化改造。研究热源替代、能量梯级利用等技术，提高能源利用效率，降低碳排放。同时，开展水资源综合利用技术研究，提升水资源集约利用水平，实现废水零排放、固体废物合规处置等环保目标，推动产业绿色可持续发展。</w:t>
      </w:r>
    </w:p>
    <w:p>
      <w:pPr>
        <w:ind w:firstLine="480"/>
        <w:rPr>
          <w:rFonts w:asciiTheme="majorEastAsia" w:hAnsiTheme="majorEastAsia" w:eastAsiaTheme="majorEastAsia"/>
        </w:rPr>
      </w:pPr>
      <w:r>
        <w:rPr>
          <w:rFonts w:asciiTheme="majorEastAsia" w:hAnsiTheme="majorEastAsia" w:eastAsiaTheme="majorEastAsia"/>
        </w:rPr>
        <w:t>循环经济发展</w:t>
      </w:r>
      <w:r>
        <w:rPr>
          <w:rFonts w:hint="eastAsia" w:asciiTheme="majorEastAsia" w:hAnsiTheme="majorEastAsia" w:eastAsiaTheme="majorEastAsia"/>
        </w:rPr>
        <w:t>。</w:t>
      </w:r>
      <w:r>
        <w:rPr>
          <w:rFonts w:asciiTheme="majorEastAsia" w:hAnsiTheme="majorEastAsia" w:eastAsiaTheme="majorEastAsia"/>
        </w:rPr>
        <w:t>继续深化循环经济模式，加强企业内部“小循环”与园区间“大循环”。将上游企业的废料作为下游企业的原料，实现资源的最大化利用。</w:t>
      </w:r>
    </w:p>
    <w:p>
      <w:pPr>
        <w:ind w:firstLine="480"/>
        <w:rPr>
          <w:rFonts w:asciiTheme="majorEastAsia" w:hAnsiTheme="majorEastAsia" w:eastAsiaTheme="majorEastAsia"/>
        </w:rPr>
      </w:pPr>
      <w:r>
        <w:rPr>
          <w:rFonts w:asciiTheme="majorEastAsia" w:hAnsiTheme="majorEastAsia" w:eastAsiaTheme="majorEastAsia"/>
        </w:rPr>
        <w:t>数字化管理与智能制造</w:t>
      </w:r>
      <w:r>
        <w:rPr>
          <w:rFonts w:hint="eastAsia" w:asciiTheme="majorEastAsia" w:hAnsiTheme="majorEastAsia" w:eastAsiaTheme="majorEastAsia"/>
        </w:rPr>
        <w:t>。</w:t>
      </w:r>
      <w:r>
        <w:rPr>
          <w:rFonts w:asciiTheme="majorEastAsia" w:hAnsiTheme="majorEastAsia" w:eastAsiaTheme="majorEastAsia"/>
        </w:rPr>
        <w:t>加快推进企业数字化转型，提升智能制造水平。利用物联网、大数据、人工智能等技术，实现生产过程的自动化控制、智能化监测与管理。通过引入先进的生产设备与管理系统，提高生产效率，降低人力成本，提升安全生产水平，增强企业市场竞争力。</w:t>
      </w:r>
    </w:p>
    <w:p>
      <w:pPr>
        <w:ind w:firstLine="480"/>
        <w:rPr>
          <w:rFonts w:asciiTheme="majorEastAsia" w:hAnsiTheme="majorEastAsia" w:eastAsiaTheme="majorEastAsia"/>
        </w:rPr>
      </w:pPr>
      <w:r>
        <w:rPr>
          <w:rFonts w:asciiTheme="majorEastAsia" w:hAnsiTheme="majorEastAsia" w:eastAsiaTheme="majorEastAsia"/>
        </w:rPr>
        <w:t>智慧园区深化建设</w:t>
      </w:r>
      <w:r>
        <w:rPr>
          <w:rFonts w:hint="eastAsia" w:asciiTheme="majorEastAsia" w:hAnsiTheme="majorEastAsia" w:eastAsiaTheme="majorEastAsia"/>
        </w:rPr>
        <w:t>。</w:t>
      </w:r>
      <w:r>
        <w:rPr>
          <w:rFonts w:asciiTheme="majorEastAsia" w:hAnsiTheme="majorEastAsia" w:eastAsiaTheme="majorEastAsia"/>
        </w:rPr>
        <w:t>各化工园区将继续深化智慧园区建设，完善信息管理平台功能。加强园区内企业间的信息共享与协同合作，实现园区资源的优化配置。同时，利用智慧化手段提升园区的安全管理、环保监测等能力，为产业发展提供更加稳定、高效的发展环境。</w:t>
      </w:r>
    </w:p>
    <w:p>
      <w:pPr>
        <w:ind w:firstLine="480"/>
        <w:rPr>
          <w:rFonts w:asciiTheme="majorEastAsia" w:hAnsiTheme="majorEastAsia" w:eastAsiaTheme="majorEastAsia"/>
        </w:rPr>
      </w:pPr>
      <w:r>
        <w:rPr>
          <w:rFonts w:asciiTheme="majorEastAsia" w:hAnsiTheme="majorEastAsia" w:eastAsiaTheme="majorEastAsia"/>
        </w:rPr>
        <w:t>7.</w:t>
      </w:r>
      <w:r>
        <w:rPr>
          <w:rFonts w:hint="eastAsia" w:asciiTheme="majorEastAsia" w:hAnsiTheme="majorEastAsia" w:eastAsiaTheme="majorEastAsia"/>
        </w:rPr>
        <w:t>产业发展</w:t>
      </w:r>
      <w:r>
        <w:rPr>
          <w:rFonts w:asciiTheme="majorEastAsia" w:hAnsiTheme="majorEastAsia" w:eastAsiaTheme="majorEastAsia"/>
        </w:rPr>
        <w:t>政策</w:t>
      </w:r>
      <w:r>
        <w:rPr>
          <w:rFonts w:hint="eastAsia" w:asciiTheme="majorEastAsia" w:hAnsiTheme="majorEastAsia" w:eastAsiaTheme="majorEastAsia"/>
        </w:rPr>
        <w:t>环境</w:t>
      </w:r>
    </w:p>
    <w:p>
      <w:pPr>
        <w:ind w:firstLine="480"/>
        <w:rPr>
          <w:rFonts w:ascii="Segoe UI" w:hAnsi="Segoe UI" w:cs="Segoe UI"/>
          <w:shd w:val="clear" w:color="auto" w:fill="FFFFFF"/>
        </w:rPr>
      </w:pPr>
      <w:r>
        <w:rPr>
          <w:rFonts w:ascii="Segoe UI" w:hAnsi="Segoe UI" w:cs="Segoe UI"/>
          <w:shd w:val="clear" w:color="auto" w:fill="FFFFFF"/>
        </w:rPr>
        <w:t>聊城市委、市政府高度重视绿色化工产业发展，将其列为重点打造的 4 条标志性产业链之一 。出台了《关于支持绿色化工产业高质量发展的若干措施》，从提升园区承载能力、加快优质项目落地、推动绿色化循环化改造、促进数字化智能化转型、提升本质安全水平等多方面给予政策支持 。在《聊城市制造业强市三年攻坚突破行动计划（2023 - 2025 年）》中，明确提出聚焦精细化工、化工新材料等细分产业链，提升产业高端、绿色、安全发展水平，打造全国重要的现代化基础化工产业基地和精细化工示范基地 ，为产业发展提供了良好的政策导向与保障。</w:t>
      </w:r>
    </w:p>
    <w:p>
      <w:pPr>
        <w:ind w:firstLine="480"/>
      </w:pPr>
      <w:r>
        <w:rPr>
          <w:rFonts w:hint="eastAsia" w:ascii="Segoe UI" w:hAnsi="Segoe UI" w:cs="Segoe UI"/>
          <w:shd w:val="clear" w:color="auto" w:fill="FFFFFF"/>
        </w:rPr>
        <w:t>总体而言，</w:t>
      </w:r>
      <w:r>
        <w:rPr>
          <w:rFonts w:ascii="Segoe UI" w:hAnsi="Segoe UI" w:cs="Segoe UI"/>
          <w:shd w:val="clear" w:color="auto" w:fill="FFFFFF"/>
        </w:rPr>
        <w:t>聊城市石油化工产业在市场规模、产业结构、产业竞争力等方面已取得一定成绩，但也面临承载能力不足、产品结构不合理、节能降碳压力大以及智能化水平参差不齐等挑战。在政策支持与市场需求增长的机遇下，产业未来将朝着高端化、绿色化、智慧化方向发展。</w:t>
      </w:r>
    </w:p>
    <w:p>
      <w:pPr>
        <w:ind w:firstLine="562"/>
        <w:outlineLvl w:val="2"/>
        <w:rPr>
          <w:rFonts w:ascii="黑体" w:hAnsi="黑体" w:eastAsia="黑体" w:cs="Helvetica"/>
          <w:b/>
          <w:color w:val="000000" w:themeColor="text1"/>
          <w:kern w:val="0"/>
          <w:sz w:val="28"/>
          <w:szCs w:val="28"/>
        </w:rPr>
      </w:pPr>
      <w:bookmarkStart w:id="10" w:name="_Toc203057552"/>
      <w:r>
        <w:rPr>
          <w:rFonts w:ascii="黑体" w:hAnsi="黑体" w:eastAsia="黑体" w:cs="Helvetica"/>
          <w:b/>
          <w:color w:val="000000" w:themeColor="text1"/>
          <w:kern w:val="0"/>
          <w:sz w:val="28"/>
          <w:szCs w:val="28"/>
        </w:rPr>
        <w:t>1</w:t>
      </w:r>
      <w:r>
        <w:rPr>
          <w:rFonts w:hint="eastAsia" w:ascii="黑体" w:hAnsi="黑体" w:eastAsia="黑体" w:cs="Helvetica"/>
          <w:b/>
          <w:color w:val="000000" w:themeColor="text1"/>
          <w:kern w:val="0"/>
          <w:sz w:val="28"/>
          <w:szCs w:val="28"/>
        </w:rPr>
        <w:t>.2.2</w:t>
      </w:r>
      <w:r>
        <w:rPr>
          <w:rFonts w:ascii="黑体" w:hAnsi="黑体" w:eastAsia="黑体" w:cs="Helvetica"/>
          <w:b/>
          <w:color w:val="000000" w:themeColor="text1"/>
          <w:kern w:val="0"/>
          <w:sz w:val="28"/>
          <w:szCs w:val="28"/>
        </w:rPr>
        <w:t xml:space="preserve"> </w:t>
      </w:r>
      <w:r>
        <w:rPr>
          <w:rFonts w:hint="eastAsia" w:ascii="黑体" w:hAnsi="黑体" w:eastAsia="黑体" w:cs="Helvetica"/>
          <w:b/>
          <w:color w:val="000000" w:themeColor="text1"/>
          <w:kern w:val="0"/>
          <w:sz w:val="28"/>
          <w:szCs w:val="28"/>
        </w:rPr>
        <w:t>重点企业</w:t>
      </w:r>
      <w:bookmarkEnd w:id="10"/>
    </w:p>
    <w:p>
      <w:pPr>
        <w:ind w:firstLine="482"/>
        <w:rPr>
          <w:rFonts w:cs="Times New Roman" w:asciiTheme="minorEastAsia" w:hAnsiTheme="minorEastAsia" w:eastAsiaTheme="minorEastAsia"/>
          <w:b/>
          <w:bCs/>
        </w:rPr>
      </w:pPr>
      <w:r>
        <w:rPr>
          <w:rFonts w:cs="Times New Roman" w:asciiTheme="minorEastAsia" w:hAnsiTheme="minorEastAsia" w:eastAsiaTheme="minorEastAsia"/>
          <w:b/>
          <w:bCs/>
        </w:rPr>
        <w:t>1.</w:t>
      </w:r>
      <w:r>
        <w:rPr>
          <w:rStyle w:val="24"/>
          <w:rFonts w:ascii="Segoe UI" w:hAnsi="Segoe UI" w:cs="Segoe UI"/>
          <w:shd w:val="clear" w:color="auto" w:fill="FFFFFF"/>
        </w:rPr>
        <w:t>鲁西化工集团股份有限公司</w:t>
      </w:r>
    </w:p>
    <w:p>
      <w:pPr>
        <w:ind w:firstLine="480"/>
        <w:rPr>
          <w:rFonts w:cs="Segoe UI" w:asciiTheme="majorEastAsia" w:hAnsiTheme="majorEastAsia" w:eastAsiaTheme="majorEastAsia"/>
          <w:shd w:val="clear" w:color="auto" w:fill="FFFFFF"/>
        </w:rPr>
      </w:pPr>
      <w:r>
        <w:rPr>
          <w:rFonts w:hint="eastAsia" w:cs="Segoe UI" w:asciiTheme="majorEastAsia" w:hAnsiTheme="majorEastAsia" w:eastAsiaTheme="majorEastAsia"/>
          <w:shd w:val="clear" w:color="auto" w:fill="FFFFFF"/>
        </w:rPr>
        <w:t>鲁西化工集团股份有限公司是国有控股企业，1998年8月在深交所上市。其前身为1976年建设的万吨小氮肥企业，2020年加入中国中化。</w:t>
      </w:r>
    </w:p>
    <w:p>
      <w:pPr>
        <w:ind w:firstLine="480"/>
        <w:rPr>
          <w:rFonts w:cs="Segoe UI" w:asciiTheme="majorEastAsia" w:hAnsiTheme="majorEastAsia" w:eastAsiaTheme="majorEastAsia"/>
          <w:shd w:val="clear" w:color="auto" w:fill="FFFFFF"/>
        </w:rPr>
      </w:pPr>
      <w:r>
        <w:rPr>
          <w:rFonts w:hint="eastAsia" w:cs="Segoe UI" w:asciiTheme="majorEastAsia" w:hAnsiTheme="majorEastAsia" w:eastAsiaTheme="majorEastAsia"/>
          <w:shd w:val="clear" w:color="auto" w:fill="FFFFFF"/>
        </w:rPr>
        <w:t>公司产业涉及化工新材料、基础化工、化肥、装备制造安装及化工研究设计等，具备年产400万吨化工产品、350万吨化肥产品的生产能力，化工装备年制造能力15万吨以上。主要生产聚碳酸酯、己内酰胺、尼龙 6、双氧水、多元醇、高端新型制冷剂、甲酸等百余类产品，是全国最大的化肥生产企业之一，“鲁西牌” 复合肥为 “中国名牌产品”。</w:t>
      </w:r>
    </w:p>
    <w:p>
      <w:pPr>
        <w:ind w:firstLine="480"/>
        <w:rPr>
          <w:rFonts w:cs="Segoe UI" w:asciiTheme="majorEastAsia" w:hAnsiTheme="majorEastAsia" w:eastAsiaTheme="majorEastAsia"/>
          <w:shd w:val="clear" w:color="auto" w:fill="FFFFFF"/>
        </w:rPr>
      </w:pPr>
      <w:r>
        <w:rPr>
          <w:rFonts w:hint="eastAsia" w:cs="Segoe UI" w:asciiTheme="majorEastAsia" w:hAnsiTheme="majorEastAsia" w:eastAsiaTheme="majorEastAsia"/>
          <w:shd w:val="clear" w:color="auto" w:fill="FFFFFF"/>
        </w:rPr>
        <w:t>鲁西化工形成了“煤、盐、氟、硅和化工新材料”相互关联的产品链条，旗下化工园区建成面积达7平方公里，被认定为“中国化工新材料（聊城）产业园”和“中国智慧化工园区试点示范单位”。</w:t>
      </w:r>
    </w:p>
    <w:p>
      <w:pPr>
        <w:ind w:firstLine="480"/>
        <w:rPr>
          <w:rFonts w:cs="Segoe UI" w:asciiTheme="majorEastAsia" w:hAnsiTheme="majorEastAsia" w:eastAsiaTheme="majorEastAsia"/>
          <w:shd w:val="clear" w:color="auto" w:fill="FFFFFF"/>
        </w:rPr>
      </w:pPr>
      <w:r>
        <w:rPr>
          <w:rFonts w:hint="eastAsia" w:cs="Segoe UI" w:asciiTheme="majorEastAsia" w:hAnsiTheme="majorEastAsia" w:eastAsiaTheme="majorEastAsia"/>
          <w:shd w:val="clear" w:color="auto" w:fill="FFFFFF"/>
        </w:rPr>
        <w:t>公司荣获“全国五一劳动奖状”“中国化工行业技术创新示范企业”等诸多荣誉，位列2024山东企业500强第99位。未来，公司将借助中国中化资源，发挥园区优势，巩固扩大优势产品规模，加快延链、补链、强链，发展高附加值产品。</w:t>
      </w:r>
    </w:p>
    <w:p>
      <w:pPr>
        <w:ind w:firstLine="480"/>
        <w:rPr>
          <w:rFonts w:cs="Segoe UI" w:asciiTheme="majorEastAsia" w:hAnsiTheme="majorEastAsia" w:eastAsiaTheme="majorEastAsia"/>
          <w:shd w:val="clear" w:color="auto" w:fill="FFFFFF"/>
        </w:rPr>
      </w:pPr>
      <w:r>
        <w:rPr>
          <w:rFonts w:hint="eastAsia" w:cs="Segoe UI" w:asciiTheme="majorEastAsia" w:hAnsiTheme="majorEastAsia" w:eastAsiaTheme="majorEastAsia"/>
          <w:shd w:val="clear" w:color="auto" w:fill="FFFFFF"/>
        </w:rPr>
        <w:t>当前，鲁西化工共申请专利</w:t>
      </w:r>
      <w:r>
        <w:rPr>
          <w:rFonts w:cs="Segoe UI" w:asciiTheme="majorEastAsia" w:hAnsiTheme="majorEastAsia" w:eastAsiaTheme="majorEastAsia"/>
          <w:shd w:val="clear" w:color="auto" w:fill="FFFFFF"/>
        </w:rPr>
        <w:t>899</w:t>
      </w:r>
      <w:r>
        <w:rPr>
          <w:rFonts w:hint="eastAsia" w:cs="Segoe UI" w:asciiTheme="majorEastAsia" w:hAnsiTheme="majorEastAsia" w:eastAsiaTheme="majorEastAsia"/>
          <w:shd w:val="clear" w:color="auto" w:fill="FFFFFF"/>
        </w:rPr>
        <w:t>件，包括发明专利</w:t>
      </w:r>
      <w:r>
        <w:rPr>
          <w:rFonts w:cs="Segoe UI" w:asciiTheme="majorEastAsia" w:hAnsiTheme="majorEastAsia" w:eastAsiaTheme="majorEastAsia"/>
          <w:shd w:val="clear" w:color="auto" w:fill="FFFFFF"/>
        </w:rPr>
        <w:t>344</w:t>
      </w:r>
      <w:r>
        <w:rPr>
          <w:rFonts w:hint="eastAsia" w:cs="Segoe UI" w:asciiTheme="majorEastAsia" w:hAnsiTheme="majorEastAsia" w:eastAsiaTheme="majorEastAsia"/>
          <w:shd w:val="clear" w:color="auto" w:fill="FFFFFF"/>
        </w:rPr>
        <w:t>件，实用新型</w:t>
      </w:r>
      <w:r>
        <w:rPr>
          <w:rFonts w:cs="Segoe UI" w:asciiTheme="majorEastAsia" w:hAnsiTheme="majorEastAsia" w:eastAsiaTheme="majorEastAsia"/>
          <w:shd w:val="clear" w:color="auto" w:fill="FFFFFF"/>
        </w:rPr>
        <w:t>548</w:t>
      </w:r>
      <w:r>
        <w:rPr>
          <w:rFonts w:hint="eastAsia" w:cs="Segoe UI" w:asciiTheme="majorEastAsia" w:hAnsiTheme="majorEastAsia" w:eastAsiaTheme="majorEastAsia"/>
          <w:shd w:val="clear" w:color="auto" w:fill="FFFFFF"/>
        </w:rPr>
        <w:t>件，外观设计</w:t>
      </w:r>
      <w:r>
        <w:rPr>
          <w:rFonts w:cs="Segoe UI" w:asciiTheme="majorEastAsia" w:hAnsiTheme="majorEastAsia" w:eastAsiaTheme="majorEastAsia"/>
          <w:shd w:val="clear" w:color="auto" w:fill="FFFFFF"/>
        </w:rPr>
        <w:t>7</w:t>
      </w:r>
      <w:r>
        <w:rPr>
          <w:rFonts w:hint="eastAsia" w:cs="Segoe UI" w:asciiTheme="majorEastAsia" w:hAnsiTheme="majorEastAsia" w:eastAsiaTheme="majorEastAsia"/>
          <w:shd w:val="clear" w:color="auto" w:fill="FFFFFF"/>
        </w:rPr>
        <w:t>件。</w:t>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表</w:t>
      </w:r>
      <w:r>
        <w:rPr>
          <w:rFonts w:cs="Helvetica" w:asciiTheme="minorEastAsia" w:hAnsiTheme="minorEastAsia" w:eastAsiaTheme="minorEastAsia"/>
          <w:b/>
          <w:color w:val="000000" w:themeColor="text1"/>
        </w:rPr>
        <w:t xml:space="preserve">1.2-1 </w:t>
      </w:r>
      <w:r>
        <w:rPr>
          <w:rFonts w:hint="eastAsia" w:cs="Helvetica" w:asciiTheme="minorEastAsia" w:hAnsiTheme="minorEastAsia" w:eastAsiaTheme="minorEastAsia"/>
          <w:b/>
          <w:color w:val="000000" w:themeColor="text1"/>
        </w:rPr>
        <w:t>鲁西化工专利列表（部分）</w:t>
      </w:r>
    </w:p>
    <w:tbl>
      <w:tblPr>
        <w:tblStyle w:val="21"/>
        <w:tblW w:w="5000" w:type="pct"/>
        <w:tblInd w:w="0" w:type="dxa"/>
        <w:tblLayout w:type="autofit"/>
        <w:tblCellMar>
          <w:top w:w="0" w:type="dxa"/>
          <w:left w:w="108" w:type="dxa"/>
          <w:bottom w:w="0" w:type="dxa"/>
          <w:right w:w="108" w:type="dxa"/>
        </w:tblCellMar>
      </w:tblPr>
      <w:tblGrid>
        <w:gridCol w:w="438"/>
        <w:gridCol w:w="1590"/>
        <w:gridCol w:w="1981"/>
        <w:gridCol w:w="1657"/>
        <w:gridCol w:w="1266"/>
        <w:gridCol w:w="1590"/>
      </w:tblGrid>
      <w:tr>
        <w:tblPrEx>
          <w:tblCellMar>
            <w:top w:w="0" w:type="dxa"/>
            <w:left w:w="108" w:type="dxa"/>
            <w:bottom w:w="0" w:type="dxa"/>
            <w:right w:w="108" w:type="dxa"/>
          </w:tblCellMar>
        </w:tblPrEx>
        <w:trPr>
          <w:trHeight w:val="315"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序号</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公开号</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标题</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当前申请人</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申请日</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法律状态/事件</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CN104421467B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一种仪表风专用防爆阀及其加工和使用方法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2013-08-26</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权利转移</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CN104192568B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一种粉体物料连续气力输送的工艺</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2014-08-06</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权利转移</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3</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CN108570148B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一种防氧化的尼龙6切片聚合生产装置及方法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2018-06-07</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一案双申 | 权利转移</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4</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CN104773750B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一种利用工业废盐酸生产无水氯化钙的系统及工艺</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聊城市鲁西化工工程设计有限责任公司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2015-03-25</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5</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CN102351588B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一种化学合成氨化硫基复合肥的生产方法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山东聊城鲁西化工第五化肥有限公司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2011-07-05</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6</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CN104692937B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一种双螯合液体肥料及制备方法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2015-02-16</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7</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CN104058924B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一种利用含醇盐酸制备氯甲烷的方法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2014-06-25</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8</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CN101804384B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格栅式横向进风紊流式电除尘器</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聊城市鲁西化工工程设计有限责任公司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2010-03-09</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一案双申</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9</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CN104211479B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一种腐植酸活化型复混肥及其生产方法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山东聊城鲁西化工第五化肥有限公司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2014-09-03</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10</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CN104277067B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降低二甲基二氯硅烷水解物中氯离子含量的装置及方法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2014-09-18</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11</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CN104880454B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一种测定聚碳酸酯中金属元素含量的方法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2015-05-07</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12</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CN103496670B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一种HCl回收工艺</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聊城市鲁西化工工程设计有限责任公司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2013-09-12</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13</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CN105108278B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一种提高双面焊焊接效率的方法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2015-08-31</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14</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CN102417369B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一种建筑磷石膏粉保温材料及其制备方法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2011-09-01</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15</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CN102249777B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化学合成氨化硫基复合肥的生产方法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山东聊城鲁西化工第五化肥有限公司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2011-04-28</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16</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CN105293606B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一种环己醇生产过程中含油废液回收系统及回收方法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2015-10-23</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17</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CN102145251B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氯化石蜡生产过程中的脱氯装置及工艺</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2011-01-06</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一案双申</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18</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CN103585857B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一种尾气HCl回收系统和工艺</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聊城市鲁西化工工程设计有限责任公司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2013-11-04</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19</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CN104826364B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一种空气吹除法用废硫酸脱氯塔及废硫酸氯气脱除方法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聊城市鲁西化工工程设计有限责任公司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2015-04-15</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20</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CN104803357B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一种在四氯乙烯装置中提纯高纯度氯化氢的方法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2015-03-06</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21</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CN103936212B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一种丁辛醇废水的处理方法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2014-04-14</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22</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CN104071922B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一种电厂锅炉补给水生产的废水处理工艺及其装置</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聊城市鲁西化工工程设计有限责任公司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2014-07-02</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23</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CN104817149B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一种用酸洗废液制备聚合氯化硫酸铁的方法及系统</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2015-04-24</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24</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CN104785305B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一种用于合成氨催化剂的还原钝化系统和方法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聊城市鲁西化工工程设计有限责任公司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2015-03-16</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25</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CN104669336B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一种塑料规整填料加工用切割装置</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2015-02-06</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26</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CN105126589B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氨法脱硫装置及工艺</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2015-09-16</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27</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CN107189820B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一种粉煤掺烧高浓度有机废水复合型气化燃烧器及工艺方法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2017-05-24</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一案双申</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28</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CN106007176B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一种高温、高硬度、高COD、氨氮的污水处理系统及工艺</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聊城市鲁西化工工程设计有限责任公司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2016-06-03</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29</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CN107823906B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一种粗煤气变换工艺冷凝液汽提处理系统及方法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2017-09-19</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30</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CN109671324B</w:t>
            </w:r>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一种应用于化工单元实训装置的自动评分系统及方法</w:t>
            </w:r>
          </w:p>
        </w:tc>
        <w:tc>
          <w:tcPr>
            <w:tcW w:w="9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鲁西化工集团股份有限公司</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2018-12-28</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bl>
    <w:p>
      <w:pPr>
        <w:ind w:firstLine="480"/>
        <w:rPr>
          <w:rFonts w:ascii="Segoe UI" w:hAnsi="Segoe UI" w:cs="Segoe UI"/>
          <w:shd w:val="clear" w:color="auto" w:fill="FFFFFF"/>
        </w:rPr>
      </w:pPr>
    </w:p>
    <w:p>
      <w:pPr>
        <w:ind w:firstLine="482"/>
        <w:rPr>
          <w:rFonts w:cs="Times New Roman" w:asciiTheme="minorEastAsia" w:hAnsiTheme="minorEastAsia" w:eastAsiaTheme="minorEastAsia"/>
          <w:b/>
          <w:bCs/>
        </w:rPr>
      </w:pPr>
      <w:r>
        <w:rPr>
          <w:rFonts w:cs="Times New Roman" w:asciiTheme="minorEastAsia" w:hAnsiTheme="minorEastAsia" w:eastAsiaTheme="minorEastAsia"/>
          <w:b/>
          <w:bCs/>
        </w:rPr>
        <w:t>2.</w:t>
      </w:r>
      <w:r>
        <w:rPr>
          <w:rFonts w:hint="eastAsia" w:ascii="Segoe UI" w:hAnsi="Segoe UI" w:cs="Segoe UI"/>
          <w:b/>
          <w:bCs/>
          <w:shd w:val="clear" w:color="auto" w:fill="FFFFFF"/>
        </w:rPr>
        <w:t>山东莘县瑞森石油树脂有限公司</w:t>
      </w:r>
    </w:p>
    <w:p>
      <w:pPr>
        <w:ind w:firstLine="480"/>
        <w:rPr>
          <w:rFonts w:asciiTheme="majorEastAsia" w:hAnsiTheme="majorEastAsia" w:eastAsiaTheme="majorEastAsia"/>
        </w:rPr>
      </w:pPr>
      <w:r>
        <w:rPr>
          <w:rFonts w:asciiTheme="majorEastAsia" w:hAnsiTheme="majorEastAsia" w:eastAsiaTheme="majorEastAsia"/>
        </w:rPr>
        <w:t>瑞森树脂旗下有山东莘县瑞森石油树脂有限公司和濮阳市瑞森新材料有限公司两家新型的股份制企业，集科研、生产、经营于一体，主要生产经营PRS精C5石油树脂系列产品，DCPD加氢树脂，双环戊二烯、未聚C5等副产品，生产能力为年产精C5石油树脂5万吨、DCPD加氢树脂3万吨，年分离裂解碳五20万吨。产品畅销国内外，广泛应用于橡胶、黏合剂、印刷油墨、高档涂料、交通路标漆、热熔胶等行业，是中国最大的石油树脂生产企业之一。</w:t>
      </w:r>
    </w:p>
    <w:p>
      <w:pPr>
        <w:ind w:firstLine="480"/>
        <w:rPr>
          <w:rFonts w:asciiTheme="majorEastAsia" w:hAnsiTheme="majorEastAsia" w:eastAsiaTheme="majorEastAsia"/>
        </w:rPr>
      </w:pPr>
      <w:r>
        <w:rPr>
          <w:rFonts w:asciiTheme="majorEastAsia" w:hAnsiTheme="majorEastAsia" w:eastAsiaTheme="majorEastAsia"/>
        </w:rPr>
        <w:t>瑞森树脂于2004年8月始创建濮阳市瑞森石油树脂有限公司，占地150亩，拥有两套生产装置，其生产规模分别为年分离碳五40000吨、年产精C5石油树脂18000吨。 应市场前景及自身发展需要，2014年3年在山东莘县古云经济技术开发区成立山东莘县瑞森石油树脂有限公司，占地近200亩，分两期投资5亿多元建设了30000吨/年DCPD加氢石油树脂装置和20000吨/年增粘石油树脂生产装置及其配套工程。该DCPD加氢石油树脂装置是国内首套固定床生产装置，它的建成投产填补了国内空白，结束了国内需求全部依赖进口的历史。在长江以北地区，我公司是石油树脂行业的领头企业之一。</w:t>
      </w:r>
    </w:p>
    <w:p>
      <w:pPr>
        <w:ind w:firstLine="480"/>
        <w:rPr>
          <w:rFonts w:asciiTheme="majorEastAsia" w:hAnsiTheme="majorEastAsia" w:eastAsiaTheme="majorEastAsia"/>
        </w:rPr>
      </w:pPr>
      <w:r>
        <w:rPr>
          <w:rFonts w:asciiTheme="majorEastAsia" w:hAnsiTheme="majorEastAsia" w:eastAsiaTheme="majorEastAsia"/>
        </w:rPr>
        <w:t>濮阳市瑞森新材料有限公司 于2021年3月正式成立，位于河南省濮阳市化工产业集聚区，是一家致力于发展高级新材料的新公司。该公司计划分两期投资10.5亿元建设30000吨/年高级改性树脂、50000吨/年改性加氢石油树脂和20000吨/年二甲基亚砜项目，该项目占地310亩，现已完成一期项目建设并成功投产，预计2024年实现两期项目全部建成投产。</w:t>
      </w:r>
    </w:p>
    <w:p>
      <w:pPr>
        <w:ind w:firstLine="480"/>
        <w:rPr>
          <w:rFonts w:asciiTheme="majorEastAsia" w:hAnsiTheme="majorEastAsia" w:eastAsiaTheme="majorEastAsia"/>
        </w:rPr>
      </w:pPr>
      <w:r>
        <w:rPr>
          <w:rFonts w:asciiTheme="majorEastAsia" w:hAnsiTheme="majorEastAsia" w:eastAsiaTheme="majorEastAsia"/>
        </w:rPr>
        <w:t>公司现有职工300多人，其中高、中级专业技术人员40多名，大中专毕业生占80%以上，两家公司均通过ISO9001、ISO14001、GB/T28001三标管理体系认证。2009年濮阳市瑞森石油树脂有限公司被评为濮阳市诚信企业，并被市委市政府列为“高成长型企业”。山东莘县瑞森石油树脂有限公司是国家高新技术企业、山东省“专精特新小巨人”企业，拥有省级企业技术中心和市级重点工程实验室，是国内少数具备独自研发能力的同类公司之一。</w:t>
      </w:r>
    </w:p>
    <w:p>
      <w:pPr>
        <w:ind w:firstLine="480"/>
        <w:rPr>
          <w:rFonts w:cs="Segoe UI" w:asciiTheme="majorEastAsia" w:hAnsiTheme="majorEastAsia" w:eastAsiaTheme="majorEastAsia"/>
          <w:shd w:val="clear" w:color="auto" w:fill="FFFFFF"/>
        </w:rPr>
      </w:pPr>
      <w:r>
        <w:rPr>
          <w:rFonts w:hint="eastAsia" w:cs="Segoe UI" w:asciiTheme="majorEastAsia" w:hAnsiTheme="majorEastAsia" w:eastAsiaTheme="majorEastAsia"/>
          <w:shd w:val="clear" w:color="auto" w:fill="FFFFFF"/>
        </w:rPr>
        <w:t>当前，</w:t>
      </w:r>
      <w:r>
        <w:rPr>
          <w:rFonts w:asciiTheme="majorEastAsia" w:hAnsiTheme="majorEastAsia" w:eastAsiaTheme="majorEastAsia"/>
        </w:rPr>
        <w:t>瑞森树脂</w:t>
      </w:r>
      <w:r>
        <w:rPr>
          <w:rFonts w:hint="eastAsia" w:cs="Segoe UI" w:asciiTheme="majorEastAsia" w:hAnsiTheme="majorEastAsia" w:eastAsiaTheme="majorEastAsia"/>
          <w:shd w:val="clear" w:color="auto" w:fill="FFFFFF"/>
        </w:rPr>
        <w:t>共申请专利</w:t>
      </w:r>
      <w:r>
        <w:rPr>
          <w:rFonts w:cs="Segoe UI" w:asciiTheme="majorEastAsia" w:hAnsiTheme="majorEastAsia" w:eastAsiaTheme="majorEastAsia"/>
          <w:shd w:val="clear" w:color="auto" w:fill="FFFFFF"/>
        </w:rPr>
        <w:t>39</w:t>
      </w:r>
      <w:r>
        <w:rPr>
          <w:rFonts w:hint="eastAsia" w:cs="Segoe UI" w:asciiTheme="majorEastAsia" w:hAnsiTheme="majorEastAsia" w:eastAsiaTheme="majorEastAsia"/>
          <w:shd w:val="clear" w:color="auto" w:fill="FFFFFF"/>
        </w:rPr>
        <w:t>件，包括发明专利</w:t>
      </w:r>
      <w:r>
        <w:rPr>
          <w:rFonts w:cs="Segoe UI" w:asciiTheme="majorEastAsia" w:hAnsiTheme="majorEastAsia" w:eastAsiaTheme="majorEastAsia"/>
          <w:shd w:val="clear" w:color="auto" w:fill="FFFFFF"/>
        </w:rPr>
        <w:t>20</w:t>
      </w:r>
      <w:r>
        <w:rPr>
          <w:rFonts w:hint="eastAsia" w:cs="Segoe UI" w:asciiTheme="majorEastAsia" w:hAnsiTheme="majorEastAsia" w:eastAsiaTheme="majorEastAsia"/>
          <w:shd w:val="clear" w:color="auto" w:fill="FFFFFF"/>
        </w:rPr>
        <w:t>件，实用新型</w:t>
      </w:r>
      <w:r>
        <w:rPr>
          <w:rFonts w:cs="Segoe UI" w:asciiTheme="majorEastAsia" w:hAnsiTheme="majorEastAsia" w:eastAsiaTheme="majorEastAsia"/>
          <w:shd w:val="clear" w:color="auto" w:fill="FFFFFF"/>
        </w:rPr>
        <w:t>19</w:t>
      </w:r>
      <w:r>
        <w:rPr>
          <w:rFonts w:hint="eastAsia" w:cs="Segoe UI" w:asciiTheme="majorEastAsia" w:hAnsiTheme="majorEastAsia" w:eastAsiaTheme="majorEastAsia"/>
          <w:shd w:val="clear" w:color="auto" w:fill="FFFFFF"/>
        </w:rPr>
        <w:t>件。</w:t>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表</w:t>
      </w:r>
      <w:r>
        <w:rPr>
          <w:rFonts w:cs="Helvetica" w:asciiTheme="minorEastAsia" w:hAnsiTheme="minorEastAsia" w:eastAsiaTheme="minorEastAsia"/>
          <w:b/>
          <w:color w:val="000000" w:themeColor="text1"/>
        </w:rPr>
        <w:t>1.2-2 瑞森树脂</w:t>
      </w:r>
      <w:r>
        <w:rPr>
          <w:rFonts w:hint="eastAsia" w:cs="Helvetica" w:asciiTheme="minorEastAsia" w:hAnsiTheme="minorEastAsia" w:eastAsiaTheme="minorEastAsia"/>
          <w:b/>
          <w:color w:val="000000" w:themeColor="text1"/>
        </w:rPr>
        <w:t>专利列表（部分）</w:t>
      </w:r>
    </w:p>
    <w:tbl>
      <w:tblPr>
        <w:tblStyle w:val="21"/>
        <w:tblW w:w="5000" w:type="pct"/>
        <w:tblInd w:w="0" w:type="dxa"/>
        <w:tblLayout w:type="autofit"/>
        <w:tblCellMar>
          <w:top w:w="0" w:type="dxa"/>
          <w:left w:w="108" w:type="dxa"/>
          <w:bottom w:w="0" w:type="dxa"/>
          <w:right w:w="108" w:type="dxa"/>
        </w:tblCellMar>
      </w:tblPr>
      <w:tblGrid>
        <w:gridCol w:w="460"/>
        <w:gridCol w:w="1612"/>
        <w:gridCol w:w="1863"/>
        <w:gridCol w:w="1701"/>
        <w:gridCol w:w="1273"/>
        <w:gridCol w:w="1613"/>
      </w:tblGrid>
      <w:tr>
        <w:tblPrEx>
          <w:tblCellMar>
            <w:top w:w="0" w:type="dxa"/>
            <w:left w:w="108" w:type="dxa"/>
            <w:bottom w:w="0" w:type="dxa"/>
            <w:right w:w="108" w:type="dxa"/>
          </w:tblCellMar>
        </w:tblPrEx>
        <w:trPr>
          <w:trHeight w:val="31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序号</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公开号</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标题</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当前申请人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申请日</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法律状态/事件</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CN208330783U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一种屏蔽泵定子串液检测装置</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2018-06-08</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CN208318647U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手摇式清洗三口烧瓶的钢丝刷</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2018-06-12</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3</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CN208326292U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一种防止介质结垢堵塞液位计测量口的容器</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2018-06-08</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4</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CN208688611U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一种能准确测量物料密度变化的双法兰差压液位计</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2018-07-09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5</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CN208679179U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一种带有刻度的加液体器具</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2018-06-12</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6</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CN211623848U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一种接触式蓄能器</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2019-12-31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7</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CN211624235U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一种能防止平衡室结渣的套筒阀</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2019-12-31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8</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CN215876664U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一种实验室用简易真空抽滤罐</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2021-08-25</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9</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CN215877712U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一种三氯化铝催化剂的熔喷加入装置</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2021-08-25</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10</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CN111187383B</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一种加氢低软化点石油树脂的制备方法</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濮阳市瑞森石油树脂有限公司 | 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2020-02-19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11</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CN118387478B</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一种防堵式树脂容器</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2024-06-28</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12</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CN118373487B</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一种化工废水的处理装置及方法</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2024-06-26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13</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CN102351991B</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石油树脂聚合温度控制的设备及方法</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2011-10-19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权利转移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14</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CN108774296A</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一种改性石油树脂的制备方法</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濮阳市瑞森石油树脂有限公司 | 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2018-07-04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驳回</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15</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CN108795214A</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一种热熔融型路面标线漆</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濮阳市瑞森石油树脂有限公司 | 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2018-07-04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驳回</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16</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CN208684808U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一种改善环戊二烯热二聚效果的装置</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 | 濮阳市瑞森石油树脂有限公司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2018-07-09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17</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CN111217663A</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一种双环戊二烯制备四氢双环戊二烯的方法</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濮阳市瑞森石油树脂有限公司 | 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2020-02-19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驳回</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18</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CN111303343A</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一种羟基化C5石油树脂的制备方法</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2020-02-19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驳回</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19</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CN108822257B</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一种浅色低软化点改性石油树脂的制备方法</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濮阳市瑞森新材料有限公司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2018-07-04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 | 权利转移 | 质押</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20</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CN221182684U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一种石油树脂制备的加料装置</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2023-11-08</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21</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CN221181993U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一种石油树脂生产过程中的分离装置</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2023-11-08</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22</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CN221187210U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一种石油树脂的造粒机</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2023-11-08</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23</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CN221433024U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一种DCPD树脂聚合反应釜</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2023-10-26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24</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CN221432176U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一种DCPD石油树脂的精馏设备</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2023-10-26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25</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CN221432151U</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一种DCPD石油树脂的提纯装置</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2023-10-26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26</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CN118371507B</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污油罐</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2024-06-25</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27</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CN118375743B</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自清洁式排污阀</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2024-06-21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28</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CN118808259B</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一种化工管道的清洁装置</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2024-09-14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29</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CN119349036A</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盐酸储罐</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2024-12-27</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实质审查</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30</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CN119370484A</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一种带排水功能的污油罐</w:t>
            </w:r>
          </w:p>
        </w:tc>
        <w:tc>
          <w:tcPr>
            <w:tcW w:w="9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山东莘县瑞森石油树脂有限公司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2024-12-31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ajorEastAsia" w:hAnsiTheme="majorEastAsia" w:eastAsiaTheme="majorEastAsia"/>
                <w:color w:val="000000"/>
                <w:kern w:val="0"/>
                <w:sz w:val="21"/>
                <w:szCs w:val="21"/>
              </w:rPr>
            </w:pPr>
            <w:r>
              <w:rPr>
                <w:rFonts w:cs="Calibri" w:asciiTheme="majorEastAsia" w:hAnsiTheme="majorEastAsia" w:eastAsiaTheme="majorEastAsia"/>
                <w:color w:val="000000"/>
                <w:kern w:val="0"/>
                <w:sz w:val="21"/>
                <w:szCs w:val="21"/>
              </w:rPr>
              <w:t>实质审查</w:t>
            </w:r>
          </w:p>
        </w:tc>
      </w:tr>
    </w:tbl>
    <w:p>
      <w:pPr>
        <w:ind w:firstLine="480"/>
      </w:pPr>
    </w:p>
    <w:p>
      <w:pPr>
        <w:ind w:firstLine="482"/>
        <w:rPr>
          <w:rFonts w:asciiTheme="majorEastAsia" w:hAnsiTheme="majorEastAsia" w:eastAsiaTheme="majorEastAsia"/>
          <w:b/>
          <w:bCs/>
        </w:rPr>
      </w:pPr>
      <w:r>
        <w:rPr>
          <w:rFonts w:asciiTheme="majorEastAsia" w:hAnsiTheme="majorEastAsia" w:eastAsiaTheme="majorEastAsia"/>
          <w:b/>
          <w:bCs/>
        </w:rPr>
        <w:t>3.</w:t>
      </w:r>
      <w:r>
        <w:rPr>
          <w:rFonts w:hint="eastAsia"/>
          <w:b/>
          <w:bCs/>
        </w:rPr>
        <w:t>山东阳谷华泰化工股份有限公司</w:t>
      </w:r>
    </w:p>
    <w:p>
      <w:pPr>
        <w:ind w:firstLine="480"/>
      </w:pPr>
      <w:bookmarkStart w:id="11" w:name="OLE_LINK1"/>
      <w:r>
        <w:rPr>
          <w:rFonts w:hint="eastAsia"/>
        </w:rPr>
        <w:t>山东阳谷华泰化工股份有限公司</w:t>
      </w:r>
      <w:bookmarkEnd w:id="11"/>
      <w:r>
        <w:rPr>
          <w:rFonts w:hint="eastAsia"/>
        </w:rPr>
        <w:t>是一家主要从事橡胶助剂的研发、生产、销售的公司。阳谷华泰产品主要包括标准橡胶化学品、预分散橡胶化学品、不溶性硫磺、加工助剂、橡胶防护蜡、粘合系列助剂等六大产品体系。其中，橡胶防焦剂CTP被工信部评为“单项冠军产品”。阳谷华泰产品年总产能达到30万吨，在全球橡胶助剂行业中具有较强的竞争力。</w:t>
      </w:r>
    </w:p>
    <w:p>
      <w:pPr>
        <w:ind w:firstLine="480"/>
      </w:pPr>
      <w:r>
        <w:rPr>
          <w:rFonts w:hint="eastAsia"/>
        </w:rPr>
        <w:t>阳谷华泰拥有“国家橡胶助剂工程技术研究中心”，拥有科研人员200余人，具备从剖析、合成、评价、分析等完善的研发创新能力，并设立了博士后科研工作站。</w:t>
      </w:r>
    </w:p>
    <w:p>
      <w:pPr>
        <w:ind w:firstLine="480"/>
      </w:pPr>
      <w:r>
        <w:rPr>
          <w:rFonts w:hint="eastAsia"/>
        </w:rPr>
        <w:t>阳谷华泰是橡胶助剂行业首家国内上市企业，拥有国家级研究中心和多项专利。公司积极推动橡胶助剂产品的绿色环保进程，自主研发的多效蒸发（MVR）+生化处理技术，解决了高盐废水处理难题。阳谷华泰的防焦剂CTP产销量约占全球60%以上的市场份额，是全球橡胶助剂产品序列最齐全的供应商之一。</w:t>
      </w:r>
    </w:p>
    <w:p>
      <w:pPr>
        <w:ind w:firstLine="480"/>
      </w:pPr>
      <w:r>
        <w:rPr>
          <w:rFonts w:hint="eastAsia"/>
        </w:rPr>
        <w:t>阳谷华泰在橡胶助剂领域持续进行技术创新和产品升级，同时，也在积极拓展新的业务领域，如新能源和大健康领域，以实现多元化发展。</w:t>
      </w:r>
    </w:p>
    <w:p>
      <w:pPr>
        <w:ind w:firstLine="480"/>
        <w:rPr>
          <w:rFonts w:asciiTheme="majorEastAsia" w:hAnsiTheme="majorEastAsia" w:eastAsiaTheme="majorEastAsia"/>
        </w:rPr>
      </w:pPr>
      <w:r>
        <w:rPr>
          <w:rFonts w:hint="eastAsia"/>
        </w:rPr>
        <w:t>阳谷华泰正在推进多个项目建设，包括年产6.5万吨硅烷偶联剂项目和年产4万吨三氯氢硅项目，以及酚醛树脂、粘合剂HMMM、有机过氧化物等产品的生产项目</w:t>
      </w:r>
      <w:r>
        <w:rPr>
          <w:rFonts w:asciiTheme="majorEastAsia" w:hAnsiTheme="majorEastAsia" w:eastAsiaTheme="majorEastAsia"/>
        </w:rPr>
        <w:t>。</w:t>
      </w:r>
    </w:p>
    <w:p>
      <w:pPr>
        <w:ind w:firstLine="480"/>
        <w:rPr>
          <w:rFonts w:cs="Segoe UI" w:asciiTheme="majorEastAsia" w:hAnsiTheme="majorEastAsia" w:eastAsiaTheme="majorEastAsia"/>
          <w:shd w:val="clear" w:color="auto" w:fill="FFFFFF"/>
        </w:rPr>
      </w:pPr>
      <w:r>
        <w:rPr>
          <w:rFonts w:hint="eastAsia" w:cs="Segoe UI" w:asciiTheme="majorEastAsia" w:hAnsiTheme="majorEastAsia" w:eastAsiaTheme="majorEastAsia"/>
          <w:shd w:val="clear" w:color="auto" w:fill="FFFFFF"/>
        </w:rPr>
        <w:t>当前，</w:t>
      </w:r>
      <w:r>
        <w:rPr>
          <w:rFonts w:hint="eastAsia" w:asciiTheme="majorEastAsia" w:hAnsiTheme="majorEastAsia" w:eastAsiaTheme="majorEastAsia"/>
        </w:rPr>
        <w:t>阳谷华泰</w:t>
      </w:r>
      <w:r>
        <w:rPr>
          <w:rFonts w:hint="eastAsia" w:cs="Segoe UI" w:asciiTheme="majorEastAsia" w:hAnsiTheme="majorEastAsia" w:eastAsiaTheme="majorEastAsia"/>
          <w:shd w:val="clear" w:color="auto" w:fill="FFFFFF"/>
        </w:rPr>
        <w:t>共申请专利</w:t>
      </w:r>
      <w:r>
        <w:rPr>
          <w:rFonts w:cs="Segoe UI" w:asciiTheme="majorEastAsia" w:hAnsiTheme="majorEastAsia" w:eastAsiaTheme="majorEastAsia"/>
          <w:shd w:val="clear" w:color="auto" w:fill="FFFFFF"/>
        </w:rPr>
        <w:t>346</w:t>
      </w:r>
      <w:r>
        <w:rPr>
          <w:rFonts w:hint="eastAsia" w:cs="Segoe UI" w:asciiTheme="majorEastAsia" w:hAnsiTheme="majorEastAsia" w:eastAsiaTheme="majorEastAsia"/>
          <w:shd w:val="clear" w:color="auto" w:fill="FFFFFF"/>
        </w:rPr>
        <w:t>件，包括发明专利</w:t>
      </w:r>
      <w:r>
        <w:rPr>
          <w:rFonts w:cs="Segoe UI" w:asciiTheme="majorEastAsia" w:hAnsiTheme="majorEastAsia" w:eastAsiaTheme="majorEastAsia"/>
          <w:shd w:val="clear" w:color="auto" w:fill="FFFFFF"/>
        </w:rPr>
        <w:t>283</w:t>
      </w:r>
      <w:r>
        <w:rPr>
          <w:rFonts w:hint="eastAsia" w:cs="Segoe UI" w:asciiTheme="majorEastAsia" w:hAnsiTheme="majorEastAsia" w:eastAsiaTheme="majorEastAsia"/>
          <w:shd w:val="clear" w:color="auto" w:fill="FFFFFF"/>
        </w:rPr>
        <w:t>件，实用新型</w:t>
      </w:r>
      <w:r>
        <w:rPr>
          <w:rFonts w:cs="Segoe UI" w:asciiTheme="majorEastAsia" w:hAnsiTheme="majorEastAsia" w:eastAsiaTheme="majorEastAsia"/>
          <w:shd w:val="clear" w:color="auto" w:fill="FFFFFF"/>
        </w:rPr>
        <w:t>54</w:t>
      </w:r>
      <w:r>
        <w:rPr>
          <w:rFonts w:hint="eastAsia" w:cs="Segoe UI" w:asciiTheme="majorEastAsia" w:hAnsiTheme="majorEastAsia" w:eastAsiaTheme="majorEastAsia"/>
          <w:shd w:val="clear" w:color="auto" w:fill="FFFFFF"/>
        </w:rPr>
        <w:t>件，外观设计专利9件。</w:t>
      </w:r>
    </w:p>
    <w:p>
      <w:pPr>
        <w:pStyle w:val="20"/>
        <w:shd w:val="clear" w:color="auto" w:fill="FFFFFF"/>
        <w:ind w:firstLine="0" w:firstLineChars="0"/>
        <w:jc w:val="center"/>
        <w:rPr>
          <w:rFonts w:hint="eastAsia"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表</w:t>
      </w:r>
      <w:r>
        <w:rPr>
          <w:rFonts w:cs="Helvetica" w:asciiTheme="minorEastAsia" w:hAnsiTheme="minorEastAsia" w:eastAsiaTheme="minorEastAsia"/>
          <w:b/>
          <w:color w:val="000000" w:themeColor="text1"/>
        </w:rPr>
        <w:t xml:space="preserve">1.2-3 </w:t>
      </w:r>
      <w:r>
        <w:rPr>
          <w:rFonts w:hint="eastAsia" w:cs="Helvetica" w:asciiTheme="minorEastAsia" w:hAnsiTheme="minorEastAsia" w:eastAsiaTheme="minorEastAsia"/>
          <w:b/>
          <w:color w:val="000000" w:themeColor="text1"/>
        </w:rPr>
        <w:t>阳谷华泰专利列表（部分）</w:t>
      </w:r>
    </w:p>
    <w:tbl>
      <w:tblPr>
        <w:tblStyle w:val="21"/>
        <w:tblW w:w="5000" w:type="pct"/>
        <w:tblInd w:w="0" w:type="dxa"/>
        <w:tblLayout w:type="fixed"/>
        <w:tblCellMar>
          <w:top w:w="0" w:type="dxa"/>
          <w:left w:w="108" w:type="dxa"/>
          <w:bottom w:w="0" w:type="dxa"/>
          <w:right w:w="108" w:type="dxa"/>
        </w:tblCellMar>
      </w:tblPr>
      <w:tblGrid>
        <w:gridCol w:w="677"/>
        <w:gridCol w:w="1560"/>
        <w:gridCol w:w="1699"/>
        <w:gridCol w:w="1704"/>
        <w:gridCol w:w="1273"/>
        <w:gridCol w:w="1609"/>
      </w:tblGrid>
      <w:tr>
        <w:tblPrEx>
          <w:tblCellMar>
            <w:top w:w="0" w:type="dxa"/>
            <w:left w:w="108" w:type="dxa"/>
            <w:bottom w:w="0" w:type="dxa"/>
            <w:right w:w="108" w:type="dxa"/>
          </w:tblCellMar>
        </w:tblPrEx>
        <w:trPr>
          <w:trHeight w:val="398"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序号</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公开号</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标题</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当前申请人</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申请日</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b/>
                <w:bCs/>
                <w:color w:val="000000"/>
                <w:kern w:val="0"/>
                <w:sz w:val="21"/>
                <w:szCs w:val="21"/>
              </w:rPr>
            </w:pPr>
            <w:r>
              <w:rPr>
                <w:rFonts w:hint="eastAsia" w:cs="宋体" w:asciiTheme="majorEastAsia" w:hAnsiTheme="majorEastAsia" w:eastAsiaTheme="majorEastAsia"/>
                <w:b/>
                <w:bCs/>
                <w:color w:val="000000"/>
                <w:kern w:val="0"/>
                <w:sz w:val="21"/>
                <w:szCs w:val="21"/>
              </w:rPr>
              <w:t>法律状态/事件</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CN101407344B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橡胶硫化促进剂NS废水处理工艺</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 | 国家橡胶助剂工程技术研究中心</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2008-11-12</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 | 权利转移</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CN104401946B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一种不溶性硫磺的气化淬冷工艺</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2014-11-07</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3</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CN104359293B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一种不溶性硫磺的干燥工艺及其工艺设备</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2014-11-07</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4</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CN104961106B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一种改善不溶性硫磺分散性的方法</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2015-07-08</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 | 质押</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5</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CN104262899B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一种轮胎用防肩空剂及其制备方法与应用</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2014-10-24</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6</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CN102059053B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高盐废水吸收环己烷法制氯代环己烷尾气工艺</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2010-11-19</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7</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CN104371266B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一种轮胎气密层增进剂及其制备方法与应用</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2014-11-29</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8</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CN103399048B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一种次磺酰胺类硫化促进剂灰分快速测定方法</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2013-08-06</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9</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CN101983749B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橡胶防焦剂CTP生产过程中过滤干燥一体装置及应用</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2009-08-06</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 | 许可</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10</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CN105061272B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一种高收率低成本塑解剂DBD的制备方法</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2015-07-16</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11</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CN101402615B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橡胶硫化促进剂2-巯基苯并噻唑(M)的精制方法</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山东戴瑞克新材料有限公司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2008-11-12</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 | 权利转移</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12</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CN104830045B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一种橡胶用白炭黑分散剂及其制备方法</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2014-11-28</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13</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CN103387695B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一种白炭黑分散剂及其制备方法</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2013-08-06</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14</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CN103450504B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一种橡胶用白炭黑分散剂及其制备方法</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2013-08-28</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15</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CN103304881B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一种橡胶用炭黑分散剂及其制备方法</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2013-06-26</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 | 许可</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16</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CN106316905B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一种一硫化四苄基秋兰姆及其制备方法和应用</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2016-08-23</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17</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CN106316906B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一种合成促进剂DPTU的方法</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2016-08-23</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18</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CN109575205B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一种4-叔烷基苯酚-（吗啉基）甲醛树脂及其制备方法和应用</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2018-11-20</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19</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CN109368599B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一种不溶性硫磺的制备方法及其所用的抗返原稳定剂</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2018-11-02</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20</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CN110256348B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一种橡胶硫化剂DTDC的合成方法</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2019-06-25</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21</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CN110156717B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一种橡胶硫化促进剂NS的合成方法</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2019-06-20</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22</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CN101624364B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橡胶防焦剂CTP合成工艺及装置</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2009-08-06</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 | 权利转移 | 许可</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23</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CN101628190B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橡胶防焦剂CTP生产过程中过滤干燥一体装置及应用</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2009-08-06</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 | 权利转移</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24</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CN101693701B</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硫化促进剂2-巯基苯并噻唑的纯化工艺</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山东戴瑞克新材料有限公司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2009-10-21</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 | 权利转移 | 许可</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25</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US11427469B2</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Preparation method for insoluble sulfur and anti-reversion stabilizer used thereby</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2019-08-21</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26</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hint="eastAsia" w:cs="宋体" w:asciiTheme="majorEastAsia" w:hAnsiTheme="majorEastAsia" w:eastAsiaTheme="majorEastAsia"/>
                <w:color w:val="000000"/>
                <w:kern w:val="0"/>
                <w:sz w:val="21"/>
                <w:szCs w:val="21"/>
              </w:rPr>
              <w:t>KR102511846B1</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4-tert-</w:t>
            </w:r>
            <w:r>
              <w:rPr>
                <w:rFonts w:hint="eastAsia" w:ascii="Batang" w:hAnsi="Batang" w:eastAsia="Batang" w:cs="Batang"/>
                <w:color w:val="000000"/>
                <w:kern w:val="0"/>
                <w:sz w:val="21"/>
                <w:szCs w:val="21"/>
              </w:rPr>
              <w:t>알킬페놀</w:t>
            </w:r>
            <w:r>
              <w:rPr>
                <w:rFonts w:cs="宋体" w:asciiTheme="majorEastAsia" w:hAnsiTheme="majorEastAsia" w:eastAsiaTheme="majorEastAsia"/>
                <w:color w:val="000000"/>
                <w:kern w:val="0"/>
                <w:sz w:val="21"/>
                <w:szCs w:val="21"/>
              </w:rPr>
              <w:t>-(</w:t>
            </w:r>
            <w:r>
              <w:rPr>
                <w:rFonts w:hint="eastAsia" w:ascii="Batang" w:hAnsi="Batang" w:eastAsia="Batang" w:cs="Batang"/>
                <w:color w:val="000000"/>
                <w:kern w:val="0"/>
                <w:sz w:val="21"/>
                <w:szCs w:val="21"/>
              </w:rPr>
              <w:t>모르폴리닐</w:t>
            </w:r>
            <w:r>
              <w:rPr>
                <w:rFonts w:cs="宋体" w:asciiTheme="majorEastAsia" w:hAnsiTheme="majorEastAsia" w:eastAsiaTheme="majorEastAsia"/>
                <w:color w:val="000000"/>
                <w:kern w:val="0"/>
                <w:sz w:val="21"/>
                <w:szCs w:val="21"/>
              </w:rPr>
              <w:t xml:space="preserve">) </w:t>
            </w:r>
            <w:r>
              <w:rPr>
                <w:rFonts w:hint="eastAsia" w:ascii="Batang" w:hAnsi="Batang" w:eastAsia="Batang" w:cs="Batang"/>
                <w:color w:val="000000"/>
                <w:kern w:val="0"/>
                <w:sz w:val="21"/>
                <w:szCs w:val="21"/>
              </w:rPr>
              <w:t>포름알데히드</w:t>
            </w:r>
            <w:r>
              <w:rPr>
                <w:rFonts w:cs="宋体" w:asciiTheme="majorEastAsia" w:hAnsiTheme="majorEastAsia" w:eastAsiaTheme="majorEastAsia"/>
                <w:color w:val="000000"/>
                <w:kern w:val="0"/>
                <w:sz w:val="21"/>
                <w:szCs w:val="21"/>
              </w:rPr>
              <w:t xml:space="preserve"> </w:t>
            </w:r>
            <w:r>
              <w:rPr>
                <w:rFonts w:hint="eastAsia" w:ascii="Batang" w:hAnsi="Batang" w:eastAsia="Batang" w:cs="Batang"/>
                <w:color w:val="000000"/>
                <w:kern w:val="0"/>
                <w:sz w:val="21"/>
                <w:szCs w:val="21"/>
              </w:rPr>
              <w:t>수지</w:t>
            </w:r>
            <w:r>
              <w:rPr>
                <w:rFonts w:cs="宋体" w:asciiTheme="majorEastAsia" w:hAnsiTheme="majorEastAsia" w:eastAsiaTheme="majorEastAsia"/>
                <w:color w:val="000000"/>
                <w:kern w:val="0"/>
                <w:sz w:val="21"/>
                <w:szCs w:val="21"/>
              </w:rPr>
              <w:t xml:space="preserve"> </w:t>
            </w:r>
            <w:r>
              <w:rPr>
                <w:rFonts w:hint="eastAsia" w:ascii="Batang" w:hAnsi="Batang" w:eastAsia="Batang" w:cs="Batang"/>
                <w:color w:val="000000"/>
                <w:kern w:val="0"/>
                <w:sz w:val="21"/>
                <w:szCs w:val="21"/>
              </w:rPr>
              <w:t>및</w:t>
            </w:r>
            <w:r>
              <w:rPr>
                <w:rFonts w:cs="宋体" w:asciiTheme="majorEastAsia" w:hAnsiTheme="majorEastAsia" w:eastAsiaTheme="majorEastAsia"/>
                <w:color w:val="000000"/>
                <w:kern w:val="0"/>
                <w:sz w:val="21"/>
                <w:szCs w:val="21"/>
              </w:rPr>
              <w:t xml:space="preserve"> </w:t>
            </w:r>
            <w:r>
              <w:rPr>
                <w:rFonts w:hint="eastAsia" w:ascii="Batang" w:hAnsi="Batang" w:eastAsia="Batang" w:cs="Batang"/>
                <w:color w:val="000000"/>
                <w:kern w:val="0"/>
                <w:sz w:val="21"/>
                <w:szCs w:val="21"/>
              </w:rPr>
              <w:t>이의</w:t>
            </w:r>
            <w:r>
              <w:rPr>
                <w:rFonts w:cs="宋体" w:asciiTheme="majorEastAsia" w:hAnsiTheme="majorEastAsia" w:eastAsiaTheme="majorEastAsia"/>
                <w:color w:val="000000"/>
                <w:kern w:val="0"/>
                <w:sz w:val="21"/>
                <w:szCs w:val="21"/>
              </w:rPr>
              <w:t xml:space="preserve"> </w:t>
            </w:r>
            <w:r>
              <w:rPr>
                <w:rFonts w:hint="eastAsia" w:ascii="Batang" w:hAnsi="Batang" w:eastAsia="Batang" w:cs="Batang"/>
                <w:color w:val="000000"/>
                <w:kern w:val="0"/>
                <w:sz w:val="21"/>
                <w:szCs w:val="21"/>
              </w:rPr>
              <w:t>제조</w:t>
            </w:r>
            <w:r>
              <w:rPr>
                <w:rFonts w:cs="宋体" w:asciiTheme="majorEastAsia" w:hAnsiTheme="majorEastAsia" w:eastAsiaTheme="majorEastAsia"/>
                <w:color w:val="000000"/>
                <w:kern w:val="0"/>
                <w:sz w:val="21"/>
                <w:szCs w:val="21"/>
              </w:rPr>
              <w:t xml:space="preserve"> </w:t>
            </w:r>
            <w:r>
              <w:rPr>
                <w:rFonts w:hint="eastAsia" w:ascii="Batang" w:hAnsi="Batang" w:eastAsia="Batang" w:cs="Batang"/>
                <w:color w:val="000000"/>
                <w:kern w:val="0"/>
                <w:sz w:val="21"/>
                <w:szCs w:val="21"/>
              </w:rPr>
              <w:t>방법과</w:t>
            </w:r>
            <w:r>
              <w:rPr>
                <w:rFonts w:cs="宋体" w:asciiTheme="majorEastAsia" w:hAnsiTheme="majorEastAsia" w:eastAsiaTheme="majorEastAsia"/>
                <w:color w:val="000000"/>
                <w:kern w:val="0"/>
                <w:sz w:val="21"/>
                <w:szCs w:val="21"/>
              </w:rPr>
              <w:t xml:space="preserve"> </w:t>
            </w:r>
            <w:r>
              <w:rPr>
                <w:rFonts w:hint="eastAsia" w:ascii="Batang" w:hAnsi="Batang" w:eastAsia="Batang" w:cs="Batang"/>
                <w:color w:val="000000"/>
                <w:kern w:val="0"/>
                <w:sz w:val="21"/>
                <w:szCs w:val="21"/>
              </w:rPr>
              <w:t>응용</w:t>
            </w:r>
          </w:p>
        </w:tc>
        <w:tc>
          <w:tcPr>
            <w:tcW w:w="10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山东阳谷华泰化工股份有限公司</w:t>
            </w:r>
          </w:p>
        </w:tc>
        <w:tc>
          <w:tcPr>
            <w:tcW w:w="7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2019-08-21</w:t>
            </w:r>
          </w:p>
        </w:tc>
        <w:tc>
          <w:tcPr>
            <w:tcW w:w="9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ajorEastAsia" w:hAnsiTheme="majorEastAsia" w:eastAsiaTheme="majorEastAsia"/>
                <w:color w:val="000000"/>
                <w:kern w:val="0"/>
                <w:sz w:val="21"/>
                <w:szCs w:val="21"/>
              </w:rPr>
            </w:pPr>
            <w:r>
              <w:rPr>
                <w:rFonts w:cs="宋体" w:asciiTheme="majorEastAsia" w:hAnsiTheme="majorEastAsia" w:eastAsiaTheme="majorEastAsia"/>
                <w:color w:val="000000"/>
                <w:kern w:val="0"/>
                <w:sz w:val="21"/>
                <w:szCs w:val="21"/>
              </w:rPr>
              <w:t>授权</w:t>
            </w:r>
          </w:p>
        </w:tc>
      </w:tr>
    </w:tbl>
    <w:p>
      <w:pPr>
        <w:pStyle w:val="2"/>
        <w:ind w:firstLine="480"/>
        <w:rPr>
          <w:rFonts w:hint="eastAsia"/>
        </w:rPr>
      </w:pPr>
    </w:p>
    <w:p>
      <w:pPr>
        <w:widowControl/>
        <w:spacing w:line="240" w:lineRule="auto"/>
        <w:ind w:firstLine="0" w:firstLineChars="0"/>
        <w:jc w:val="left"/>
      </w:pPr>
      <w:r>
        <w:br w:type="page"/>
      </w:r>
    </w:p>
    <w:p>
      <w:pPr>
        <w:pStyle w:val="3"/>
        <w:spacing w:before="312" w:after="312"/>
      </w:pPr>
      <w:bookmarkStart w:id="12" w:name="_Toc203057553"/>
      <w:r>
        <w:rPr>
          <w:rFonts w:hint="eastAsia"/>
        </w:rPr>
        <w:t xml:space="preserve">第二章 </w:t>
      </w:r>
      <w:r>
        <w:t>专利检索、产业专利竞争态势及风险识别</w:t>
      </w:r>
      <w:bookmarkEnd w:id="12"/>
    </w:p>
    <w:p>
      <w:pPr>
        <w:ind w:firstLine="562"/>
        <w:outlineLvl w:val="1"/>
        <w:rPr>
          <w:rFonts w:ascii="黑体" w:hAnsi="黑体" w:eastAsia="黑体"/>
          <w:b/>
          <w:bCs/>
          <w:sz w:val="28"/>
          <w:szCs w:val="28"/>
        </w:rPr>
      </w:pPr>
      <w:bookmarkStart w:id="13" w:name="_Toc203057554"/>
      <w:r>
        <w:rPr>
          <w:rFonts w:ascii="黑体" w:hAnsi="黑体" w:eastAsia="黑体"/>
          <w:b/>
          <w:bCs/>
          <w:sz w:val="28"/>
          <w:szCs w:val="28"/>
        </w:rPr>
        <w:t>2</w:t>
      </w:r>
      <w:r>
        <w:rPr>
          <w:rFonts w:hint="eastAsia" w:ascii="黑体" w:hAnsi="黑体" w:eastAsia="黑体"/>
          <w:b/>
          <w:bCs/>
          <w:sz w:val="28"/>
          <w:szCs w:val="28"/>
        </w:rPr>
        <w:t>.1 技术分解及专利检索</w:t>
      </w:r>
      <w:bookmarkEnd w:id="13"/>
    </w:p>
    <w:p>
      <w:pPr>
        <w:shd w:val="clear" w:color="auto" w:fill="FFFFFF"/>
        <w:ind w:firstLine="482"/>
        <w:rPr>
          <w:rFonts w:cs="Helvetica" w:asciiTheme="minorEastAsia" w:hAnsiTheme="minorEastAsia"/>
          <w:b/>
          <w:bCs/>
          <w:color w:val="000000" w:themeColor="text1"/>
          <w:kern w:val="0"/>
        </w:rPr>
      </w:pPr>
      <w:r>
        <w:rPr>
          <w:rFonts w:hint="eastAsia" w:cs="Helvetica" w:asciiTheme="minorEastAsia" w:hAnsiTheme="minorEastAsia"/>
          <w:b/>
          <w:bCs/>
          <w:color w:val="000000" w:themeColor="text1"/>
          <w:kern w:val="0"/>
        </w:rPr>
        <w:t>一、技术边界</w:t>
      </w:r>
    </w:p>
    <w:p>
      <w:pPr>
        <w:ind w:firstLine="480"/>
        <w:rPr>
          <w:rFonts w:hint="eastAsia" w:ascii="Segoe UI" w:hAnsi="Segoe UI" w:cs="Segoe UI"/>
          <w:shd w:val="clear" w:color="auto" w:fill="FFFFFF"/>
        </w:rPr>
      </w:pPr>
      <w:r>
        <w:rPr>
          <w:rFonts w:hint="eastAsia" w:ascii="Segoe UI" w:hAnsi="Segoe UI" w:cs="Segoe UI"/>
          <w:shd w:val="clear" w:color="auto" w:fill="FFFFFF"/>
        </w:rPr>
        <w:t>根据实地走访调研情况，本报告中石油化工产品主要是指石油树脂和</w:t>
      </w:r>
      <w:r>
        <w:rPr>
          <w:rFonts w:ascii="Segoe UI" w:hAnsi="Segoe UI" w:cs="Segoe UI"/>
          <w:shd w:val="clear" w:color="auto" w:fill="FFFFFF"/>
        </w:rPr>
        <w:t>烷基磺酸苯酯</w:t>
      </w:r>
      <w:r>
        <w:rPr>
          <w:rFonts w:hint="eastAsia" w:ascii="Segoe UI" w:hAnsi="Segoe UI" w:cs="Segoe UI"/>
          <w:shd w:val="clear" w:color="auto" w:fill="FFFFFF"/>
        </w:rPr>
        <w:t>。</w:t>
      </w:r>
    </w:p>
    <w:p>
      <w:pPr>
        <w:ind w:firstLine="482"/>
        <w:rPr>
          <w:rFonts w:asciiTheme="majorEastAsia" w:hAnsiTheme="majorEastAsia" w:eastAsiaTheme="majorEastAsia"/>
          <w:b/>
          <w:bCs/>
        </w:rPr>
      </w:pPr>
      <w:r>
        <w:rPr>
          <w:rFonts w:hint="eastAsia" w:asciiTheme="majorEastAsia" w:hAnsiTheme="majorEastAsia" w:eastAsiaTheme="majorEastAsia"/>
          <w:b/>
          <w:bCs/>
        </w:rPr>
        <w:t>（一）石油树脂</w:t>
      </w:r>
    </w:p>
    <w:p>
      <w:pPr>
        <w:pStyle w:val="2"/>
        <w:ind w:firstLine="480"/>
        <w:rPr>
          <w:rFonts w:ascii="Segoe UI" w:hAnsi="Segoe UI" w:cs="Segoe UI"/>
          <w:shd w:val="clear" w:color="auto" w:fill="FFFFFF"/>
        </w:rPr>
      </w:pPr>
      <w:r>
        <w:rPr>
          <w:rFonts w:ascii="Segoe UI" w:hAnsi="Segoe UI" w:cs="Segoe UI"/>
          <w:shd w:val="clear" w:color="auto" w:fill="FFFFFF"/>
        </w:rPr>
        <w:t>石油树脂是由石油裂解副产物中的烯烃、二烯烃、芳烃等不饱和烃类经聚合或共聚而制得的一类热塑性树脂，具有价格低廉、兼容性好、黏结性强等特点，广泛应用于涂料、橡胶、胶粘剂、油墨等领域。石油树脂</w:t>
      </w:r>
      <w:r>
        <w:rPr>
          <w:rFonts w:hint="eastAsia" w:asciiTheme="majorEastAsia" w:hAnsiTheme="majorEastAsia" w:eastAsiaTheme="majorEastAsia"/>
        </w:rPr>
        <w:t>领域的技术主要集中在制备工艺和制备设备领域</w:t>
      </w:r>
      <w:r>
        <w:rPr>
          <w:rFonts w:asciiTheme="majorEastAsia" w:hAnsiTheme="majorEastAsia" w:eastAsiaTheme="majorEastAsia" w:cstheme="minorBidi"/>
        </w:rPr>
        <w:t>。具体工艺和所需设备如下：</w:t>
      </w:r>
    </w:p>
    <w:p>
      <w:pPr>
        <w:pStyle w:val="2"/>
        <w:ind w:firstLine="480"/>
        <w:rPr>
          <w:rFonts w:hint="eastAsia" w:cs="Segoe UI" w:asciiTheme="minorEastAsia" w:hAnsiTheme="minorEastAsia" w:eastAsiaTheme="minorEastAsia"/>
          <w:shd w:val="clear" w:color="auto" w:fill="FFFFFF"/>
        </w:rPr>
      </w:pPr>
      <w:r>
        <w:rPr>
          <w:rFonts w:cs="Segoe UI" w:asciiTheme="minorEastAsia" w:hAnsiTheme="minorEastAsia" w:eastAsiaTheme="minorEastAsia"/>
          <w:shd w:val="clear" w:color="auto" w:fill="FFFFFF"/>
        </w:rPr>
        <w:t>1.</w:t>
      </w:r>
      <w:r>
        <w:rPr>
          <w:rFonts w:hint="eastAsia" w:cs="Segoe UI" w:asciiTheme="minorEastAsia" w:hAnsiTheme="minorEastAsia" w:eastAsiaTheme="minorEastAsia"/>
          <w:shd w:val="clear" w:color="auto" w:fill="FFFFFF"/>
        </w:rPr>
        <w:t>制备工艺</w:t>
      </w:r>
    </w:p>
    <w:p>
      <w:pPr>
        <w:pStyle w:val="2"/>
        <w:ind w:firstLine="480"/>
        <w:rPr>
          <w:rFonts w:ascii="Segoe UI" w:hAnsi="Segoe UI" w:cs="Segoe UI"/>
          <w:shd w:val="clear" w:color="auto" w:fill="FFFFFF"/>
        </w:rPr>
      </w:pPr>
      <w:r>
        <w:rPr>
          <w:rFonts w:ascii="Segoe UI" w:hAnsi="Segoe UI" w:cs="Segoe UI"/>
          <w:shd w:val="clear" w:color="auto" w:fill="FFFFFF"/>
        </w:rPr>
        <w:t>石油树脂的制备工艺以聚合反应为核心，通常包括原料预处理、聚合、分离精制等步骤，具体流程因原料类型略有差异，以 C9 石油树脂为例：</w:t>
      </w:r>
    </w:p>
    <w:p>
      <w:pPr>
        <w:pStyle w:val="2"/>
        <w:ind w:firstLine="480"/>
        <w:rPr>
          <w:rFonts w:ascii="Segoe UI" w:hAnsi="Segoe UI" w:cs="Segoe UI"/>
          <w:shd w:val="clear" w:color="auto" w:fill="FFFFFF"/>
        </w:rPr>
      </w:pPr>
      <w:r>
        <w:rPr>
          <w:rFonts w:ascii="Segoe UI" w:hAnsi="Segoe UI" w:cs="Segoe UI"/>
          <w:shd w:val="clear" w:color="auto" w:fill="FFFFFF"/>
        </w:rPr>
        <w:t>原料预处理</w:t>
      </w:r>
      <w:r>
        <w:rPr>
          <w:rFonts w:hint="eastAsia" w:ascii="Segoe UI" w:hAnsi="Segoe UI" w:cs="Segoe UI"/>
          <w:shd w:val="clear" w:color="auto" w:fill="FFFFFF"/>
        </w:rPr>
        <w:t>：</w:t>
      </w:r>
      <w:r>
        <w:rPr>
          <w:rFonts w:ascii="Segoe UI" w:hAnsi="Segoe UI" w:cs="Segoe UI"/>
          <w:shd w:val="clear" w:color="auto" w:fill="FFFFFF"/>
        </w:rPr>
        <w:t>C9 馏分中含有少量硫化物、水分等杂质，需先通过碱洗（去除酸性杂质）、水洗（中和残留碱液）、蒸馏（分离出有效成分，去除重组分和轻组分）等步骤提纯，得到纯度较高的不饱和烃原料。</w:t>
      </w:r>
    </w:p>
    <w:p>
      <w:pPr>
        <w:pStyle w:val="2"/>
        <w:ind w:firstLine="480"/>
        <w:rPr>
          <w:rFonts w:ascii="Segoe UI" w:hAnsi="Segoe UI" w:cs="Segoe UI"/>
          <w:shd w:val="clear" w:color="auto" w:fill="FFFFFF"/>
        </w:rPr>
      </w:pPr>
      <w:r>
        <w:rPr>
          <w:rFonts w:ascii="Segoe UI" w:hAnsi="Segoe UI" w:cs="Segoe UI"/>
          <w:shd w:val="clear" w:color="auto" w:fill="FFFFFF"/>
        </w:rPr>
        <w:t>聚合反应</w:t>
      </w:r>
      <w:r>
        <w:rPr>
          <w:rFonts w:hint="eastAsia" w:ascii="Segoe UI" w:hAnsi="Segoe UI" w:cs="Segoe UI"/>
          <w:shd w:val="clear" w:color="auto" w:fill="FFFFFF"/>
        </w:rPr>
        <w:t>：</w:t>
      </w:r>
      <w:r>
        <w:rPr>
          <w:rFonts w:ascii="Segoe UI" w:hAnsi="Segoe UI" w:cs="Segoe UI"/>
          <w:shd w:val="clear" w:color="auto" w:fill="FFFFFF"/>
        </w:rPr>
        <w:t>将预处理后的 C9 馏分加入聚合釜，在催化剂（如三氯化铝、氟化硼等路易斯酸，或过氧化物等自由基引发剂）作用下，于一定温度（20-80</w:t>
      </w:r>
      <w:r>
        <w:rPr>
          <w:rFonts w:hint="eastAsia" w:ascii="Segoe UI" w:hAnsi="Segoe UI" w:cs="Segoe UI"/>
          <w:shd w:val="clear" w:color="auto" w:fill="FFFFFF"/>
        </w:rPr>
        <w:t>℃</w:t>
      </w:r>
      <w:r>
        <w:rPr>
          <w:rFonts w:ascii="Segoe UI" w:hAnsi="Segoe UI" w:cs="Segoe UI"/>
          <w:shd w:val="clear" w:color="auto" w:fill="FFFFFF"/>
        </w:rPr>
        <w:t>）和压力（常压或微压）下进行聚合反应。反应时间通常为 2-6 小时，通过控制反应条件调节树脂的分子量和软化点。</w:t>
      </w:r>
    </w:p>
    <w:p>
      <w:pPr>
        <w:pStyle w:val="2"/>
        <w:ind w:firstLine="480"/>
        <w:rPr>
          <w:rFonts w:ascii="Segoe UI" w:hAnsi="Segoe UI" w:cs="Segoe UI"/>
          <w:shd w:val="clear" w:color="auto" w:fill="FFFFFF"/>
        </w:rPr>
      </w:pPr>
      <w:r>
        <w:rPr>
          <w:rFonts w:ascii="Segoe UI" w:hAnsi="Segoe UI" w:cs="Segoe UI"/>
          <w:shd w:val="clear" w:color="auto" w:fill="FFFFFF"/>
        </w:rPr>
        <w:t>分离与精制</w:t>
      </w:r>
      <w:r>
        <w:rPr>
          <w:rFonts w:hint="eastAsia" w:ascii="Segoe UI" w:hAnsi="Segoe UI" w:cs="Segoe UI"/>
          <w:shd w:val="clear" w:color="auto" w:fill="FFFFFF"/>
        </w:rPr>
        <w:t>：</w:t>
      </w:r>
    </w:p>
    <w:p>
      <w:pPr>
        <w:pStyle w:val="2"/>
        <w:ind w:firstLine="480"/>
        <w:rPr>
          <w:rFonts w:ascii="Segoe UI" w:hAnsi="Segoe UI" w:cs="Segoe UI"/>
          <w:shd w:val="clear" w:color="auto" w:fill="FFFFFF"/>
        </w:rPr>
      </w:pPr>
      <w:r>
        <w:rPr>
          <w:rFonts w:ascii="Segoe UI" w:hAnsi="Segoe UI" w:cs="Segoe UI"/>
          <w:shd w:val="clear" w:color="auto" w:fill="FFFFFF"/>
        </w:rPr>
        <w:t>脱催化剂：聚合反应结束后，加入水或稀酸中和催化剂，使其形成沉淀，通过静置分层或过滤除去。</w:t>
      </w:r>
    </w:p>
    <w:p>
      <w:pPr>
        <w:pStyle w:val="2"/>
        <w:ind w:firstLine="480"/>
        <w:rPr>
          <w:rFonts w:ascii="Segoe UI" w:hAnsi="Segoe UI" w:cs="Segoe UI"/>
          <w:shd w:val="clear" w:color="auto" w:fill="FFFFFF"/>
        </w:rPr>
      </w:pPr>
      <w:r>
        <w:rPr>
          <w:rFonts w:ascii="Segoe UI" w:hAnsi="Segoe UI" w:cs="Segoe UI"/>
          <w:shd w:val="clear" w:color="auto" w:fill="FFFFFF"/>
        </w:rPr>
        <w:t>蒸馏脱单体：将反应产物送入蒸馏塔，在减压条件下蒸出未反应的单体和低沸点组分，得到粗树脂。</w:t>
      </w:r>
    </w:p>
    <w:p>
      <w:pPr>
        <w:pStyle w:val="2"/>
        <w:ind w:firstLine="480"/>
        <w:rPr>
          <w:rFonts w:ascii="Segoe UI" w:hAnsi="Segoe UI" w:cs="Segoe UI"/>
          <w:shd w:val="clear" w:color="auto" w:fill="FFFFFF"/>
        </w:rPr>
      </w:pPr>
      <w:r>
        <w:rPr>
          <w:rFonts w:ascii="Segoe UI" w:hAnsi="Segoe UI" w:cs="Segoe UI"/>
          <w:shd w:val="clear" w:color="auto" w:fill="FFFFFF"/>
        </w:rPr>
        <w:t>加氢（可选）：若制备加氢石油树脂，需将粗树脂在高压反应釜中，在氢气和加氢催化剂（如镍、钯等）作用下进行加氢反应，去除双键和色素，改善树脂的稳定性和颜色。</w:t>
      </w:r>
    </w:p>
    <w:p>
      <w:pPr>
        <w:pStyle w:val="2"/>
        <w:ind w:firstLine="480"/>
        <w:rPr>
          <w:rFonts w:ascii="Segoe UI" w:hAnsi="Segoe UI" w:cs="Segoe UI"/>
          <w:shd w:val="clear" w:color="auto" w:fill="FFFFFF"/>
        </w:rPr>
      </w:pPr>
      <w:r>
        <w:rPr>
          <w:rFonts w:ascii="Segoe UI" w:hAnsi="Segoe UI" w:cs="Segoe UI"/>
          <w:shd w:val="clear" w:color="auto" w:fill="FFFFFF"/>
        </w:rPr>
        <w:t>成型：精制后的树脂经冷却、切片或造粒，得到固体成品。</w:t>
      </w:r>
    </w:p>
    <w:p>
      <w:pPr>
        <w:pStyle w:val="2"/>
        <w:ind w:firstLine="480"/>
        <w:rPr>
          <w:rFonts w:cs="Segoe UI" w:asciiTheme="minorEastAsia" w:hAnsiTheme="minorEastAsia" w:eastAsiaTheme="minorEastAsia"/>
          <w:shd w:val="clear" w:color="auto" w:fill="FFFFFF"/>
        </w:rPr>
      </w:pPr>
      <w:r>
        <w:rPr>
          <w:rFonts w:hint="eastAsia" w:cs="Segoe UI" w:asciiTheme="minorEastAsia" w:hAnsiTheme="minorEastAsia" w:eastAsiaTheme="minorEastAsia"/>
          <w:shd w:val="clear" w:color="auto" w:fill="FFFFFF"/>
        </w:rPr>
        <w:t>2</w:t>
      </w:r>
      <w:r>
        <w:rPr>
          <w:rFonts w:cs="Segoe UI" w:asciiTheme="minorEastAsia" w:hAnsiTheme="minorEastAsia" w:eastAsiaTheme="minorEastAsia"/>
          <w:shd w:val="clear" w:color="auto" w:fill="FFFFFF"/>
        </w:rPr>
        <w:t>.</w:t>
      </w:r>
      <w:r>
        <w:rPr>
          <w:rFonts w:hint="eastAsia" w:cs="Segoe UI" w:asciiTheme="minorEastAsia" w:hAnsiTheme="minorEastAsia" w:eastAsiaTheme="minorEastAsia"/>
          <w:shd w:val="clear" w:color="auto" w:fill="FFFFFF"/>
        </w:rPr>
        <w:t>制备设备</w:t>
      </w:r>
    </w:p>
    <w:p>
      <w:pPr>
        <w:pStyle w:val="2"/>
        <w:ind w:firstLine="480"/>
        <w:rPr>
          <w:rFonts w:ascii="Segoe UI" w:hAnsi="Segoe UI" w:cs="Segoe UI"/>
          <w:shd w:val="clear" w:color="auto" w:fill="FFFFFF"/>
        </w:rPr>
      </w:pPr>
      <w:r>
        <w:rPr>
          <w:rFonts w:ascii="Segoe UI" w:hAnsi="Segoe UI" w:cs="Segoe UI"/>
          <w:shd w:val="clear" w:color="auto" w:fill="FFFFFF"/>
        </w:rPr>
        <w:t>预处理设备：碱洗塔、水洗塔、蒸馏塔（用于原料提纯）。</w:t>
      </w:r>
    </w:p>
    <w:p>
      <w:pPr>
        <w:pStyle w:val="2"/>
        <w:ind w:firstLine="480"/>
        <w:rPr>
          <w:rFonts w:ascii="Segoe UI" w:hAnsi="Segoe UI" w:cs="Segoe UI"/>
          <w:shd w:val="clear" w:color="auto" w:fill="FFFFFF"/>
        </w:rPr>
      </w:pPr>
      <w:r>
        <w:rPr>
          <w:rFonts w:ascii="Segoe UI" w:hAnsi="Segoe UI" w:cs="Segoe UI"/>
          <w:shd w:val="clear" w:color="auto" w:fill="FFFFFF"/>
        </w:rPr>
        <w:t>聚合设备：聚合反应釜（带搅拌、温控和压力控制装置）。</w:t>
      </w:r>
    </w:p>
    <w:p>
      <w:pPr>
        <w:pStyle w:val="2"/>
        <w:ind w:firstLine="480"/>
        <w:rPr>
          <w:rFonts w:ascii="Segoe UI" w:hAnsi="Segoe UI" w:cs="Segoe UI"/>
          <w:shd w:val="clear" w:color="auto" w:fill="FFFFFF"/>
        </w:rPr>
      </w:pPr>
      <w:r>
        <w:rPr>
          <w:rFonts w:ascii="Segoe UI" w:hAnsi="Segoe UI" w:cs="Segoe UI"/>
          <w:shd w:val="clear" w:color="auto" w:fill="FFFFFF"/>
        </w:rPr>
        <w:t>分离设备：中和釜（脱催化剂）、减压蒸馏塔（脱单体）、过滤机（去除杂质）。</w:t>
      </w:r>
    </w:p>
    <w:p>
      <w:pPr>
        <w:pStyle w:val="2"/>
        <w:ind w:firstLine="480"/>
        <w:rPr>
          <w:rFonts w:ascii="Segoe UI" w:hAnsi="Segoe UI" w:cs="Segoe UI"/>
          <w:shd w:val="clear" w:color="auto" w:fill="FFFFFF"/>
        </w:rPr>
      </w:pPr>
      <w:r>
        <w:rPr>
          <w:rFonts w:ascii="Segoe UI" w:hAnsi="Segoe UI" w:cs="Segoe UI"/>
          <w:shd w:val="clear" w:color="auto" w:fill="FFFFFF"/>
        </w:rPr>
        <w:t>加氢设备：高压加氢反应釜（用于加氢树脂生产）。</w:t>
      </w:r>
    </w:p>
    <w:p>
      <w:pPr>
        <w:pStyle w:val="2"/>
        <w:ind w:firstLine="480"/>
        <w:rPr>
          <w:rFonts w:ascii="Segoe UI" w:hAnsi="Segoe UI" w:cs="Segoe UI"/>
          <w:shd w:val="clear" w:color="auto" w:fill="FFFFFF"/>
        </w:rPr>
      </w:pPr>
      <w:r>
        <w:rPr>
          <w:rFonts w:ascii="Segoe UI" w:hAnsi="Segoe UI" w:cs="Segoe UI"/>
          <w:shd w:val="clear" w:color="auto" w:fill="FFFFFF"/>
        </w:rPr>
        <w:t>成型设备：冷却滚筒、切片机或造粒机（将熔融树脂制成固体颗粒）。</w:t>
      </w:r>
    </w:p>
    <w:p>
      <w:pPr>
        <w:ind w:firstLine="482"/>
        <w:rPr>
          <w:rFonts w:asciiTheme="majorEastAsia" w:hAnsiTheme="majorEastAsia" w:eastAsiaTheme="majorEastAsia"/>
          <w:b/>
          <w:bCs/>
        </w:rPr>
      </w:pPr>
      <w:r>
        <w:rPr>
          <w:rFonts w:hint="eastAsia" w:asciiTheme="majorEastAsia" w:hAnsiTheme="majorEastAsia" w:eastAsiaTheme="majorEastAsia"/>
          <w:b/>
          <w:bCs/>
        </w:rPr>
        <w:t>（二）</w:t>
      </w:r>
      <w:r>
        <w:rPr>
          <w:rFonts w:ascii="Segoe UI" w:hAnsi="Segoe UI" w:cs="Segoe UI"/>
          <w:b/>
          <w:bCs/>
          <w:shd w:val="clear" w:color="auto" w:fill="FFFFFF"/>
        </w:rPr>
        <w:t>烷基磺酸苯酯</w:t>
      </w:r>
    </w:p>
    <w:p>
      <w:pPr>
        <w:ind w:firstLine="480"/>
        <w:rPr>
          <w:rFonts w:asciiTheme="majorEastAsia" w:hAnsiTheme="majorEastAsia" w:eastAsiaTheme="majorEastAsia"/>
        </w:rPr>
      </w:pPr>
      <w:r>
        <w:rPr>
          <w:rFonts w:ascii="Segoe UI" w:hAnsi="Segoe UI" w:cs="Segoe UI"/>
          <w:shd w:val="clear" w:color="auto" w:fill="FFFFFF"/>
        </w:rPr>
        <w:t>烷基磺酸苯酯是一类重要的有机化合物，通常作为增塑剂、润滑剂或表面活性剂使用，广泛应用于塑料、橡胶、涂料等行业。</w:t>
      </w:r>
      <w:r>
        <w:rPr>
          <w:rFonts w:asciiTheme="majorEastAsia" w:hAnsiTheme="majorEastAsia" w:eastAsiaTheme="majorEastAsia"/>
        </w:rPr>
        <w:t>烷基磺酸苯酯</w:t>
      </w:r>
      <w:r>
        <w:rPr>
          <w:rFonts w:hint="eastAsia" w:asciiTheme="majorEastAsia" w:hAnsiTheme="majorEastAsia" w:eastAsiaTheme="majorEastAsia"/>
        </w:rPr>
        <w:t>领域的技术主要集中在制备工艺和制备设备领域</w:t>
      </w:r>
      <w:r>
        <w:rPr>
          <w:rFonts w:asciiTheme="majorEastAsia" w:hAnsiTheme="majorEastAsia" w:eastAsiaTheme="majorEastAsia"/>
        </w:rPr>
        <w:t>。具体工艺和所需设备如下：</w:t>
      </w:r>
    </w:p>
    <w:p>
      <w:pPr>
        <w:ind w:firstLine="480"/>
        <w:rPr>
          <w:rFonts w:asciiTheme="majorEastAsia" w:hAnsiTheme="majorEastAsia" w:eastAsiaTheme="majorEastAsia"/>
        </w:rPr>
      </w:pPr>
      <w:r>
        <w:rPr>
          <w:rFonts w:hint="eastAsia" w:asciiTheme="majorEastAsia" w:hAnsiTheme="majorEastAsia" w:eastAsiaTheme="majorEastAsia"/>
        </w:rPr>
        <w:t>1</w:t>
      </w:r>
      <w:r>
        <w:rPr>
          <w:rFonts w:asciiTheme="majorEastAsia" w:hAnsiTheme="majorEastAsia" w:eastAsiaTheme="majorEastAsia"/>
        </w:rPr>
        <w:t>.制备工艺</w:t>
      </w:r>
    </w:p>
    <w:p>
      <w:pPr>
        <w:ind w:firstLine="480"/>
        <w:rPr>
          <w:rFonts w:asciiTheme="majorEastAsia" w:hAnsiTheme="majorEastAsia" w:eastAsiaTheme="majorEastAsia"/>
        </w:rPr>
      </w:pPr>
      <w:r>
        <w:rPr>
          <w:rFonts w:asciiTheme="majorEastAsia" w:hAnsiTheme="majorEastAsia" w:eastAsiaTheme="majorEastAsia"/>
        </w:rPr>
        <w:t>磺氯化反应：将主要成分为 C12-C18 的正构烷烃置于磺氯化塔中，在光照下，通入氯气和二氧化硫混合气，发生磺酰氯化反应生成烷基磺酰氯，反应放出的氯化氢气体在吸收塔中用水吸收成盐酸。未反应完全的物料在脱气塔中用空气进一步脱去氯化氢气体，也在吸收塔内用水吸收为盐酸。</w:t>
      </w:r>
    </w:p>
    <w:p>
      <w:pPr>
        <w:ind w:firstLine="480"/>
        <w:rPr>
          <w:rFonts w:asciiTheme="majorEastAsia" w:hAnsiTheme="majorEastAsia" w:eastAsiaTheme="majorEastAsia"/>
        </w:rPr>
      </w:pPr>
      <w:bookmarkStart w:id="14" w:name="OLE_LINK8"/>
      <w:r>
        <w:rPr>
          <w:rFonts w:asciiTheme="majorEastAsia" w:hAnsiTheme="majorEastAsia" w:eastAsiaTheme="majorEastAsia"/>
        </w:rPr>
        <w:t>酯化反应</w:t>
      </w:r>
      <w:bookmarkEnd w:id="14"/>
      <w:r>
        <w:rPr>
          <w:rFonts w:asciiTheme="majorEastAsia" w:hAnsiTheme="majorEastAsia" w:eastAsiaTheme="majorEastAsia"/>
        </w:rPr>
        <w:t>：将烷基磺酰氯送入酯化釜，与苯酚在碱性条件下进行酯化反应。投料温度不超过 55</w:t>
      </w:r>
      <w:r>
        <w:rPr>
          <w:rFonts w:hint="eastAsia" w:asciiTheme="majorEastAsia" w:hAnsiTheme="majorEastAsia" w:eastAsiaTheme="majorEastAsia"/>
        </w:rPr>
        <w:t>℃</w:t>
      </w:r>
      <w:r>
        <w:rPr>
          <w:rFonts w:asciiTheme="majorEastAsia" w:hAnsiTheme="majorEastAsia" w:eastAsiaTheme="majorEastAsia"/>
        </w:rPr>
        <w:t>，时间不少于 1h，投料后逐步升温到 80</w:t>
      </w:r>
      <w:r>
        <w:rPr>
          <w:rFonts w:hint="eastAsia" w:asciiTheme="majorEastAsia" w:hAnsiTheme="majorEastAsia" w:eastAsiaTheme="majorEastAsia"/>
        </w:rPr>
        <w:t>℃</w:t>
      </w:r>
      <w:r>
        <w:rPr>
          <w:rFonts w:asciiTheme="majorEastAsia" w:hAnsiTheme="majorEastAsia" w:eastAsiaTheme="majorEastAsia"/>
        </w:rPr>
        <w:t>反应 3h。反应完成后，放掉下层废水，得到上层粗酯。</w:t>
      </w:r>
    </w:p>
    <w:p>
      <w:pPr>
        <w:ind w:firstLine="480"/>
        <w:rPr>
          <w:rFonts w:asciiTheme="majorEastAsia" w:hAnsiTheme="majorEastAsia" w:eastAsiaTheme="majorEastAsia"/>
        </w:rPr>
      </w:pPr>
      <w:r>
        <w:rPr>
          <w:rFonts w:asciiTheme="majorEastAsia" w:hAnsiTheme="majorEastAsia" w:eastAsiaTheme="majorEastAsia"/>
        </w:rPr>
        <w:t>洗涤：将粗酯送入萃取釜中用碱水洗涤，洗下的酚钠可回收供下次反应用，废碱液放入废碱储罐。</w:t>
      </w:r>
    </w:p>
    <w:p>
      <w:pPr>
        <w:ind w:firstLine="480"/>
        <w:rPr>
          <w:rFonts w:asciiTheme="majorEastAsia" w:hAnsiTheme="majorEastAsia" w:eastAsiaTheme="majorEastAsia"/>
        </w:rPr>
      </w:pPr>
      <w:r>
        <w:rPr>
          <w:rFonts w:asciiTheme="majorEastAsia" w:hAnsiTheme="majorEastAsia" w:eastAsiaTheme="majorEastAsia"/>
        </w:rPr>
        <w:t>蒸馏：经洗涤后的粗酯在蒸馏塔中用过热蒸汽进行水蒸气蒸馏，以除去未反应的液蜡。</w:t>
      </w:r>
    </w:p>
    <w:p>
      <w:pPr>
        <w:ind w:firstLine="480"/>
        <w:rPr>
          <w:rFonts w:asciiTheme="majorEastAsia" w:hAnsiTheme="majorEastAsia" w:eastAsiaTheme="majorEastAsia"/>
        </w:rPr>
      </w:pPr>
      <w:r>
        <w:rPr>
          <w:rFonts w:asciiTheme="majorEastAsia" w:hAnsiTheme="majorEastAsia" w:eastAsiaTheme="majorEastAsia"/>
        </w:rPr>
        <w:t>脱色脱水与过滤：蒸馏后的产品进入脱色釜，用次氯酸钠等进行漂白，然后在脱水釜中除水，最后经板框压滤机过滤后得到成品烷基磺酸苯酯。</w:t>
      </w:r>
    </w:p>
    <w:p>
      <w:pPr>
        <w:ind w:firstLine="480"/>
        <w:rPr>
          <w:rFonts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.制备设备</w:t>
      </w:r>
    </w:p>
    <w:p>
      <w:pPr>
        <w:ind w:firstLine="480"/>
        <w:rPr>
          <w:rFonts w:asciiTheme="majorEastAsia" w:hAnsiTheme="majorEastAsia" w:eastAsiaTheme="majorEastAsia"/>
        </w:rPr>
      </w:pPr>
      <w:bookmarkStart w:id="15" w:name="OLE_LINK13"/>
      <w:r>
        <w:rPr>
          <w:rFonts w:asciiTheme="majorEastAsia" w:hAnsiTheme="majorEastAsia" w:eastAsiaTheme="majorEastAsia"/>
        </w:rPr>
        <w:t>磺氯化反应设备</w:t>
      </w:r>
      <w:bookmarkEnd w:id="15"/>
      <w:r>
        <w:rPr>
          <w:rFonts w:asciiTheme="majorEastAsia" w:hAnsiTheme="majorEastAsia" w:eastAsiaTheme="majorEastAsia"/>
        </w:rPr>
        <w:t>：主要为磺氯化塔，需具备良好的光照条件，可采用石英玻璃等材质让光线更好地进入塔内，使反应充分进行。还需要配备氯气和二氧化硫的通入装置、气体吸收塔等，用于通入反应气体和吸收反应产生的氯化氢气体。</w:t>
      </w:r>
    </w:p>
    <w:p>
      <w:pPr>
        <w:ind w:firstLine="480"/>
        <w:rPr>
          <w:rFonts w:asciiTheme="majorEastAsia" w:hAnsiTheme="majorEastAsia" w:eastAsiaTheme="majorEastAsia"/>
        </w:rPr>
      </w:pPr>
      <w:r>
        <w:rPr>
          <w:rFonts w:asciiTheme="majorEastAsia" w:hAnsiTheme="majorEastAsia" w:eastAsiaTheme="majorEastAsia"/>
        </w:rPr>
        <w:t>酯化反应设备：通常使用酯化反应釜，如全密封外盘管反应釜，可通过外盘管进行加热或冷却，以控制反应温度，还需配备搅拌装置，使反应物充分混合，加快反应速率。</w:t>
      </w:r>
    </w:p>
    <w:p>
      <w:pPr>
        <w:ind w:firstLine="480"/>
        <w:rPr>
          <w:rFonts w:asciiTheme="majorEastAsia" w:hAnsiTheme="majorEastAsia" w:eastAsiaTheme="majorEastAsia"/>
        </w:rPr>
      </w:pPr>
      <w:r>
        <w:rPr>
          <w:rFonts w:asciiTheme="majorEastAsia" w:hAnsiTheme="majorEastAsia" w:eastAsiaTheme="majorEastAsia"/>
        </w:rPr>
        <w:t>洗涤设备：一般采用萃取釜，可实现粗酯与碱水的充分混合与分离，通常配有搅拌器和分层装置，便于分离出酚钠和废碱液。</w:t>
      </w:r>
    </w:p>
    <w:p>
      <w:pPr>
        <w:ind w:firstLine="480"/>
        <w:rPr>
          <w:rFonts w:asciiTheme="majorEastAsia" w:hAnsiTheme="majorEastAsia" w:eastAsiaTheme="majorEastAsia"/>
        </w:rPr>
      </w:pPr>
      <w:r>
        <w:rPr>
          <w:rFonts w:asciiTheme="majorEastAsia" w:hAnsiTheme="majorEastAsia" w:eastAsiaTheme="majorEastAsia"/>
        </w:rPr>
        <w:t>蒸馏设备：包括蒸馏塔，如新式蒸馏塔，可采用填料塔或板式塔等形式，配合加热装置和冷凝装置，通过过热蒸汽蒸馏除去未反应的液蜡。</w:t>
      </w:r>
    </w:p>
    <w:p>
      <w:pPr>
        <w:ind w:firstLine="480"/>
        <w:rPr>
          <w:rFonts w:asciiTheme="majorEastAsia" w:hAnsiTheme="majorEastAsia" w:eastAsiaTheme="majorEastAsia"/>
        </w:rPr>
      </w:pPr>
      <w:r>
        <w:rPr>
          <w:rFonts w:asciiTheme="majorEastAsia" w:hAnsiTheme="majorEastAsia" w:eastAsiaTheme="majorEastAsia"/>
        </w:rPr>
        <w:t>脱色脱水与过滤设备：脱色釜用于产品脱色，可设置搅拌装置使脱色剂与产品充分混合。脱水釜可通过加热和减压等方式实现产品脱水。过滤设备常用板框压滤机，用于去除产品中的固体杂质，得到纯净的烷基磺酸苯酯。</w:t>
      </w:r>
    </w:p>
    <w:p>
      <w:pPr>
        <w:ind w:firstLine="480"/>
        <w:rPr>
          <w:rFonts w:hint="eastAsia" w:asciiTheme="majorEastAsia" w:hAnsiTheme="majorEastAsia" w:eastAsiaTheme="majorEastAsia"/>
        </w:rPr>
      </w:pPr>
      <w:r>
        <w:rPr>
          <w:rFonts w:asciiTheme="majorEastAsia" w:hAnsiTheme="majorEastAsia" w:eastAsiaTheme="majorEastAsia"/>
        </w:rPr>
        <w:t>其他辅助设备：还需要一些辅助设备，如原料储存罐、计量装置、输送泵等，用于储存原料、精确计量投料量以及输送物料等，另外还有用于控制反应条件和监测设备运行的自动化控制系统等。</w:t>
      </w:r>
    </w:p>
    <w:p>
      <w:pPr>
        <w:pStyle w:val="2"/>
        <w:ind w:firstLine="482"/>
        <w:rPr>
          <w:b/>
          <w:bCs/>
        </w:rPr>
      </w:pPr>
      <w:r>
        <w:rPr>
          <w:rFonts w:hint="eastAsia"/>
          <w:b/>
          <w:bCs/>
        </w:rPr>
        <w:t>二、技术分解</w:t>
      </w:r>
    </w:p>
    <w:p>
      <w:pPr>
        <w:ind w:firstLine="0" w:firstLineChars="0"/>
        <w:jc w:val="center"/>
        <w:rPr>
          <w:rFonts w:ascii="宋体" w:hAnsi="宋体"/>
          <w:b/>
          <w:bCs/>
        </w:rPr>
      </w:pPr>
      <w:r>
        <w:rPr>
          <w:rFonts w:hint="eastAsia" w:ascii="宋体" w:hAnsi="宋体"/>
          <w:b/>
          <w:bCs/>
        </w:rPr>
        <w:t>表</w:t>
      </w:r>
      <w:r>
        <w:rPr>
          <w:rFonts w:ascii="宋体" w:hAnsi="宋体"/>
          <w:b/>
          <w:bCs/>
        </w:rPr>
        <w:t xml:space="preserve">2.1-1 </w:t>
      </w:r>
      <w:r>
        <w:rPr>
          <w:rFonts w:hint="eastAsia" w:ascii="宋体" w:hAnsi="宋体"/>
          <w:b/>
          <w:bCs/>
        </w:rPr>
        <w:t>石油化工技术分解表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2098"/>
        <w:gridCol w:w="2098"/>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Align w:val="center"/>
          </w:tcPr>
          <w:p>
            <w:pPr>
              <w:ind w:firstLine="0" w:firstLineChars="0"/>
              <w:jc w:val="center"/>
              <w:rPr>
                <w:rFonts w:ascii="宋体" w:hAnsi="宋体"/>
                <w:b/>
                <w:bCs/>
              </w:rPr>
            </w:pPr>
            <w:r>
              <w:rPr>
                <w:rFonts w:hint="eastAsia" w:ascii="宋体" w:hAnsi="宋体"/>
                <w:b/>
                <w:bCs/>
              </w:rPr>
              <w:t>一级分支</w:t>
            </w:r>
          </w:p>
        </w:tc>
        <w:tc>
          <w:tcPr>
            <w:tcW w:w="1231" w:type="pct"/>
            <w:vAlign w:val="center"/>
          </w:tcPr>
          <w:p>
            <w:pPr>
              <w:ind w:firstLine="0" w:firstLineChars="0"/>
              <w:jc w:val="center"/>
              <w:rPr>
                <w:rFonts w:ascii="宋体" w:hAnsi="宋体"/>
                <w:b/>
                <w:bCs/>
              </w:rPr>
            </w:pPr>
            <w:r>
              <w:rPr>
                <w:rFonts w:hint="eastAsia" w:ascii="宋体" w:hAnsi="宋体"/>
                <w:b/>
                <w:bCs/>
              </w:rPr>
              <w:t>二级分支</w:t>
            </w:r>
          </w:p>
        </w:tc>
        <w:tc>
          <w:tcPr>
            <w:tcW w:w="1231" w:type="pct"/>
          </w:tcPr>
          <w:p>
            <w:pPr>
              <w:ind w:firstLine="0" w:firstLineChars="0"/>
              <w:jc w:val="center"/>
              <w:rPr>
                <w:rFonts w:ascii="宋体" w:hAnsi="宋体"/>
                <w:b/>
                <w:bCs/>
              </w:rPr>
            </w:pPr>
            <w:r>
              <w:rPr>
                <w:rFonts w:hint="eastAsia" w:ascii="宋体" w:hAnsi="宋体"/>
                <w:b/>
                <w:bCs/>
              </w:rPr>
              <w:t>三级分支</w:t>
            </w:r>
          </w:p>
        </w:tc>
        <w:tc>
          <w:tcPr>
            <w:tcW w:w="1231" w:type="pct"/>
          </w:tcPr>
          <w:p>
            <w:pPr>
              <w:ind w:firstLine="0" w:firstLineChars="0"/>
              <w:jc w:val="center"/>
              <w:rPr>
                <w:rFonts w:ascii="宋体" w:hAnsi="宋体"/>
                <w:b/>
                <w:bCs/>
              </w:rPr>
            </w:pPr>
            <w:r>
              <w:rPr>
                <w:rFonts w:hint="eastAsia" w:ascii="宋体" w:hAnsi="宋体"/>
                <w:b/>
                <w:bCs/>
              </w:rPr>
              <w:t>四级分支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restart"/>
            <w:vAlign w:val="center"/>
          </w:tcPr>
          <w:p>
            <w:pPr>
              <w:ind w:firstLine="0" w:firstLineChars="0"/>
              <w:jc w:val="center"/>
              <w:rPr>
                <w:rFonts w:ascii="宋体" w:hAnsi="宋体"/>
              </w:rPr>
            </w:pPr>
            <w:bookmarkStart w:id="16" w:name="_Hlk200120072"/>
            <w:r>
              <w:rPr>
                <w:rFonts w:hint="eastAsia" w:ascii="宋体" w:hAnsi="宋体"/>
              </w:rPr>
              <w:t>石油化工产品</w:t>
            </w:r>
          </w:p>
        </w:tc>
        <w:tc>
          <w:tcPr>
            <w:tcW w:w="1231" w:type="pct"/>
            <w:vMerge w:val="restart"/>
            <w:vAlign w:val="center"/>
          </w:tcPr>
          <w:p>
            <w:pPr>
              <w:ind w:firstLine="0" w:firstLineChars="0"/>
              <w:jc w:val="center"/>
              <w:rPr>
                <w:rFonts w:ascii="宋体" w:hAnsi="宋体"/>
              </w:rPr>
            </w:pPr>
            <w:r>
              <w:rPr>
                <w:rFonts w:hint="eastAsia" w:ascii="宋体" w:hAnsi="宋体"/>
              </w:rPr>
              <w:t>石油树脂</w:t>
            </w:r>
          </w:p>
        </w:tc>
        <w:tc>
          <w:tcPr>
            <w:tcW w:w="1231" w:type="pct"/>
            <w:vMerge w:val="restart"/>
            <w:vAlign w:val="center"/>
          </w:tcPr>
          <w:p>
            <w:pPr>
              <w:ind w:firstLine="0" w:firstLineChars="0"/>
              <w:jc w:val="center"/>
            </w:pPr>
            <w:r>
              <w:rPr>
                <w:rFonts w:hint="eastAsia"/>
              </w:rPr>
              <w:t>制备工艺</w:t>
            </w:r>
          </w:p>
        </w:tc>
        <w:tc>
          <w:tcPr>
            <w:tcW w:w="1231" w:type="pct"/>
            <w:vAlign w:val="center"/>
          </w:tcPr>
          <w:p>
            <w:pPr>
              <w:ind w:firstLine="0" w:firstLineChars="0"/>
              <w:jc w:val="center"/>
            </w:pPr>
            <w:r>
              <w:t>原料预处理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t>聚合反应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t>分离与精制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restart"/>
            <w:vAlign w:val="center"/>
          </w:tcPr>
          <w:p>
            <w:pPr>
              <w:ind w:firstLine="0" w:firstLineChars="0"/>
              <w:jc w:val="center"/>
              <w:rPr>
                <w:rFonts w:hint="eastAsia"/>
              </w:rPr>
            </w:pPr>
            <w:r>
              <w:rPr>
                <w:rFonts w:hint="eastAsia"/>
              </w:rPr>
              <w:t>制备设备</w:t>
            </w:r>
          </w:p>
        </w:tc>
        <w:tc>
          <w:tcPr>
            <w:tcW w:w="1231" w:type="pct"/>
            <w:vAlign w:val="center"/>
          </w:tcPr>
          <w:p>
            <w:pPr>
              <w:ind w:firstLine="0" w:firstLineChars="0"/>
              <w:jc w:val="center"/>
            </w:pPr>
            <w:r>
              <w:t>预处理设备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t>聚合设备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t>分离设备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t>加氢设备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07" w:type="pct"/>
            <w:vMerge w:val="continue"/>
            <w:vAlign w:val="center"/>
          </w:tcPr>
          <w:p>
            <w:pPr>
              <w:ind w:firstLine="0" w:firstLineChars="0"/>
              <w:jc w:val="center"/>
              <w:rPr>
                <w:rFonts w:ascii="宋体" w:hAnsi="宋体"/>
              </w:rPr>
            </w:pPr>
            <w:bookmarkStart w:id="17" w:name="_Hlk200545090"/>
          </w:p>
        </w:tc>
        <w:tc>
          <w:tcPr>
            <w:tcW w:w="1231" w:type="pct"/>
            <w:vMerge w:val="continue"/>
            <w:vAlign w:val="center"/>
          </w:tcPr>
          <w:p>
            <w:pPr>
              <w:ind w:firstLine="0" w:firstLineChars="0"/>
              <w:jc w:val="center"/>
              <w:rPr>
                <w:rStyle w:val="24"/>
                <w:rFonts w:ascii="Segoe UI" w:hAnsi="Segoe UI" w:cs="Segoe UI"/>
                <w:b w:val="0"/>
                <w:bCs w:val="0"/>
                <w:shd w:val="clear" w:color="auto" w:fill="FFFFFF"/>
              </w:rP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t>成型设备</w:t>
            </w:r>
          </w:p>
        </w:tc>
      </w:tr>
      <w:bookmarkEnd w:id="1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restart"/>
            <w:vAlign w:val="center"/>
          </w:tcPr>
          <w:p>
            <w:pPr>
              <w:ind w:firstLine="0" w:firstLineChars="0"/>
              <w:jc w:val="center"/>
            </w:pPr>
            <w:r>
              <w:rPr>
                <w:rFonts w:ascii="宋体" w:hAnsi="宋体"/>
              </w:rPr>
              <w:t>烷基磺酸苯酯</w:t>
            </w:r>
          </w:p>
        </w:tc>
        <w:tc>
          <w:tcPr>
            <w:tcW w:w="1231" w:type="pct"/>
            <w:vMerge w:val="restart"/>
            <w:vAlign w:val="center"/>
          </w:tcPr>
          <w:p>
            <w:pPr>
              <w:ind w:firstLine="0" w:firstLineChars="0"/>
              <w:jc w:val="center"/>
            </w:pPr>
            <w:r>
              <w:rPr>
                <w:rFonts w:hint="eastAsia"/>
              </w:rPr>
              <w:t>制备工艺</w:t>
            </w:r>
          </w:p>
        </w:tc>
        <w:tc>
          <w:tcPr>
            <w:tcW w:w="1231" w:type="pct"/>
            <w:vAlign w:val="center"/>
          </w:tcPr>
          <w:p>
            <w:pPr>
              <w:ind w:firstLine="0" w:firstLineChars="0"/>
              <w:jc w:val="center"/>
            </w:pPr>
            <w:r>
              <w:rPr>
                <w:rFonts w:asciiTheme="majorEastAsia" w:hAnsiTheme="majorEastAsia" w:eastAsiaTheme="majorEastAsia"/>
              </w:rPr>
              <w:t>磺氯化反应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asciiTheme="majorEastAsia" w:hAnsiTheme="majorEastAsia" w:eastAsiaTheme="majorEastAsia"/>
              </w:rPr>
              <w:t>酯化反应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洗涤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蒸馏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脱色脱水与过滤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restart"/>
            <w:vAlign w:val="center"/>
          </w:tcPr>
          <w:p>
            <w:pPr>
              <w:ind w:firstLine="0" w:firstLineChars="0"/>
              <w:jc w:val="center"/>
              <w:rPr>
                <w:rFonts w:hint="eastAsia"/>
              </w:rPr>
            </w:pPr>
            <w:r>
              <w:rPr>
                <w:rFonts w:hint="eastAsia"/>
              </w:rPr>
              <w:t>制备设备</w:t>
            </w:r>
          </w:p>
        </w:tc>
        <w:tc>
          <w:tcPr>
            <w:tcW w:w="1231" w:type="pct"/>
            <w:vAlign w:val="center"/>
          </w:tcPr>
          <w:p>
            <w:pPr>
              <w:ind w:firstLine="0" w:firstLineChars="0"/>
              <w:jc w:val="center"/>
            </w:pPr>
            <w:r>
              <w:rPr>
                <w:rFonts w:hint="eastAsia" w:asciiTheme="majorEastAsia" w:hAnsiTheme="majorEastAsia" w:eastAsiaTheme="majorEastAsia"/>
              </w:rPr>
              <w:t>磺氯化反应设备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asciiTheme="majorEastAsia" w:hAnsiTheme="majorEastAsia" w:eastAsiaTheme="majorEastAsia"/>
              </w:rPr>
              <w:t>酯化反应设备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asciiTheme="majorEastAsia" w:hAnsiTheme="majorEastAsia" w:eastAsiaTheme="majorEastAsia"/>
              </w:rPr>
              <w:t>洗涤设备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asciiTheme="majorEastAsia" w:hAnsiTheme="majorEastAsia" w:eastAsiaTheme="majorEastAsia"/>
              </w:rPr>
              <w:t>蒸馏设备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asciiTheme="majorEastAsia" w:hAnsiTheme="majorEastAsia" w:eastAsiaTheme="majorEastAsia"/>
              </w:rPr>
              <w:t>脱色脱水与过滤设备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asciiTheme="majorEastAsia" w:hAnsiTheme="majorEastAsia" w:eastAsiaTheme="majorEastAsia"/>
              </w:rPr>
              <w:t>其他辅助设备</w:t>
            </w:r>
          </w:p>
        </w:tc>
      </w:tr>
      <w:bookmarkEnd w:id="16"/>
    </w:tbl>
    <w:p>
      <w:pPr>
        <w:ind w:firstLine="482"/>
        <w:rPr>
          <w:b/>
          <w:bCs/>
        </w:rPr>
      </w:pPr>
    </w:p>
    <w:p>
      <w:pPr>
        <w:pStyle w:val="2"/>
        <w:ind w:firstLine="482"/>
        <w:rPr>
          <w:b/>
          <w:bCs/>
        </w:rPr>
      </w:pPr>
      <w:r>
        <w:rPr>
          <w:rFonts w:hint="eastAsia"/>
          <w:b/>
          <w:bCs/>
        </w:rPr>
        <w:t>三、检索范围</w:t>
      </w:r>
    </w:p>
    <w:p>
      <w:pPr>
        <w:ind w:firstLine="480"/>
        <w:rPr>
          <w:rFonts w:ascii="宋体" w:hAnsi="宋体" w:cs="楷体"/>
          <w:color w:val="000000" w:themeColor="text1"/>
        </w:rPr>
      </w:pPr>
      <w:r>
        <w:rPr>
          <w:rFonts w:hint="eastAsia" w:ascii="宋体" w:hAnsi="宋体" w:cs="楷体"/>
          <w:color w:val="000000" w:themeColor="text1"/>
        </w:rPr>
        <w:t>本次</w:t>
      </w:r>
      <w:r>
        <w:rPr>
          <w:rFonts w:ascii="宋体" w:hAnsi="宋体" w:cs="楷体"/>
          <w:color w:val="000000" w:themeColor="text1"/>
        </w:rPr>
        <w:t>分析报告综合了分类号检索策略、关键词检索策略以及申请人或发明人追踪检索策略。</w:t>
      </w:r>
    </w:p>
    <w:p>
      <w:pPr>
        <w:ind w:firstLine="480"/>
        <w:rPr>
          <w:rFonts w:ascii="宋体" w:hAnsi="宋体" w:cs="楷体"/>
          <w:color w:val="000000" w:themeColor="text1"/>
        </w:rPr>
      </w:pPr>
      <w:r>
        <w:rPr>
          <w:rFonts w:ascii="宋体" w:hAnsi="宋体" w:cs="楷体"/>
          <w:color w:val="000000" w:themeColor="text1"/>
        </w:rPr>
        <w:t>分类号检索策略</w:t>
      </w:r>
      <w:r>
        <w:rPr>
          <w:rFonts w:hint="eastAsia" w:ascii="宋体" w:hAnsi="宋体" w:cs="楷体"/>
          <w:color w:val="000000" w:themeColor="text1"/>
        </w:rPr>
        <w:t>：采用</w:t>
      </w:r>
      <w:r>
        <w:rPr>
          <w:rFonts w:ascii="宋体" w:hAnsi="宋体" w:cs="楷体"/>
          <w:color w:val="000000" w:themeColor="text1"/>
        </w:rPr>
        <w:t>国际上通用的专利文献分类规</w:t>
      </w:r>
      <w:r>
        <w:rPr>
          <w:rFonts w:hint="eastAsia" w:ascii="宋体" w:hAnsi="宋体" w:cs="楷体"/>
          <w:color w:val="000000" w:themeColor="text1"/>
        </w:rPr>
        <w:t>--</w:t>
      </w:r>
      <w:r>
        <w:rPr>
          <w:rFonts w:ascii="宋体" w:hAnsi="宋体" w:cs="楷体"/>
          <w:color w:val="000000" w:themeColor="text1"/>
        </w:rPr>
        <w:t>IPC分类规则</w:t>
      </w:r>
      <w:r>
        <w:rPr>
          <w:rFonts w:hint="eastAsia" w:ascii="宋体" w:hAnsi="宋体" w:cs="楷体"/>
          <w:color w:val="000000" w:themeColor="text1"/>
        </w:rPr>
        <w:t>，</w:t>
      </w:r>
      <w:r>
        <w:rPr>
          <w:rFonts w:ascii="宋体" w:hAnsi="宋体" w:cs="楷体"/>
          <w:color w:val="000000" w:themeColor="text1"/>
        </w:rPr>
        <w:t>另外，针对EPO、USPTO以及JPO</w:t>
      </w:r>
      <w:r>
        <w:rPr>
          <w:rFonts w:hint="eastAsia" w:ascii="宋体" w:hAnsi="宋体" w:cs="楷体"/>
          <w:color w:val="000000" w:themeColor="text1"/>
        </w:rPr>
        <w:t>，</w:t>
      </w:r>
      <w:r>
        <w:rPr>
          <w:rFonts w:ascii="宋体" w:hAnsi="宋体" w:cs="楷体"/>
          <w:color w:val="000000" w:themeColor="text1"/>
        </w:rPr>
        <w:t>分别采用ECLA、UC、FI/FT等分类体系，对其公布的文献、部分外国专利文献和一些非专利文献进行分类检索。在本报告中根据</w:t>
      </w:r>
      <w:r>
        <w:rPr>
          <w:rFonts w:hint="eastAsia" w:ascii="宋体" w:hAnsi="宋体" w:cs="楷体"/>
          <w:color w:val="000000" w:themeColor="text1"/>
        </w:rPr>
        <w:t>达宝文</w:t>
      </w:r>
      <w:r>
        <w:rPr>
          <w:rFonts w:ascii="宋体" w:hAnsi="宋体" w:cs="楷体"/>
          <w:color w:val="000000" w:themeColor="text1"/>
        </w:rPr>
        <w:t>公司提供的相关技术资料进行技术分解，重点选择IPC分类体系进行检索。</w:t>
      </w:r>
    </w:p>
    <w:p>
      <w:pPr>
        <w:ind w:firstLine="480"/>
        <w:rPr>
          <w:rFonts w:ascii="宋体" w:hAnsi="宋体" w:cs="楷体"/>
          <w:color w:val="000000" w:themeColor="text1"/>
        </w:rPr>
      </w:pPr>
      <w:r>
        <w:rPr>
          <w:rFonts w:ascii="宋体" w:hAnsi="宋体" w:cs="楷体"/>
          <w:color w:val="000000" w:themeColor="text1"/>
        </w:rPr>
        <w:t>关键词检索策略</w:t>
      </w:r>
      <w:r>
        <w:rPr>
          <w:rFonts w:hint="eastAsia" w:ascii="宋体" w:hAnsi="宋体" w:cs="楷体"/>
          <w:color w:val="000000" w:themeColor="text1"/>
        </w:rPr>
        <w:t>：</w:t>
      </w:r>
      <w:r>
        <w:rPr>
          <w:rFonts w:ascii="宋体" w:hAnsi="宋体" w:cs="楷体"/>
          <w:color w:val="000000" w:themeColor="text1"/>
        </w:rPr>
        <w:t>本报告针对关键词在标题</w:t>
      </w:r>
      <w:r>
        <w:rPr>
          <w:rFonts w:hint="eastAsia" w:ascii="宋体" w:hAnsi="宋体" w:cs="楷体"/>
          <w:color w:val="000000" w:themeColor="text1"/>
        </w:rPr>
        <w:t>、</w:t>
      </w:r>
      <w:r>
        <w:rPr>
          <w:rFonts w:ascii="宋体" w:hAnsi="宋体" w:cs="楷体"/>
          <w:color w:val="000000" w:themeColor="text1"/>
        </w:rPr>
        <w:t>摘要</w:t>
      </w:r>
      <w:r>
        <w:rPr>
          <w:rFonts w:hint="eastAsia" w:ascii="宋体" w:hAnsi="宋体" w:cs="楷体"/>
          <w:color w:val="000000" w:themeColor="text1"/>
        </w:rPr>
        <w:t>、</w:t>
      </w:r>
      <w:r>
        <w:rPr>
          <w:rFonts w:ascii="宋体" w:hAnsi="宋体" w:cs="楷体"/>
          <w:color w:val="000000" w:themeColor="text1"/>
        </w:rPr>
        <w:t>权利要求书</w:t>
      </w:r>
      <w:r>
        <w:rPr>
          <w:rFonts w:hint="eastAsia" w:ascii="宋体" w:hAnsi="宋体" w:cs="楷体"/>
          <w:color w:val="000000" w:themeColor="text1"/>
        </w:rPr>
        <w:t>、</w:t>
      </w:r>
      <w:r>
        <w:rPr>
          <w:rFonts w:ascii="宋体" w:hAnsi="宋体" w:cs="楷体"/>
          <w:color w:val="000000" w:themeColor="text1"/>
        </w:rPr>
        <w:t>和全文中进行检索</w:t>
      </w:r>
      <w:r>
        <w:rPr>
          <w:rFonts w:hint="eastAsia" w:ascii="宋体" w:hAnsi="宋体" w:cs="楷体"/>
          <w:color w:val="000000" w:themeColor="text1"/>
        </w:rPr>
        <w:t>，</w:t>
      </w:r>
      <w:r>
        <w:rPr>
          <w:rFonts w:ascii="宋体" w:hAnsi="宋体" w:cs="楷体"/>
          <w:color w:val="000000" w:themeColor="text1"/>
        </w:rPr>
        <w:t>着重在权利要求书中进行检索</w:t>
      </w:r>
      <w:r>
        <w:rPr>
          <w:rFonts w:hint="eastAsia" w:ascii="宋体" w:hAnsi="宋体" w:cs="楷体"/>
          <w:color w:val="000000" w:themeColor="text1"/>
        </w:rPr>
        <w:t>。</w:t>
      </w:r>
    </w:p>
    <w:p>
      <w:pPr>
        <w:ind w:firstLine="480"/>
        <w:rPr>
          <w:rFonts w:ascii="宋体" w:hAnsi="宋体" w:cs="楷体"/>
          <w:color w:val="000000" w:themeColor="text1"/>
        </w:rPr>
      </w:pPr>
      <w:r>
        <w:rPr>
          <w:rFonts w:ascii="宋体" w:hAnsi="宋体" w:cs="楷体"/>
          <w:color w:val="000000" w:themeColor="text1"/>
        </w:rPr>
        <w:t>1.</w:t>
      </w:r>
      <w:r>
        <w:rPr>
          <w:rFonts w:ascii="宋体" w:hAnsi="宋体"/>
          <w:color w:val="000000" w:themeColor="text1"/>
        </w:rPr>
        <w:t>摘要检索</w:t>
      </w:r>
      <w:r>
        <w:rPr>
          <w:rFonts w:hint="eastAsia" w:ascii="宋体" w:hAnsi="宋体"/>
          <w:color w:val="000000" w:themeColor="text1"/>
        </w:rPr>
        <w:t>：</w:t>
      </w:r>
      <w:r>
        <w:rPr>
          <w:rFonts w:ascii="宋体" w:hAnsi="宋体"/>
          <w:color w:val="000000" w:themeColor="text1"/>
        </w:rPr>
        <w:t>摘要是说明书、</w:t>
      </w:r>
      <w:r>
        <w:rPr>
          <w:rFonts w:ascii="宋体" w:hAnsi="宋体" w:cs="楷体"/>
          <w:color w:val="000000" w:themeColor="text1"/>
        </w:rPr>
        <w:t>权利要求书和附图中所包含的公开内容的概要，其一般</w:t>
      </w:r>
      <w:r>
        <w:rPr>
          <w:rFonts w:hint="eastAsia" w:ascii="宋体" w:hAnsi="宋体" w:cs="楷体"/>
          <w:color w:val="000000" w:themeColor="text1"/>
        </w:rPr>
        <w:t>涵盖</w:t>
      </w:r>
      <w:r>
        <w:rPr>
          <w:rFonts w:ascii="宋体" w:hAnsi="宋体" w:cs="楷体"/>
          <w:color w:val="000000" w:themeColor="text1"/>
        </w:rPr>
        <w:t>发明所属技术领域</w:t>
      </w:r>
      <w:r>
        <w:rPr>
          <w:rFonts w:hint="eastAsia" w:ascii="宋体" w:hAnsi="宋体" w:cs="楷体"/>
          <w:color w:val="000000" w:themeColor="text1"/>
        </w:rPr>
        <w:t>、</w:t>
      </w:r>
      <w:r>
        <w:rPr>
          <w:rFonts w:ascii="宋体" w:hAnsi="宋体" w:cs="楷体"/>
          <w:color w:val="000000" w:themeColor="text1"/>
        </w:rPr>
        <w:t>要解决的技术问题、通过发明解决该技术问题的方案的要点和发明的用途。</w:t>
      </w:r>
    </w:p>
    <w:p>
      <w:pPr>
        <w:ind w:firstLine="480"/>
        <w:rPr>
          <w:rFonts w:ascii="宋体" w:hAnsi="宋体" w:cs="楷体"/>
          <w:color w:val="000000" w:themeColor="text1"/>
        </w:rPr>
      </w:pPr>
      <w:r>
        <w:rPr>
          <w:rFonts w:hint="eastAsia" w:ascii="宋体" w:hAnsi="宋体" w:cs="楷体"/>
          <w:color w:val="000000" w:themeColor="text1"/>
        </w:rPr>
        <w:t>2</w:t>
      </w:r>
      <w:r>
        <w:rPr>
          <w:rFonts w:ascii="宋体" w:hAnsi="宋体" w:cs="楷体"/>
          <w:color w:val="000000" w:themeColor="text1"/>
        </w:rPr>
        <w:t>.</w:t>
      </w:r>
      <w:r>
        <w:rPr>
          <w:rFonts w:hint="eastAsia" w:ascii="宋体" w:hAnsi="宋体" w:cs="楷体"/>
          <w:color w:val="000000" w:themeColor="text1"/>
        </w:rPr>
        <w:t>权利要求检索：</w:t>
      </w:r>
      <w:r>
        <w:rPr>
          <w:rFonts w:ascii="宋体" w:hAnsi="宋体" w:cs="楷体"/>
          <w:color w:val="000000" w:themeColor="text1"/>
        </w:rPr>
        <w:t>权利要求书是专利文件中限定专利保护范围的文件部分。权利要求书记载发明或者实用新型的技术特征。权利要求具有独立权利要求，也可以有从属权利要求。独立权利要求从整体上反映发明或者实用新型的技术方案，记载解决技术问题所需的必要技术特征。从属权利要求用附加的技术特征，对引用的权利要求做进一步限定。</w:t>
      </w:r>
    </w:p>
    <w:p>
      <w:pPr>
        <w:ind w:firstLine="480"/>
        <w:rPr>
          <w:rFonts w:ascii="宋体" w:hAnsi="宋体" w:cs="楷体"/>
          <w:color w:val="000000" w:themeColor="text1"/>
        </w:rPr>
      </w:pPr>
      <w:r>
        <w:rPr>
          <w:rFonts w:ascii="宋体" w:hAnsi="宋体" w:cs="楷体"/>
          <w:color w:val="000000" w:themeColor="text1"/>
        </w:rPr>
        <w:t>3.全文检索</w:t>
      </w:r>
      <w:r>
        <w:rPr>
          <w:rFonts w:hint="eastAsia" w:ascii="宋体" w:hAnsi="宋体" w:cs="楷体"/>
          <w:color w:val="000000" w:themeColor="text1"/>
        </w:rPr>
        <w:t>：</w:t>
      </w:r>
      <w:r>
        <w:rPr>
          <w:rFonts w:ascii="宋体" w:hAnsi="宋体"/>
          <w:color w:val="000000" w:themeColor="text1"/>
        </w:rPr>
        <w:t>对于全文库的检索，更关注一些技术细节，或者技术参数等等。在进行全文检索时对关键词进行选择与对文摘库进行检索时侧重点有所不同，对于全文库的检索，更多的关注关键词的“全”。</w:t>
      </w:r>
      <w:r>
        <w:rPr>
          <w:rFonts w:hint="eastAsia" w:ascii="宋体" w:hAnsi="宋体" w:cs="楷体"/>
          <w:color w:val="000000" w:themeColor="text1"/>
        </w:rPr>
        <w:t>通过对</w:t>
      </w:r>
      <w:r>
        <w:rPr>
          <w:rFonts w:ascii="宋体" w:hAnsi="宋体" w:cs="楷体"/>
          <w:color w:val="000000" w:themeColor="text1"/>
        </w:rPr>
        <w:t>全文库的检索，</w:t>
      </w:r>
      <w:r>
        <w:rPr>
          <w:rFonts w:hint="eastAsia" w:ascii="宋体" w:hAnsi="宋体" w:cs="楷体"/>
          <w:color w:val="000000" w:themeColor="text1"/>
        </w:rPr>
        <w:t>可以</w:t>
      </w:r>
      <w:r>
        <w:rPr>
          <w:rFonts w:ascii="宋体" w:hAnsi="宋体" w:cs="楷体"/>
          <w:color w:val="000000" w:themeColor="text1"/>
        </w:rPr>
        <w:t>保证检索的查全率。</w:t>
      </w:r>
    </w:p>
    <w:p>
      <w:pPr>
        <w:ind w:firstLine="480"/>
        <w:rPr>
          <w:rFonts w:ascii="宋体" w:hAnsi="宋体"/>
        </w:rPr>
      </w:pPr>
      <w:r>
        <w:rPr>
          <w:rFonts w:hint="eastAsia" w:ascii="宋体" w:hAnsi="宋体"/>
        </w:rPr>
        <w:t>应当声明，受专利审查进度的影响，2</w:t>
      </w:r>
      <w:r>
        <w:rPr>
          <w:rFonts w:ascii="宋体" w:hAnsi="宋体"/>
        </w:rPr>
        <w:t>024</w:t>
      </w:r>
      <w:r>
        <w:rPr>
          <w:rFonts w:hint="eastAsia" w:ascii="宋体" w:hAnsi="宋体"/>
        </w:rPr>
        <w:t>年与2</w:t>
      </w:r>
      <w:r>
        <w:rPr>
          <w:rFonts w:ascii="宋体" w:hAnsi="宋体"/>
        </w:rPr>
        <w:t>025</w:t>
      </w:r>
      <w:r>
        <w:rPr>
          <w:rFonts w:hint="eastAsia" w:ascii="宋体" w:hAnsi="宋体"/>
        </w:rPr>
        <w:t>年的部分专利仍未公开，所以本报告中2</w:t>
      </w:r>
      <w:r>
        <w:rPr>
          <w:rFonts w:ascii="宋体" w:hAnsi="宋体"/>
        </w:rPr>
        <w:t>024</w:t>
      </w:r>
      <w:r>
        <w:rPr>
          <w:rFonts w:hint="eastAsia" w:ascii="宋体" w:hAnsi="宋体"/>
        </w:rPr>
        <w:t>年与2</w:t>
      </w:r>
      <w:r>
        <w:rPr>
          <w:rFonts w:ascii="宋体" w:hAnsi="宋体"/>
        </w:rPr>
        <w:t>025</w:t>
      </w:r>
      <w:r>
        <w:rPr>
          <w:rFonts w:hint="eastAsia" w:ascii="宋体" w:hAnsi="宋体"/>
        </w:rPr>
        <w:t>年的专利数量只包含了已经公开的专利数量，所以2</w:t>
      </w:r>
      <w:r>
        <w:rPr>
          <w:rFonts w:ascii="宋体" w:hAnsi="宋体"/>
        </w:rPr>
        <w:t>024</w:t>
      </w:r>
      <w:r>
        <w:rPr>
          <w:rFonts w:hint="eastAsia" w:ascii="宋体" w:hAnsi="宋体"/>
        </w:rPr>
        <w:t>年与2</w:t>
      </w:r>
      <w:r>
        <w:rPr>
          <w:rFonts w:ascii="宋体" w:hAnsi="宋体"/>
        </w:rPr>
        <w:t>025</w:t>
      </w:r>
      <w:r>
        <w:rPr>
          <w:rFonts w:hint="eastAsia" w:ascii="宋体" w:hAnsi="宋体"/>
        </w:rPr>
        <w:t>年的专利数量不具备参考价值，下文中将不再赘述。</w:t>
      </w:r>
    </w:p>
    <w:p>
      <w:pPr>
        <w:ind w:firstLine="482"/>
        <w:rPr>
          <w:rFonts w:ascii="宋体" w:hAnsi="宋体"/>
          <w:b/>
          <w:bCs/>
        </w:rPr>
      </w:pPr>
      <w:r>
        <w:rPr>
          <w:rFonts w:hint="eastAsia" w:ascii="宋体" w:hAnsi="宋体"/>
          <w:b/>
          <w:bCs/>
        </w:rPr>
        <w:t>四、主要检索式</w:t>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表</w:t>
      </w:r>
      <w:r>
        <w:rPr>
          <w:rFonts w:cs="Helvetica" w:asciiTheme="minorEastAsia" w:hAnsiTheme="minorEastAsia" w:eastAsiaTheme="minorEastAsia"/>
          <w:b/>
          <w:color w:val="000000" w:themeColor="text1"/>
        </w:rPr>
        <w:t>2.1-2</w:t>
      </w:r>
      <w:r>
        <w:rPr>
          <w:rFonts w:hint="eastAsia" w:cs="Helvetica" w:asciiTheme="minorEastAsia" w:hAnsiTheme="minorEastAsia" w:eastAsiaTheme="minorEastAsia"/>
          <w:b/>
          <w:color w:val="000000" w:themeColor="text1"/>
        </w:rPr>
        <w:t xml:space="preserve"> 专利检索式</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ind w:firstLine="0" w:firstLineChars="0"/>
              <w:jc w:val="center"/>
              <w:rPr>
                <w:rFonts w:ascii="宋体" w:hAnsi="宋体"/>
                <w:b/>
                <w:bCs/>
              </w:rPr>
            </w:pPr>
            <w:r>
              <w:rPr>
                <w:rFonts w:hint="eastAsia" w:ascii="宋体" w:hAnsi="宋体"/>
                <w:b/>
                <w:bCs/>
              </w:rPr>
              <w:t>检索式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5000" w:type="pct"/>
            <w:vAlign w:val="center"/>
          </w:tcPr>
          <w:p>
            <w:pPr>
              <w:ind w:firstLine="0" w:firstLineChars="0"/>
              <w:rPr>
                <w:rFonts w:asciiTheme="minorEastAsia" w:hAnsiTheme="minorEastAsia" w:eastAsiaTheme="minorEastAsia"/>
              </w:rPr>
            </w:pPr>
            <w:r>
              <w:rPr>
                <w:rFonts w:hint="eastAsia" w:asciiTheme="minorEastAsia" w:hAnsiTheme="minorEastAsia" w:eastAsiaTheme="minorEastAsia"/>
              </w:rPr>
              <w:t>TAC_ALL:(石油树脂 OR 碳五树脂 OR 脂肪烃树脂 OR C5烃树脂 OR 碳九树脂 OR 芳香烃树脂)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5000" w:type="pct"/>
            <w:vAlign w:val="center"/>
          </w:tcPr>
          <w:p>
            <w:pPr>
              <w:ind w:firstLine="0" w:firstLineChars="0"/>
              <w:rPr>
                <w:rFonts w:asciiTheme="minorEastAsia" w:hAnsiTheme="minorEastAsia" w:eastAsiaTheme="minorEastAsia"/>
              </w:rPr>
            </w:pPr>
            <w:r>
              <w:rPr>
                <w:rFonts w:asciiTheme="minorEastAsia" w:hAnsiTheme="minorEastAsia" w:eastAsiaTheme="minorEastAsia"/>
              </w:rPr>
              <w:t xml:space="preserve">TAC_ALL:(“Petroleum resin” OR “rbon five resin” OR </w:t>
            </w:r>
            <w:r>
              <w:rPr>
                <w:rFonts w:hint="eastAsia" w:asciiTheme="minorEastAsia" w:hAnsiTheme="minorEastAsia" w:eastAsiaTheme="minorEastAsia"/>
              </w:rPr>
              <w:t>“</w:t>
            </w:r>
            <w:r>
              <w:rPr>
                <w:rFonts w:asciiTheme="minorEastAsia" w:hAnsiTheme="minorEastAsia" w:eastAsiaTheme="minorEastAsia"/>
              </w:rPr>
              <w:t>aliphatic hydrocarbon resin</w:t>
            </w:r>
            <w:r>
              <w:rPr>
                <w:rFonts w:hint="eastAsia" w:asciiTheme="minorEastAsia" w:hAnsiTheme="minorEastAsia" w:eastAsiaTheme="minorEastAsia"/>
              </w:rPr>
              <w:t xml:space="preserve">” </w:t>
            </w:r>
            <w:r>
              <w:rPr>
                <w:rFonts w:asciiTheme="minorEastAsia" w:hAnsiTheme="minorEastAsia" w:eastAsiaTheme="minorEastAsia"/>
              </w:rPr>
              <w:t xml:space="preserve">OR </w:t>
            </w:r>
            <w:r>
              <w:rPr>
                <w:rFonts w:hint="eastAsia" w:asciiTheme="minorEastAsia" w:hAnsiTheme="minorEastAsia" w:eastAsiaTheme="minorEastAsia"/>
              </w:rPr>
              <w:t>“</w:t>
            </w:r>
            <w:r>
              <w:rPr>
                <w:rFonts w:asciiTheme="minorEastAsia" w:hAnsiTheme="minorEastAsia" w:eastAsiaTheme="minorEastAsia"/>
              </w:rPr>
              <w:t>C5 hydrocarbon resin</w:t>
            </w:r>
            <w:r>
              <w:rPr>
                <w:rFonts w:hint="eastAsia" w:asciiTheme="minorEastAsia" w:hAnsiTheme="minorEastAsia" w:eastAsiaTheme="minorEastAsia"/>
              </w:rPr>
              <w:t xml:space="preserve">” </w:t>
            </w:r>
            <w:r>
              <w:rPr>
                <w:rFonts w:asciiTheme="minorEastAsia" w:hAnsiTheme="minorEastAsia" w:eastAsiaTheme="minorEastAsia"/>
              </w:rPr>
              <w:t xml:space="preserve">OR </w:t>
            </w:r>
            <w:r>
              <w:rPr>
                <w:rFonts w:hint="eastAsia" w:asciiTheme="minorEastAsia" w:hAnsiTheme="minorEastAsia" w:eastAsiaTheme="minorEastAsia"/>
              </w:rPr>
              <w:t>“</w:t>
            </w:r>
            <w:r>
              <w:rPr>
                <w:rFonts w:asciiTheme="minorEastAsia" w:hAnsiTheme="minorEastAsia" w:eastAsiaTheme="minorEastAsia"/>
              </w:rPr>
              <w:t>carbon nine resin</w:t>
            </w:r>
            <w:r>
              <w:rPr>
                <w:rFonts w:hint="eastAsia" w:asciiTheme="minorEastAsia" w:hAnsiTheme="minorEastAsia" w:eastAsiaTheme="minorEastAsia"/>
              </w:rPr>
              <w:t xml:space="preserve">” </w:t>
            </w:r>
            <w:r>
              <w:rPr>
                <w:rFonts w:asciiTheme="minorEastAsia" w:hAnsiTheme="minorEastAsia" w:eastAsiaTheme="minorEastAsia"/>
              </w:rPr>
              <w:t xml:space="preserve">OR </w:t>
            </w:r>
            <w:r>
              <w:rPr>
                <w:rFonts w:hint="eastAsia" w:asciiTheme="minorEastAsia" w:hAnsiTheme="minorEastAsia" w:eastAsiaTheme="minorEastAsia"/>
              </w:rPr>
              <w:t>“</w:t>
            </w:r>
            <w:r>
              <w:rPr>
                <w:rFonts w:asciiTheme="minorEastAsia" w:hAnsiTheme="minorEastAsia" w:eastAsiaTheme="minorEastAsia"/>
              </w:rPr>
              <w:t>aromatic hydrocarbon resin</w:t>
            </w:r>
            <w:r>
              <w:rPr>
                <w:rFonts w:hint="eastAsia" w:asciiTheme="minorEastAsia" w:hAnsiTheme="minorEastAsia" w:eastAsiaTheme="minorEastAsia"/>
              </w:rPr>
              <w:t>”</w:t>
            </w: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5000" w:type="pct"/>
            <w:vAlign w:val="center"/>
          </w:tcPr>
          <w:p>
            <w:pPr>
              <w:ind w:firstLine="0" w:firstLineChars="0"/>
              <w:rPr>
                <w:rFonts w:asciiTheme="minorEastAsia" w:hAnsiTheme="minorEastAsia" w:eastAsiaTheme="minorEastAsia"/>
              </w:rPr>
            </w:pPr>
            <w:r>
              <w:rPr>
                <w:rFonts w:hint="eastAsia" w:asciiTheme="minorEastAsia" w:hAnsiTheme="minorEastAsia" w:eastAsiaTheme="minorEastAsia"/>
              </w:rPr>
              <w:t>TAC_ALL:(烷基磺酸苯脂 OR 苯磺酸烷基脂 OR 烷基苯磺酸脂)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5000" w:type="pct"/>
            <w:vAlign w:val="center"/>
          </w:tcPr>
          <w:p>
            <w:pPr>
              <w:ind w:firstLine="0" w:firstLineChars="0"/>
              <w:rPr>
                <w:rFonts w:asciiTheme="minorEastAsia" w:hAnsiTheme="minorEastAsia" w:eastAsiaTheme="minorEastAsia"/>
              </w:rPr>
            </w:pPr>
            <w:r>
              <w:rPr>
                <w:rFonts w:asciiTheme="minorEastAsia" w:hAnsiTheme="minorEastAsia" w:eastAsiaTheme="minorEastAsia"/>
              </w:rPr>
              <w:t>TAC</w:t>
            </w:r>
            <w:r>
              <w:rPr>
                <w:rFonts w:hint="eastAsia" w:asciiTheme="minorEastAsia" w:hAnsiTheme="minorEastAsia" w:eastAsiaTheme="minorEastAsia"/>
              </w:rPr>
              <w:t>_ALL:(石油树脂) AND IPC:( C08F</w:t>
            </w:r>
            <w:r>
              <w:rPr>
                <w:rFonts w:asciiTheme="minorEastAsia" w:hAnsiTheme="minorEastAsia" w:eastAsiaTheme="minorEastAsia"/>
              </w:rPr>
              <w:t xml:space="preserve"> OR </w:t>
            </w:r>
            <w:r>
              <w:rPr>
                <w:rFonts w:hint="eastAsia" w:asciiTheme="minorEastAsia" w:hAnsiTheme="minorEastAsia" w:eastAsiaTheme="minorEastAsia"/>
              </w:rPr>
              <w:t xml:space="preserve">C08L </w:t>
            </w:r>
            <w:r>
              <w:rPr>
                <w:rFonts w:asciiTheme="minorEastAsia" w:hAnsiTheme="minorEastAsia" w:eastAsiaTheme="minorEastAsia"/>
              </w:rPr>
              <w:t xml:space="preserve">OR </w:t>
            </w:r>
            <w:r>
              <w:rPr>
                <w:rFonts w:hint="eastAsia" w:asciiTheme="minorEastAsia" w:hAnsiTheme="minorEastAsia" w:eastAsiaTheme="minorEastAsia"/>
              </w:rPr>
              <w:t>C09J</w:t>
            </w:r>
            <w:r>
              <w:rPr>
                <w:rFonts w:asciiTheme="minorEastAsia" w:hAnsiTheme="minorEastAsia" w:eastAsiaTheme="minorEastAsia"/>
              </w:rPr>
              <w:t xml:space="preserve"> OR </w:t>
            </w:r>
            <w:r>
              <w:rPr>
                <w:rFonts w:hint="eastAsia" w:asciiTheme="minorEastAsia" w:hAnsiTheme="minorEastAsia" w:eastAsiaTheme="minorEastAsia"/>
              </w:rPr>
              <w:t>B01J</w:t>
            </w:r>
            <w:r>
              <w:rPr>
                <w:rFonts w:asciiTheme="minorEastAsia" w:hAnsiTheme="minorEastAsia" w:eastAsiaTheme="minorEastAsia"/>
              </w:rPr>
              <w:t xml:space="preserve"> OR </w:t>
            </w:r>
            <w:r>
              <w:rPr>
                <w:rFonts w:hint="eastAsia" w:asciiTheme="minorEastAsia" w:hAnsiTheme="minorEastAsia" w:eastAsiaTheme="minorEastAsia"/>
              </w:rPr>
              <w:t>C09D</w:t>
            </w:r>
            <w:r>
              <w:rPr>
                <w:rFonts w:asciiTheme="minorEastAsia" w:hAnsiTheme="minorEastAsia" w:eastAsiaTheme="minorEastAsia"/>
              </w:rPr>
              <w:t xml:space="preserve"> OR </w:t>
            </w:r>
            <w:r>
              <w:rPr>
                <w:rFonts w:hint="eastAsia" w:asciiTheme="minorEastAsia" w:hAnsiTheme="minorEastAsia" w:eastAsiaTheme="minorEastAsia"/>
              </w:rPr>
              <w:t>B01D</w:t>
            </w:r>
            <w:r>
              <w:rPr>
                <w:rFonts w:asciiTheme="minorEastAsia" w:hAnsiTheme="minorEastAsia" w:eastAsiaTheme="minorEastAsia"/>
              </w:rPr>
              <w:t xml:space="preserve"> OR </w:t>
            </w:r>
            <w:r>
              <w:rPr>
                <w:rFonts w:hint="eastAsia" w:asciiTheme="minorEastAsia" w:hAnsiTheme="minorEastAsia" w:eastAsiaTheme="minorEastAsia"/>
              </w:rPr>
              <w:t>C08K)</w:t>
            </w:r>
          </w:p>
        </w:tc>
      </w:tr>
    </w:tbl>
    <w:p>
      <w:pPr>
        <w:pStyle w:val="2"/>
        <w:ind w:firstLine="480"/>
      </w:pPr>
    </w:p>
    <w:p>
      <w:pPr>
        <w:ind w:firstLine="480"/>
        <w:rPr>
          <w:rFonts w:ascii="宋体" w:hAnsi="宋体"/>
        </w:rPr>
      </w:pPr>
      <w:r>
        <w:rPr>
          <w:rFonts w:hint="eastAsia" w:ascii="宋体" w:hAnsi="宋体"/>
        </w:rPr>
        <w:t>在专利数据库</w:t>
      </w:r>
      <w:r>
        <w:rPr>
          <w:rFonts w:ascii="宋体" w:hAnsi="宋体"/>
        </w:rPr>
        <w:t>(</w:t>
      </w:r>
      <w:r>
        <w:rPr>
          <w:rFonts w:hint="eastAsia" w:ascii="宋体" w:hAnsi="宋体"/>
        </w:rPr>
        <w:t>智慧芽</w:t>
      </w:r>
      <w:r>
        <w:rPr>
          <w:rFonts w:ascii="宋体" w:hAnsi="宋体"/>
        </w:rPr>
        <w:t>)</w:t>
      </w:r>
      <w:r>
        <w:rPr>
          <w:rFonts w:hint="eastAsia" w:ascii="宋体" w:hAnsi="宋体"/>
        </w:rPr>
        <w:t>中检索得到全球与石油化工直接相关的专利</w:t>
      </w:r>
      <w:r>
        <w:rPr>
          <w:rFonts w:ascii="宋体" w:hAnsi="宋体"/>
        </w:rPr>
        <w:t>5350</w:t>
      </w:r>
      <w:r>
        <w:rPr>
          <w:rFonts w:hint="eastAsia" w:ascii="宋体" w:hAnsi="宋体"/>
        </w:rPr>
        <w:t>件，其中中国专利</w:t>
      </w:r>
      <w:r>
        <w:rPr>
          <w:rFonts w:ascii="宋体" w:hAnsi="宋体"/>
        </w:rPr>
        <w:t>1649</w:t>
      </w:r>
      <w:r>
        <w:rPr>
          <w:rFonts w:hint="eastAsia" w:ascii="宋体" w:hAnsi="宋体"/>
        </w:rPr>
        <w:t>件，国外专利</w:t>
      </w:r>
      <w:r>
        <w:rPr>
          <w:rFonts w:ascii="宋体" w:hAnsi="宋体"/>
        </w:rPr>
        <w:t>3701</w:t>
      </w:r>
      <w:r>
        <w:rPr>
          <w:rFonts w:hint="eastAsia" w:ascii="宋体" w:hAnsi="宋体"/>
        </w:rPr>
        <w:t>件。本项目后续将基于该</w:t>
      </w:r>
      <w:r>
        <w:rPr>
          <w:rFonts w:ascii="宋体" w:hAnsi="宋体"/>
        </w:rPr>
        <w:t>5350</w:t>
      </w:r>
      <w:r>
        <w:rPr>
          <w:rFonts w:hint="eastAsia" w:ascii="宋体" w:hAnsi="宋体"/>
        </w:rPr>
        <w:t>件专利形成专利数据池，并对其进行专利分析。</w:t>
      </w:r>
    </w:p>
    <w:p>
      <w:pPr>
        <w:ind w:firstLine="562"/>
        <w:outlineLvl w:val="1"/>
        <w:rPr>
          <w:rFonts w:ascii="黑体" w:hAnsi="黑体" w:eastAsia="黑体"/>
          <w:b/>
          <w:bCs/>
          <w:sz w:val="28"/>
          <w:szCs w:val="28"/>
        </w:rPr>
      </w:pPr>
      <w:bookmarkStart w:id="18" w:name="_Toc203057555"/>
      <w:r>
        <w:rPr>
          <w:rFonts w:ascii="黑体" w:hAnsi="黑体" w:eastAsia="黑体"/>
          <w:b/>
          <w:bCs/>
          <w:sz w:val="28"/>
          <w:szCs w:val="28"/>
        </w:rPr>
        <w:t>2</w:t>
      </w:r>
      <w:r>
        <w:rPr>
          <w:rFonts w:hint="eastAsia" w:ascii="黑体" w:hAnsi="黑体" w:eastAsia="黑体"/>
          <w:b/>
          <w:bCs/>
          <w:sz w:val="28"/>
          <w:szCs w:val="28"/>
        </w:rPr>
        <w:t>.2 聊城市石油化工产业知识产权保护现状</w:t>
      </w:r>
      <w:bookmarkEnd w:id="18"/>
    </w:p>
    <w:p>
      <w:pPr>
        <w:ind w:firstLine="482"/>
        <w:rPr>
          <w:rFonts w:ascii="宋体" w:hAnsi="宋体"/>
          <w:b/>
          <w:bCs/>
        </w:rPr>
      </w:pPr>
      <w:r>
        <w:rPr>
          <w:rFonts w:hint="eastAsia" w:ascii="宋体" w:hAnsi="宋体"/>
          <w:b/>
          <w:bCs/>
        </w:rPr>
        <w:t>1</w:t>
      </w:r>
      <w:r>
        <w:rPr>
          <w:rFonts w:ascii="宋体" w:hAnsi="宋体"/>
          <w:b/>
          <w:bCs/>
        </w:rPr>
        <w:t>.</w:t>
      </w:r>
      <w:r>
        <w:rPr>
          <w:rFonts w:hint="eastAsia" w:ascii="宋体" w:hAnsi="宋体"/>
          <w:b/>
          <w:bCs/>
        </w:rPr>
        <w:t>专利申请趋势</w:t>
      </w:r>
    </w:p>
    <w:p>
      <w:pPr>
        <w:ind w:firstLine="0" w:firstLineChars="0"/>
        <w:jc w:val="center"/>
      </w:pPr>
      <w:r>
        <w:drawing>
          <wp:inline distT="0" distB="0" distL="0" distR="0">
            <wp:extent cx="5274310" cy="23850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4310" cy="2385060"/>
                    </a:xfrm>
                    <a:prstGeom prst="rect">
                      <a:avLst/>
                    </a:prstGeom>
                  </pic:spPr>
                </pic:pic>
              </a:graphicData>
            </a:graphic>
          </wp:inline>
        </w:drawing>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图</w:t>
      </w:r>
      <w:r>
        <w:rPr>
          <w:rFonts w:cs="Helvetica" w:asciiTheme="minorEastAsia" w:hAnsiTheme="minorEastAsia" w:eastAsiaTheme="minorEastAsia"/>
          <w:b/>
          <w:color w:val="000000" w:themeColor="text1"/>
        </w:rPr>
        <w:t xml:space="preserve">2.2-1 </w:t>
      </w:r>
      <w:r>
        <w:rPr>
          <w:rFonts w:hint="eastAsia" w:cs="Helvetica" w:asciiTheme="minorEastAsia" w:hAnsiTheme="minorEastAsia" w:eastAsiaTheme="minorEastAsia"/>
          <w:b/>
          <w:color w:val="000000" w:themeColor="text1"/>
        </w:rPr>
        <w:t>聊城市相关专利申请趋势</w:t>
      </w:r>
    </w:p>
    <w:p>
      <w:pPr>
        <w:ind w:firstLine="480"/>
      </w:pPr>
      <w:r>
        <w:t>共检索到</w:t>
      </w:r>
      <w:r>
        <w:rPr>
          <w:rFonts w:hint="eastAsia"/>
        </w:rPr>
        <w:t>聊城市石油化工领域</w:t>
      </w:r>
      <w:r>
        <w:t>相关专利文献40</w:t>
      </w:r>
      <w:r>
        <w:rPr>
          <w:rFonts w:hint="eastAsia"/>
        </w:rPr>
        <w:t>件，总体数量是较少的。从专利年申请量来看，在2</w:t>
      </w:r>
      <w:r>
        <w:t>010</w:t>
      </w:r>
      <w:r>
        <w:rPr>
          <w:rFonts w:hint="eastAsia"/>
        </w:rPr>
        <w:t>年以前，聊城市在石油化工（石油树脂和</w:t>
      </w:r>
      <w:r>
        <w:rPr>
          <w:rFonts w:hint="eastAsia" w:asciiTheme="minorEastAsia" w:hAnsiTheme="minorEastAsia" w:eastAsiaTheme="minorEastAsia"/>
        </w:rPr>
        <w:t>烷基磺酸苯脂</w:t>
      </w:r>
      <w:r>
        <w:rPr>
          <w:rFonts w:hint="eastAsia"/>
        </w:rPr>
        <w:t>）领域没有专利申请，近些年，在该领域逐渐开始申请专利，2</w:t>
      </w:r>
      <w:r>
        <w:t>023</w:t>
      </w:r>
      <w:r>
        <w:rPr>
          <w:rFonts w:hint="eastAsia"/>
        </w:rPr>
        <w:t>年，聊城市在石油化工领域</w:t>
      </w:r>
      <w:bookmarkStart w:id="19" w:name="OLE_LINK14"/>
      <w:r>
        <w:rPr>
          <w:rFonts w:hint="eastAsia"/>
        </w:rPr>
        <w:t>（石油树脂和</w:t>
      </w:r>
      <w:r>
        <w:rPr>
          <w:rFonts w:hint="eastAsia" w:asciiTheme="minorEastAsia" w:hAnsiTheme="minorEastAsia" w:eastAsiaTheme="minorEastAsia"/>
        </w:rPr>
        <w:t>烷基磺酸苯脂</w:t>
      </w:r>
      <w:r>
        <w:rPr>
          <w:rFonts w:hint="eastAsia"/>
        </w:rPr>
        <w:t>）</w:t>
      </w:r>
      <w:bookmarkEnd w:id="19"/>
      <w:r>
        <w:rPr>
          <w:rFonts w:hint="eastAsia"/>
        </w:rPr>
        <w:t>的年专利申请数量达到了历史最大值</w:t>
      </w:r>
      <w:r>
        <w:t>10</w:t>
      </w:r>
      <w:r>
        <w:rPr>
          <w:rFonts w:hint="eastAsia"/>
        </w:rPr>
        <w:t>件。</w:t>
      </w:r>
    </w:p>
    <w:p>
      <w:pPr>
        <w:ind w:firstLine="482"/>
        <w:rPr>
          <w:rFonts w:asciiTheme="minorEastAsia" w:hAnsiTheme="minorEastAsia" w:eastAsiaTheme="minorEastAsia"/>
          <w:b/>
          <w:bCs/>
          <w:color w:val="191919"/>
          <w:shd w:val="clear" w:color="auto" w:fill="FFFFFF"/>
        </w:rPr>
      </w:pPr>
      <w:r>
        <w:rPr>
          <w:rFonts w:hint="eastAsia" w:asciiTheme="minorEastAsia" w:hAnsiTheme="minorEastAsia" w:eastAsiaTheme="minorEastAsia"/>
          <w:b/>
          <w:bCs/>
          <w:color w:val="191919"/>
          <w:shd w:val="clear" w:color="auto" w:fill="FFFFFF"/>
        </w:rPr>
        <w:t>2</w:t>
      </w:r>
      <w:r>
        <w:rPr>
          <w:rFonts w:asciiTheme="minorEastAsia" w:hAnsiTheme="minorEastAsia" w:eastAsiaTheme="minorEastAsia"/>
          <w:b/>
          <w:bCs/>
          <w:color w:val="191919"/>
          <w:shd w:val="clear" w:color="auto" w:fill="FFFFFF"/>
        </w:rPr>
        <w:t>.</w:t>
      </w:r>
      <w:r>
        <w:rPr>
          <w:rFonts w:hint="eastAsia" w:asciiTheme="minorEastAsia" w:hAnsiTheme="minorEastAsia" w:eastAsiaTheme="minorEastAsia"/>
          <w:b/>
          <w:bCs/>
          <w:color w:val="191919"/>
          <w:shd w:val="clear" w:color="auto" w:fill="FFFFFF"/>
        </w:rPr>
        <w:t>专利类型</w:t>
      </w:r>
    </w:p>
    <w:p>
      <w:pPr>
        <w:ind w:firstLine="0" w:firstLineChars="0"/>
        <w:jc w:val="center"/>
        <w:rPr>
          <w:rFonts w:asciiTheme="minorEastAsia" w:hAnsiTheme="minorEastAsia" w:eastAsiaTheme="minorEastAsia"/>
          <w:color w:val="191919"/>
          <w:shd w:val="clear" w:color="auto" w:fill="FFFFFF"/>
        </w:rPr>
      </w:pPr>
      <w:r>
        <w:rPr>
          <w:rFonts w:asciiTheme="minorEastAsia" w:hAnsiTheme="minorEastAsia" w:eastAsiaTheme="minorEastAsia"/>
          <w:color w:val="191919"/>
          <w:shd w:val="clear" w:color="auto" w:fill="FFFFFF"/>
        </w:rPr>
        <w:drawing>
          <wp:inline distT="0" distB="0" distL="0" distR="0">
            <wp:extent cx="5274310" cy="25641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4310" cy="2564130"/>
                    </a:xfrm>
                    <a:prstGeom prst="rect">
                      <a:avLst/>
                    </a:prstGeom>
                  </pic:spPr>
                </pic:pic>
              </a:graphicData>
            </a:graphic>
          </wp:inline>
        </w:drawing>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图</w:t>
      </w:r>
      <w:r>
        <w:rPr>
          <w:rFonts w:cs="Helvetica" w:asciiTheme="minorEastAsia" w:hAnsiTheme="minorEastAsia" w:eastAsiaTheme="minorEastAsia"/>
          <w:b/>
          <w:color w:val="000000" w:themeColor="text1"/>
        </w:rPr>
        <w:t xml:space="preserve">2.2-2 </w:t>
      </w:r>
      <w:r>
        <w:rPr>
          <w:rFonts w:hint="eastAsia" w:cs="Helvetica" w:asciiTheme="minorEastAsia" w:hAnsiTheme="minorEastAsia" w:eastAsiaTheme="minorEastAsia"/>
          <w:b/>
          <w:color w:val="000000" w:themeColor="text1"/>
        </w:rPr>
        <w:t>聊城市石油化工领域相关专利类型占比</w:t>
      </w:r>
    </w:p>
    <w:p>
      <w:pPr>
        <w:ind w:firstLine="480"/>
      </w:pPr>
      <w:r>
        <w:t>由图2.2-2可以看出，目前</w:t>
      </w:r>
      <w:r>
        <w:rPr>
          <w:rFonts w:hint="eastAsia"/>
        </w:rPr>
        <w:t>聊城市在石油化工领域（石油树脂和</w:t>
      </w:r>
      <w:r>
        <w:rPr>
          <w:rFonts w:hint="eastAsia" w:asciiTheme="minorEastAsia" w:hAnsiTheme="minorEastAsia" w:eastAsiaTheme="minorEastAsia"/>
        </w:rPr>
        <w:t>烷基磺酸苯脂</w:t>
      </w:r>
      <w:r>
        <w:rPr>
          <w:rFonts w:hint="eastAsia"/>
        </w:rPr>
        <w:t>）专利申请类型为发明专利和实用新型专利</w:t>
      </w:r>
      <w:r>
        <w:t>，</w:t>
      </w:r>
      <w:r>
        <w:rPr>
          <w:rFonts w:hint="eastAsia"/>
        </w:rPr>
        <w:t>其中发明专利占比为</w:t>
      </w:r>
      <w:r>
        <w:t>45%</w:t>
      </w:r>
      <w:r>
        <w:rPr>
          <w:rFonts w:hint="eastAsia"/>
        </w:rPr>
        <w:t>，实用新型专利占比为</w:t>
      </w:r>
      <w:r>
        <w:t>55%。</w:t>
      </w:r>
      <w:r>
        <w:rPr>
          <w:rFonts w:hint="eastAsia"/>
        </w:rPr>
        <w:t>通常来说，专利申请人为了获得专利授权证书，会将创新性较低的技术申请实用新型专利，而将创新性较高的专利申请发明专利，所以相对而言，发明专利的创新性或者说技术先进性要明显高于实用新型专利。聊城市当前在石油化工领域的专利技术先进性还有一定的提升空间。</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color w:val="191919"/>
          <w:shd w:val="clear" w:color="auto" w:fill="FFFFFF"/>
        </w:rPr>
      </w:pPr>
      <w:r>
        <w:rPr>
          <w:rFonts w:asciiTheme="minorEastAsia" w:hAnsiTheme="minorEastAsia" w:eastAsiaTheme="minorEastAsia"/>
          <w:color w:val="191919"/>
          <w:shd w:val="clear" w:color="auto" w:fill="FFFFFF"/>
        </w:rPr>
        <w:drawing>
          <wp:inline distT="0" distB="0" distL="0" distR="0">
            <wp:extent cx="5274310" cy="28454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4310" cy="2845435"/>
                    </a:xfrm>
                    <a:prstGeom prst="rect">
                      <a:avLst/>
                    </a:prstGeom>
                  </pic:spPr>
                </pic:pic>
              </a:graphicData>
            </a:graphic>
          </wp:inline>
        </w:drawing>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图</w:t>
      </w:r>
      <w:r>
        <w:rPr>
          <w:rFonts w:cs="Helvetica" w:asciiTheme="minorEastAsia" w:hAnsiTheme="minorEastAsia" w:eastAsiaTheme="minorEastAsia"/>
          <w:b/>
          <w:color w:val="000000" w:themeColor="text1"/>
        </w:rPr>
        <w:t xml:space="preserve">2.2-3 </w:t>
      </w:r>
      <w:r>
        <w:rPr>
          <w:rFonts w:hint="eastAsia" w:cs="Helvetica" w:asciiTheme="minorEastAsia" w:hAnsiTheme="minorEastAsia" w:eastAsiaTheme="minorEastAsia"/>
          <w:b/>
          <w:color w:val="000000" w:themeColor="text1"/>
        </w:rPr>
        <w:t>聊城市石油化工领域相关专利法律状态</w:t>
      </w:r>
    </w:p>
    <w:p>
      <w:pPr>
        <w:ind w:firstLine="480"/>
      </w:pPr>
      <w:r>
        <w:rPr>
          <w:rFonts w:hint="eastAsia"/>
        </w:rPr>
        <w:t>通过分析当前专利法律状态的分布情况，可以了解分析目标中专利的权利状态及失效原因，以作为专利价值或管理能力评估、风险分析、技术引进或专利运营等决策行动的参考依据。从图</w:t>
      </w:r>
      <w:r>
        <w:t>2.2-3</w:t>
      </w:r>
      <w:r>
        <w:rPr>
          <w:rFonts w:hint="eastAsia"/>
        </w:rPr>
        <w:t>可以看出，聊城市目前专利健康状态较好，</w:t>
      </w:r>
      <w:r>
        <w:t>67.5%</w:t>
      </w:r>
      <w:r>
        <w:rPr>
          <w:rFonts w:hint="eastAsia"/>
        </w:rPr>
        <w:t>的专利处于有效状态，仅有1</w:t>
      </w:r>
      <w:r>
        <w:t>5%</w:t>
      </w:r>
      <w:r>
        <w:rPr>
          <w:rFonts w:hint="eastAsia"/>
        </w:rPr>
        <w:t>的专利失效，审中专利占比1</w:t>
      </w:r>
      <w:r>
        <w:t>7.5%</w:t>
      </w:r>
      <w:r>
        <w:rPr>
          <w:rFonts w:hint="eastAsia"/>
        </w:rPr>
        <w:t>。</w:t>
      </w:r>
    </w:p>
    <w:p>
      <w:pPr>
        <w:ind w:firstLine="562"/>
        <w:outlineLvl w:val="1"/>
        <w:rPr>
          <w:rFonts w:ascii="黑体" w:hAnsi="黑体" w:eastAsia="黑体"/>
          <w:b/>
          <w:bCs/>
          <w:sz w:val="28"/>
          <w:szCs w:val="28"/>
        </w:rPr>
      </w:pPr>
      <w:bookmarkStart w:id="20" w:name="_Toc203057556"/>
      <w:r>
        <w:rPr>
          <w:rFonts w:ascii="黑体" w:hAnsi="黑体" w:eastAsia="黑体"/>
          <w:b/>
          <w:bCs/>
          <w:sz w:val="28"/>
          <w:szCs w:val="28"/>
        </w:rPr>
        <w:t>2</w:t>
      </w:r>
      <w:r>
        <w:rPr>
          <w:rFonts w:hint="eastAsia" w:ascii="黑体" w:hAnsi="黑体" w:eastAsia="黑体"/>
          <w:b/>
          <w:bCs/>
          <w:sz w:val="28"/>
          <w:szCs w:val="28"/>
        </w:rPr>
        <w:t>.3 产业重点布局区域知识产权竞争态势</w:t>
      </w:r>
      <w:bookmarkEnd w:id="20"/>
    </w:p>
    <w:p>
      <w:pPr>
        <w:ind w:firstLine="562"/>
        <w:outlineLvl w:val="2"/>
        <w:rPr>
          <w:rFonts w:ascii="黑体" w:hAnsi="黑体" w:eastAsia="黑体" w:cs="Helvetica"/>
          <w:b/>
          <w:color w:val="000000" w:themeColor="text1"/>
          <w:kern w:val="0"/>
          <w:sz w:val="28"/>
          <w:szCs w:val="28"/>
        </w:rPr>
      </w:pPr>
      <w:bookmarkStart w:id="21" w:name="_Toc203057557"/>
      <w:r>
        <w:rPr>
          <w:rFonts w:ascii="黑体" w:hAnsi="黑体" w:eastAsia="黑体" w:cs="Helvetica"/>
          <w:b/>
          <w:color w:val="000000" w:themeColor="text1"/>
          <w:kern w:val="0"/>
          <w:sz w:val="28"/>
          <w:szCs w:val="28"/>
        </w:rPr>
        <w:t>2.3</w:t>
      </w:r>
      <w:r>
        <w:rPr>
          <w:rFonts w:hint="eastAsia" w:ascii="黑体" w:hAnsi="黑体" w:eastAsia="黑体" w:cs="Helvetica"/>
          <w:b/>
          <w:color w:val="000000" w:themeColor="text1"/>
          <w:kern w:val="0"/>
          <w:sz w:val="28"/>
          <w:szCs w:val="28"/>
        </w:rPr>
        <w:t>.1</w:t>
      </w:r>
      <w:r>
        <w:rPr>
          <w:rFonts w:ascii="黑体" w:hAnsi="黑体" w:eastAsia="黑体" w:cs="Helvetica"/>
          <w:b/>
          <w:color w:val="000000" w:themeColor="text1"/>
          <w:kern w:val="0"/>
          <w:sz w:val="28"/>
          <w:szCs w:val="28"/>
        </w:rPr>
        <w:t xml:space="preserve"> </w:t>
      </w:r>
      <w:r>
        <w:rPr>
          <w:rFonts w:hint="eastAsia" w:ascii="黑体" w:hAnsi="黑体" w:eastAsia="黑体" w:cs="Helvetica"/>
          <w:b/>
          <w:color w:val="000000" w:themeColor="text1"/>
          <w:kern w:val="0"/>
          <w:sz w:val="28"/>
          <w:szCs w:val="28"/>
        </w:rPr>
        <w:t>日本</w:t>
      </w:r>
      <w:bookmarkEnd w:id="21"/>
    </w:p>
    <w:p>
      <w:pPr>
        <w:ind w:firstLine="482"/>
        <w:rPr>
          <w:rFonts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专利申请趋势</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4580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4310" cy="2458085"/>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2.3-1日本</w:t>
      </w:r>
      <w:r>
        <w:rPr>
          <w:rFonts w:hint="eastAsia" w:asciiTheme="minorEastAsia" w:hAnsiTheme="minorEastAsia" w:eastAsiaTheme="minorEastAsia"/>
          <w:b/>
          <w:bCs/>
          <w:sz w:val="24"/>
        </w:rPr>
        <w:t>石油化工领域相关专利申请趋势</w:t>
      </w:r>
    </w:p>
    <w:p>
      <w:pPr>
        <w:ind w:firstLine="480"/>
        <w:rPr>
          <w:rFonts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日本石油化工领域</w:t>
      </w:r>
      <w:r>
        <w:rPr>
          <w:rFonts w:hint="eastAsia"/>
        </w:rPr>
        <w:t>（石油树脂和</w:t>
      </w:r>
      <w:r>
        <w:rPr>
          <w:rFonts w:hint="eastAsia" w:asciiTheme="minorEastAsia" w:hAnsiTheme="minorEastAsia" w:eastAsiaTheme="minorEastAsia"/>
        </w:rPr>
        <w:t>烷基磺酸苯脂</w:t>
      </w:r>
      <w:r>
        <w:rPr>
          <w:rFonts w:hint="eastAsia"/>
        </w:rPr>
        <w:t>）</w:t>
      </w:r>
      <w:r>
        <w:rPr>
          <w:rFonts w:asciiTheme="minorEastAsia" w:hAnsiTheme="minorEastAsia" w:eastAsiaTheme="minorEastAsia"/>
        </w:rPr>
        <w:t>相关专利文献1491</w:t>
      </w:r>
      <w:r>
        <w:rPr>
          <w:rFonts w:hint="eastAsia" w:asciiTheme="minorEastAsia" w:hAnsiTheme="minorEastAsia" w:eastAsiaTheme="minorEastAsia"/>
        </w:rPr>
        <w:t>件。日本石油化工产业发展较早，在2</w:t>
      </w:r>
      <w:r>
        <w:rPr>
          <w:rFonts w:asciiTheme="minorEastAsia" w:hAnsiTheme="minorEastAsia" w:eastAsiaTheme="minorEastAsia"/>
        </w:rPr>
        <w:t>0</w:t>
      </w:r>
      <w:r>
        <w:rPr>
          <w:rFonts w:hint="eastAsia" w:asciiTheme="minorEastAsia" w:hAnsiTheme="minorEastAsia" w:eastAsiaTheme="minorEastAsia"/>
        </w:rPr>
        <w:t>世纪就在该领域申请了较多的专利。近二十年来，日本石油化工领域年专利申请数量基本维持</w:t>
      </w:r>
      <w:r>
        <w:rPr>
          <w:rFonts w:asciiTheme="minorEastAsia" w:hAnsiTheme="minorEastAsia" w:eastAsiaTheme="minorEastAsia"/>
        </w:rPr>
        <w:t>25</w:t>
      </w:r>
      <w:r>
        <w:rPr>
          <w:rFonts w:hint="eastAsia" w:asciiTheme="minorEastAsia" w:hAnsiTheme="minorEastAsia" w:eastAsiaTheme="minorEastAsia"/>
        </w:rPr>
        <w:t>件左右，</w:t>
      </w:r>
      <w:bookmarkStart w:id="22" w:name="OLE_LINK17"/>
      <w:r>
        <w:rPr>
          <w:rFonts w:hint="eastAsia" w:asciiTheme="minorEastAsia" w:hAnsiTheme="minorEastAsia" w:eastAsiaTheme="minorEastAsia"/>
        </w:rPr>
        <w:t>近三年,</w:t>
      </w:r>
      <w:r>
        <w:rPr>
          <w:rFonts w:hint="eastAsia"/>
        </w:rPr>
        <w:t>受审查周期的影响，部分专利未公开，日本在石油化工领域的年专利申请数量出现了一定的下降</w:t>
      </w:r>
      <w:r>
        <w:rPr>
          <w:rFonts w:asciiTheme="minorEastAsia" w:hAnsiTheme="minorEastAsia" w:eastAsiaTheme="minorEastAsia"/>
        </w:rPr>
        <w:t>。</w:t>
      </w:r>
    </w:p>
    <w:bookmarkEnd w:id="22"/>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4619625" cy="20123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4624159" cy="2014788"/>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2.3-2日本</w:t>
      </w:r>
      <w:r>
        <w:rPr>
          <w:rFonts w:hint="eastAsia" w:asciiTheme="minorEastAsia" w:hAnsiTheme="minorEastAsia" w:eastAsiaTheme="minorEastAsia"/>
          <w:b/>
          <w:bCs/>
          <w:sz w:val="24"/>
        </w:rPr>
        <w:t>石油化工领域</w:t>
      </w:r>
      <w:r>
        <w:rPr>
          <w:rFonts w:asciiTheme="minorEastAsia" w:hAnsiTheme="minorEastAsia" w:eastAsiaTheme="minorEastAsia"/>
          <w:b/>
          <w:bCs/>
          <w:sz w:val="24"/>
        </w:rPr>
        <w:t>相关专利申请类型</w:t>
      </w:r>
    </w:p>
    <w:p>
      <w:pPr>
        <w:ind w:firstLine="480"/>
        <w:rPr>
          <w:rFonts w:asciiTheme="minorEastAsia" w:hAnsiTheme="minorEastAsia" w:eastAsiaTheme="minorEastAsia"/>
        </w:rPr>
      </w:pPr>
      <w:r>
        <w:rPr>
          <w:rFonts w:asciiTheme="minorEastAsia" w:hAnsiTheme="minorEastAsia" w:eastAsiaTheme="minorEastAsia"/>
        </w:rPr>
        <w:t>由图2.3-2可以看出，目前</w:t>
      </w:r>
      <w:r>
        <w:rPr>
          <w:rFonts w:hint="eastAsia" w:asciiTheme="minorEastAsia" w:hAnsiTheme="minorEastAsia" w:eastAsiaTheme="minorEastAsia"/>
        </w:rPr>
        <w:t>日本在石油化工领域的专利申请均为发明专利。其中授权发明专利占比为</w:t>
      </w:r>
      <w:r>
        <w:rPr>
          <w:rFonts w:asciiTheme="minorEastAsia" w:hAnsiTheme="minorEastAsia" w:eastAsiaTheme="minorEastAsia"/>
        </w:rPr>
        <w:t>54.05</w:t>
      </w:r>
      <w:r>
        <w:rPr>
          <w:rFonts w:hint="eastAsia" w:asciiTheme="minorEastAsia" w:hAnsiTheme="minorEastAsia" w:eastAsiaTheme="minorEastAsia"/>
        </w:rPr>
        <w:t>%，发明申请占比为</w:t>
      </w:r>
      <w:r>
        <w:rPr>
          <w:rFonts w:asciiTheme="minorEastAsia" w:hAnsiTheme="minorEastAsia" w:eastAsiaTheme="minorEastAsia"/>
        </w:rPr>
        <w:t>45.94%</w:t>
      </w:r>
      <w:r>
        <w:rPr>
          <w:rFonts w:hint="eastAsia" w:asciiTheme="minorEastAsia" w:hAnsiTheme="minorEastAsia" w:eastAsiaTheme="minorEastAsia"/>
        </w:rPr>
        <w:t>。可见，日本在石油化工领域的专利申请技术创新性非常高。</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4290695" cy="25850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4291558" cy="2585475"/>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2.3-3日本</w:t>
      </w:r>
      <w:r>
        <w:rPr>
          <w:rFonts w:hint="eastAsia" w:asciiTheme="minorEastAsia" w:hAnsiTheme="minorEastAsia" w:eastAsiaTheme="minorEastAsia"/>
          <w:b/>
          <w:bCs/>
          <w:sz w:val="24"/>
        </w:rPr>
        <w:t>石油化工领域相关专利法律状态</w:t>
      </w:r>
    </w:p>
    <w:p>
      <w:pPr>
        <w:ind w:firstLine="480"/>
        <w:rPr>
          <w:rFonts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2.3-3</w:t>
      </w:r>
      <w:r>
        <w:rPr>
          <w:rFonts w:hint="eastAsia" w:asciiTheme="minorEastAsia" w:hAnsiTheme="minorEastAsia" w:eastAsiaTheme="minorEastAsia"/>
        </w:rPr>
        <w:t>可以看出，日本石油化工领域的专利申请中，有</w:t>
      </w:r>
      <w:r>
        <w:rPr>
          <w:rFonts w:asciiTheme="minorEastAsia" w:hAnsiTheme="minorEastAsia" w:eastAsiaTheme="minorEastAsia"/>
        </w:rPr>
        <w:t>26.12%</w:t>
      </w:r>
      <w:r>
        <w:rPr>
          <w:rFonts w:hint="eastAsia" w:asciiTheme="minorEastAsia" w:hAnsiTheme="minorEastAsia" w:eastAsiaTheme="minorEastAsia"/>
        </w:rPr>
        <w:t>的专利撤回，有1</w:t>
      </w:r>
      <w:r>
        <w:rPr>
          <w:rFonts w:asciiTheme="minorEastAsia" w:hAnsiTheme="minorEastAsia" w:eastAsiaTheme="minorEastAsia"/>
        </w:rPr>
        <w:t>8.01%</w:t>
      </w:r>
      <w:r>
        <w:rPr>
          <w:rFonts w:hint="eastAsia" w:asciiTheme="minorEastAsia" w:hAnsiTheme="minorEastAsia" w:eastAsiaTheme="minorEastAsia"/>
        </w:rPr>
        <w:t>的专利未缴年费，有1</w:t>
      </w:r>
      <w:r>
        <w:rPr>
          <w:rFonts w:asciiTheme="minorEastAsia" w:hAnsiTheme="minorEastAsia" w:eastAsiaTheme="minorEastAsia"/>
        </w:rPr>
        <w:t>8.01%</w:t>
      </w:r>
      <w:r>
        <w:rPr>
          <w:rFonts w:hint="eastAsia" w:asciiTheme="minorEastAsia" w:hAnsiTheme="minorEastAsia" w:eastAsiaTheme="minorEastAsia"/>
        </w:rPr>
        <w:t>的专利期限届满，授权专利仅占</w:t>
      </w:r>
      <w:r>
        <w:rPr>
          <w:rFonts w:asciiTheme="minorEastAsia" w:hAnsiTheme="minorEastAsia" w:eastAsiaTheme="minorEastAsia"/>
        </w:rPr>
        <w:t>18.46%</w:t>
      </w:r>
      <w:r>
        <w:rPr>
          <w:rFonts w:hint="eastAsia" w:asciiTheme="minorEastAsia" w:hAnsiTheme="minorEastAsia" w:eastAsiaTheme="minorEastAsia"/>
        </w:rPr>
        <w:t>，审查中专利</w:t>
      </w:r>
      <w:r>
        <w:rPr>
          <w:rFonts w:asciiTheme="minorEastAsia" w:hAnsiTheme="minorEastAsia" w:eastAsiaTheme="minorEastAsia"/>
        </w:rPr>
        <w:t>1.8%</w:t>
      </w:r>
      <w:r>
        <w:rPr>
          <w:rFonts w:hint="eastAsia" w:asciiTheme="minorEastAsia" w:hAnsiTheme="minorEastAsia" w:eastAsiaTheme="minorEastAsia"/>
        </w:rPr>
        <w:t>。可见日本近些年</w:t>
      </w:r>
      <w:bookmarkStart w:id="23" w:name="OLE_LINK15"/>
      <w:r>
        <w:rPr>
          <w:rFonts w:hint="eastAsia" w:asciiTheme="minorEastAsia" w:hAnsiTheme="minorEastAsia" w:eastAsiaTheme="minorEastAsia"/>
        </w:rPr>
        <w:t>在石油化工领域</w:t>
      </w:r>
      <w:bookmarkEnd w:id="23"/>
      <w:r>
        <w:rPr>
          <w:rFonts w:hint="eastAsia" w:asciiTheme="minorEastAsia" w:hAnsiTheme="minorEastAsia" w:eastAsiaTheme="minorEastAsia"/>
        </w:rPr>
        <w:t>的专利大多已经失效，且在石油化工领域技术创新活跃度较低。</w:t>
      </w:r>
    </w:p>
    <w:p>
      <w:pPr>
        <w:ind w:firstLine="562"/>
        <w:outlineLvl w:val="2"/>
        <w:rPr>
          <w:rFonts w:ascii="黑体" w:hAnsi="黑体" w:eastAsia="黑体" w:cs="Helvetica"/>
          <w:b/>
          <w:color w:val="000000" w:themeColor="text1"/>
          <w:kern w:val="0"/>
          <w:sz w:val="28"/>
          <w:szCs w:val="28"/>
        </w:rPr>
      </w:pPr>
      <w:bookmarkStart w:id="24" w:name="_Toc203057558"/>
      <w:r>
        <w:rPr>
          <w:rFonts w:ascii="黑体" w:hAnsi="黑体" w:eastAsia="黑体" w:cs="Helvetica"/>
          <w:b/>
          <w:color w:val="000000" w:themeColor="text1"/>
          <w:kern w:val="0"/>
          <w:sz w:val="28"/>
          <w:szCs w:val="28"/>
        </w:rPr>
        <w:t>2.3</w:t>
      </w:r>
      <w:r>
        <w:rPr>
          <w:rFonts w:hint="eastAsia" w:ascii="黑体" w:hAnsi="黑体" w:eastAsia="黑体" w:cs="Helvetica"/>
          <w:b/>
          <w:color w:val="000000" w:themeColor="text1"/>
          <w:kern w:val="0"/>
          <w:sz w:val="28"/>
          <w:szCs w:val="28"/>
        </w:rPr>
        <w:t>.</w:t>
      </w:r>
      <w:r>
        <w:rPr>
          <w:rFonts w:ascii="黑体" w:hAnsi="黑体" w:eastAsia="黑体" w:cs="Helvetica"/>
          <w:b/>
          <w:color w:val="000000" w:themeColor="text1"/>
          <w:kern w:val="0"/>
          <w:sz w:val="28"/>
          <w:szCs w:val="28"/>
        </w:rPr>
        <w:t xml:space="preserve">2 </w:t>
      </w:r>
      <w:r>
        <w:rPr>
          <w:rFonts w:hint="eastAsia" w:ascii="黑体" w:hAnsi="黑体" w:eastAsia="黑体" w:cs="Helvetica"/>
          <w:b/>
          <w:color w:val="000000" w:themeColor="text1"/>
          <w:kern w:val="0"/>
          <w:sz w:val="28"/>
          <w:szCs w:val="28"/>
        </w:rPr>
        <w:t>美国</w:t>
      </w:r>
      <w:bookmarkEnd w:id="24"/>
    </w:p>
    <w:p>
      <w:pPr>
        <w:ind w:firstLine="482"/>
        <w:rPr>
          <w:rFonts w:asciiTheme="minorEastAsia" w:hAnsiTheme="minorEastAsia" w:eastAsiaTheme="minorEastAsia"/>
          <w:b/>
          <w:bCs/>
          <w:color w:val="000000" w:themeColor="text1"/>
        </w:rPr>
      </w:pPr>
      <w:r>
        <w:rPr>
          <w:rFonts w:asciiTheme="minorEastAsia" w:hAnsiTheme="minorEastAsia" w:eastAsiaTheme="minorEastAsia"/>
          <w:b/>
          <w:bCs/>
          <w:color w:val="000000" w:themeColor="text1"/>
        </w:rPr>
        <w:t>1.</w:t>
      </w:r>
      <w:r>
        <w:rPr>
          <w:rFonts w:hint="eastAsia" w:asciiTheme="minorEastAsia" w:hAnsiTheme="minorEastAsia" w:eastAsiaTheme="minorEastAsia"/>
          <w:b/>
          <w:bCs/>
          <w:color w:val="000000" w:themeColor="text1"/>
        </w:rPr>
        <w:t>专利申请趋势</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4231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4310" cy="2423160"/>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2.3-4 美国</w:t>
      </w:r>
      <w:r>
        <w:rPr>
          <w:rFonts w:hint="eastAsia" w:asciiTheme="minorEastAsia" w:hAnsiTheme="minorEastAsia" w:eastAsiaTheme="minorEastAsia"/>
          <w:b/>
          <w:bCs/>
          <w:sz w:val="24"/>
        </w:rPr>
        <w:t>石油化工领域相关专利申请趋势</w:t>
      </w:r>
    </w:p>
    <w:p>
      <w:pPr>
        <w:ind w:firstLine="480"/>
        <w:rPr>
          <w:rFonts w:hint="eastAsia"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美国石油化工领域</w:t>
      </w:r>
      <w:r>
        <w:rPr>
          <w:rFonts w:hint="eastAsia"/>
        </w:rPr>
        <w:t>（</w:t>
      </w:r>
      <w:bookmarkStart w:id="25" w:name="OLE_LINK16"/>
      <w:r>
        <w:rPr>
          <w:rFonts w:hint="eastAsia"/>
        </w:rPr>
        <w:t>石油树脂和</w:t>
      </w:r>
      <w:r>
        <w:rPr>
          <w:rFonts w:hint="eastAsia" w:asciiTheme="minorEastAsia" w:hAnsiTheme="minorEastAsia" w:eastAsiaTheme="minorEastAsia"/>
        </w:rPr>
        <w:t>烷基磺酸苯脂</w:t>
      </w:r>
      <w:bookmarkEnd w:id="25"/>
      <w:r>
        <w:rPr>
          <w:rFonts w:hint="eastAsia"/>
        </w:rPr>
        <w:t>）</w:t>
      </w:r>
      <w:r>
        <w:rPr>
          <w:rFonts w:asciiTheme="minorEastAsia" w:hAnsiTheme="minorEastAsia" w:eastAsiaTheme="minorEastAsia"/>
        </w:rPr>
        <w:t>相关专利文献361</w:t>
      </w:r>
      <w:r>
        <w:rPr>
          <w:rFonts w:hint="eastAsia" w:asciiTheme="minorEastAsia" w:hAnsiTheme="minorEastAsia" w:eastAsiaTheme="minorEastAsia"/>
        </w:rPr>
        <w:t>件</w:t>
      </w:r>
      <w:r>
        <w:rPr>
          <w:rFonts w:asciiTheme="minorEastAsia" w:hAnsiTheme="minorEastAsia" w:eastAsiaTheme="minorEastAsia"/>
        </w:rPr>
        <w:t>，</w:t>
      </w:r>
      <w:bookmarkStart w:id="26" w:name="OLE_LINK6"/>
      <w:r>
        <w:rPr>
          <w:rFonts w:hint="eastAsia" w:asciiTheme="minorEastAsia" w:hAnsiTheme="minorEastAsia" w:eastAsiaTheme="minorEastAsia"/>
        </w:rPr>
        <w:t>2</w:t>
      </w:r>
      <w:r>
        <w:rPr>
          <w:rFonts w:asciiTheme="minorEastAsia" w:hAnsiTheme="minorEastAsia" w:eastAsiaTheme="minorEastAsia"/>
        </w:rPr>
        <w:t>015</w:t>
      </w:r>
      <w:r>
        <w:rPr>
          <w:rFonts w:hint="eastAsia" w:asciiTheme="minorEastAsia" w:hAnsiTheme="minorEastAsia" w:eastAsiaTheme="minorEastAsia"/>
        </w:rPr>
        <w:t>年之前，美国在石油树脂</w:t>
      </w:r>
      <w:r>
        <w:rPr>
          <w:rFonts w:hint="eastAsia"/>
        </w:rPr>
        <w:t>和</w:t>
      </w:r>
      <w:r>
        <w:rPr>
          <w:rFonts w:hint="eastAsia" w:asciiTheme="minorEastAsia" w:hAnsiTheme="minorEastAsia" w:eastAsiaTheme="minorEastAsia"/>
        </w:rPr>
        <w:t>烷基磺酸苯脂领域的年专利申请数量是相对较少的，维持在4件左右，2</w:t>
      </w:r>
      <w:r>
        <w:rPr>
          <w:rFonts w:asciiTheme="minorEastAsia" w:hAnsiTheme="minorEastAsia" w:eastAsiaTheme="minorEastAsia"/>
        </w:rPr>
        <w:t>015</w:t>
      </w:r>
      <w:r>
        <w:rPr>
          <w:rFonts w:hint="eastAsia" w:asciiTheme="minorEastAsia" w:hAnsiTheme="minorEastAsia" w:eastAsiaTheme="minorEastAsia"/>
        </w:rPr>
        <w:t>年开始，美国在</w:t>
      </w:r>
      <w:r>
        <w:rPr>
          <w:rFonts w:hint="eastAsia"/>
        </w:rPr>
        <w:t>石油树脂和</w:t>
      </w:r>
      <w:r>
        <w:rPr>
          <w:rFonts w:hint="eastAsia" w:asciiTheme="minorEastAsia" w:hAnsiTheme="minorEastAsia" w:eastAsiaTheme="minorEastAsia"/>
        </w:rPr>
        <w:t>烷基磺酸苯脂领域的年专利申请数量逐渐增加，2</w:t>
      </w:r>
      <w:r>
        <w:rPr>
          <w:rFonts w:asciiTheme="minorEastAsia" w:hAnsiTheme="minorEastAsia" w:eastAsiaTheme="minorEastAsia"/>
        </w:rPr>
        <w:t>020</w:t>
      </w:r>
      <w:r>
        <w:rPr>
          <w:rFonts w:hint="eastAsia" w:asciiTheme="minorEastAsia" w:hAnsiTheme="minorEastAsia" w:eastAsiaTheme="minorEastAsia"/>
        </w:rPr>
        <w:t>年达到最大值1</w:t>
      </w:r>
      <w:r>
        <w:rPr>
          <w:rFonts w:asciiTheme="minorEastAsia" w:hAnsiTheme="minorEastAsia" w:eastAsiaTheme="minorEastAsia"/>
        </w:rPr>
        <w:t>3</w:t>
      </w:r>
      <w:r>
        <w:rPr>
          <w:rFonts w:hint="eastAsia" w:asciiTheme="minorEastAsia" w:hAnsiTheme="minorEastAsia" w:eastAsiaTheme="minorEastAsia"/>
        </w:rPr>
        <w:t>件</w:t>
      </w:r>
      <w:r>
        <w:rPr>
          <w:rFonts w:asciiTheme="minorEastAsia" w:hAnsiTheme="minorEastAsia" w:eastAsiaTheme="minorEastAsia"/>
        </w:rPr>
        <w:t>。</w:t>
      </w:r>
      <w:r>
        <w:rPr>
          <w:rFonts w:hint="eastAsia" w:asciiTheme="minorEastAsia" w:hAnsiTheme="minorEastAsia" w:eastAsiaTheme="minorEastAsia"/>
        </w:rPr>
        <w:t>近三年,</w:t>
      </w:r>
      <w:r>
        <w:rPr>
          <w:rFonts w:hint="eastAsia"/>
        </w:rPr>
        <w:t>受审查周期的影响，部分专利未公开，美国在石油化工领域的年专利申请数量出现了一定的下降</w:t>
      </w:r>
      <w:r>
        <w:rPr>
          <w:rFonts w:asciiTheme="minorEastAsia" w:hAnsiTheme="minorEastAsia" w:eastAsiaTheme="minorEastAsia"/>
        </w:rPr>
        <w:t>。</w:t>
      </w:r>
    </w:p>
    <w:bookmarkEnd w:id="26"/>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4043045" cy="22040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4046056" cy="2206186"/>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2.3-5 </w:t>
      </w:r>
      <w:r>
        <w:rPr>
          <w:rFonts w:hint="eastAsia" w:asciiTheme="minorEastAsia" w:hAnsiTheme="minorEastAsia" w:eastAsiaTheme="minorEastAsia"/>
          <w:b/>
          <w:bCs/>
          <w:sz w:val="24"/>
        </w:rPr>
        <w:t>美国石油化工领域</w:t>
      </w:r>
      <w:r>
        <w:rPr>
          <w:rFonts w:asciiTheme="minorEastAsia" w:hAnsiTheme="minorEastAsia" w:eastAsiaTheme="minorEastAsia"/>
          <w:b/>
          <w:bCs/>
          <w:sz w:val="24"/>
        </w:rPr>
        <w:t>相关专利申请类型</w:t>
      </w:r>
    </w:p>
    <w:p>
      <w:pPr>
        <w:ind w:firstLine="480"/>
        <w:rPr>
          <w:rFonts w:asciiTheme="minorEastAsia" w:hAnsiTheme="minorEastAsia" w:eastAsiaTheme="minorEastAsia"/>
        </w:rPr>
      </w:pPr>
      <w:r>
        <w:rPr>
          <w:rFonts w:asciiTheme="minorEastAsia" w:hAnsiTheme="minorEastAsia" w:eastAsiaTheme="minorEastAsia"/>
        </w:rPr>
        <w:t>由图2.3-5可以看出，目前</w:t>
      </w:r>
      <w:r>
        <w:rPr>
          <w:rFonts w:hint="eastAsia" w:asciiTheme="minorEastAsia" w:hAnsiTheme="minorEastAsia" w:eastAsiaTheme="minorEastAsia"/>
        </w:rPr>
        <w:t>，美国在石油化工领域的专利申请均为发明专利</w:t>
      </w:r>
      <w:r>
        <w:rPr>
          <w:rFonts w:asciiTheme="minorEastAsia" w:hAnsiTheme="minorEastAsia" w:eastAsiaTheme="minorEastAsia"/>
        </w:rPr>
        <w:t>，</w:t>
      </w:r>
      <w:r>
        <w:rPr>
          <w:rFonts w:hint="eastAsia" w:asciiTheme="minorEastAsia" w:hAnsiTheme="minorEastAsia" w:eastAsiaTheme="minorEastAsia"/>
        </w:rPr>
        <w:t>其中授权发明专利占比为</w:t>
      </w:r>
      <w:r>
        <w:rPr>
          <w:rFonts w:asciiTheme="minorEastAsia" w:hAnsiTheme="minorEastAsia" w:eastAsiaTheme="minorEastAsia"/>
        </w:rPr>
        <w:t>74.51</w:t>
      </w:r>
      <w:r>
        <w:rPr>
          <w:rFonts w:hint="eastAsia" w:asciiTheme="minorEastAsia" w:hAnsiTheme="minorEastAsia" w:eastAsiaTheme="minorEastAsia"/>
        </w:rPr>
        <w:t>%，发明申请占比为</w:t>
      </w:r>
      <w:r>
        <w:rPr>
          <w:rFonts w:asciiTheme="minorEastAsia" w:hAnsiTheme="minorEastAsia" w:eastAsiaTheme="minorEastAsia"/>
        </w:rPr>
        <w:t>25.48%</w:t>
      </w:r>
      <w:r>
        <w:rPr>
          <w:rFonts w:hint="eastAsia" w:asciiTheme="minorEastAsia" w:hAnsiTheme="minorEastAsia" w:eastAsiaTheme="minorEastAsia"/>
        </w:rPr>
        <w:t>。可见，美国在石油化工领域专利申请的技术先进性是比较高的。</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4881245" cy="27889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4882540" cy="2789855"/>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2.3-6 </w:t>
      </w:r>
      <w:r>
        <w:rPr>
          <w:rFonts w:hint="eastAsia" w:asciiTheme="minorEastAsia" w:hAnsiTheme="minorEastAsia" w:eastAsiaTheme="minorEastAsia"/>
          <w:b/>
          <w:bCs/>
          <w:sz w:val="24"/>
        </w:rPr>
        <w:t>美国石油化工领域相关专利法律状态</w:t>
      </w:r>
    </w:p>
    <w:p>
      <w:pPr>
        <w:ind w:firstLine="480"/>
        <w:rPr>
          <w:rFonts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2.3-6</w:t>
      </w:r>
      <w:r>
        <w:rPr>
          <w:rFonts w:hint="eastAsia" w:asciiTheme="minorEastAsia" w:hAnsiTheme="minorEastAsia" w:eastAsiaTheme="minorEastAsia"/>
        </w:rPr>
        <w:t>可以看出，美国石油化工领域的专利申请中，</w:t>
      </w:r>
      <w:bookmarkStart w:id="27" w:name="OLE_LINK5"/>
      <w:r>
        <w:rPr>
          <w:rFonts w:hint="eastAsia" w:asciiTheme="minorEastAsia" w:hAnsiTheme="minorEastAsia" w:eastAsiaTheme="minorEastAsia"/>
        </w:rPr>
        <w:t>有</w:t>
      </w:r>
      <w:r>
        <w:rPr>
          <w:rFonts w:asciiTheme="minorEastAsia" w:hAnsiTheme="minorEastAsia" w:eastAsiaTheme="minorEastAsia"/>
        </w:rPr>
        <w:t>52.35%</w:t>
      </w:r>
      <w:r>
        <w:rPr>
          <w:rFonts w:hint="eastAsia" w:asciiTheme="minorEastAsia" w:hAnsiTheme="minorEastAsia" w:eastAsiaTheme="minorEastAsia"/>
        </w:rPr>
        <w:t>的专利期限届满，有</w:t>
      </w:r>
      <w:r>
        <w:rPr>
          <w:rFonts w:asciiTheme="minorEastAsia" w:hAnsiTheme="minorEastAsia" w:eastAsiaTheme="minorEastAsia"/>
        </w:rPr>
        <w:t>15.51%</w:t>
      </w:r>
      <w:r>
        <w:rPr>
          <w:rFonts w:hint="eastAsia" w:asciiTheme="minorEastAsia" w:hAnsiTheme="minorEastAsia" w:eastAsiaTheme="minorEastAsia"/>
        </w:rPr>
        <w:t>的专利撤回，有</w:t>
      </w:r>
      <w:r>
        <w:rPr>
          <w:rFonts w:asciiTheme="minorEastAsia" w:hAnsiTheme="minorEastAsia" w:eastAsiaTheme="minorEastAsia"/>
        </w:rPr>
        <w:t>11.63%</w:t>
      </w:r>
      <w:r>
        <w:rPr>
          <w:rFonts w:hint="eastAsia" w:asciiTheme="minorEastAsia" w:hAnsiTheme="minorEastAsia" w:eastAsiaTheme="minorEastAsia"/>
        </w:rPr>
        <w:t>的专利授权，有</w:t>
      </w:r>
      <w:r>
        <w:rPr>
          <w:rFonts w:asciiTheme="minorEastAsia" w:hAnsiTheme="minorEastAsia" w:eastAsiaTheme="minorEastAsia"/>
        </w:rPr>
        <w:t>11.35%</w:t>
      </w:r>
      <w:r>
        <w:rPr>
          <w:rFonts w:hint="eastAsia" w:asciiTheme="minorEastAsia" w:hAnsiTheme="minorEastAsia" w:eastAsiaTheme="minorEastAsia"/>
        </w:rPr>
        <w:t>的专利申请未缴年费。</w:t>
      </w:r>
      <w:bookmarkEnd w:id="27"/>
      <w:r>
        <w:rPr>
          <w:rFonts w:hint="eastAsia" w:asciiTheme="minorEastAsia" w:hAnsiTheme="minorEastAsia" w:eastAsiaTheme="minorEastAsia"/>
        </w:rPr>
        <w:t>可见，美国在石油化工领域的专利大多都已经失效，失效的原因主要是期限届满、撤回、未缴年费等。</w:t>
      </w:r>
    </w:p>
    <w:p>
      <w:pPr>
        <w:ind w:firstLine="562"/>
        <w:outlineLvl w:val="2"/>
        <w:rPr>
          <w:rFonts w:ascii="黑体" w:hAnsi="黑体" w:eastAsia="黑体" w:cs="Helvetica"/>
          <w:b/>
          <w:color w:val="000000" w:themeColor="text1"/>
          <w:kern w:val="0"/>
          <w:sz w:val="28"/>
          <w:szCs w:val="28"/>
        </w:rPr>
      </w:pPr>
      <w:bookmarkStart w:id="28" w:name="_Toc203057559"/>
      <w:r>
        <w:rPr>
          <w:rFonts w:ascii="黑体" w:hAnsi="黑体" w:eastAsia="黑体" w:cs="Helvetica"/>
          <w:b/>
          <w:color w:val="000000" w:themeColor="text1"/>
          <w:kern w:val="0"/>
          <w:sz w:val="28"/>
          <w:szCs w:val="28"/>
        </w:rPr>
        <w:t>2.3</w:t>
      </w:r>
      <w:r>
        <w:rPr>
          <w:rFonts w:hint="eastAsia" w:ascii="黑体" w:hAnsi="黑体" w:eastAsia="黑体" w:cs="Helvetica"/>
          <w:b/>
          <w:color w:val="000000" w:themeColor="text1"/>
          <w:kern w:val="0"/>
          <w:sz w:val="28"/>
          <w:szCs w:val="28"/>
        </w:rPr>
        <w:t>.</w:t>
      </w:r>
      <w:r>
        <w:rPr>
          <w:rFonts w:ascii="黑体" w:hAnsi="黑体" w:eastAsia="黑体" w:cs="Helvetica"/>
          <w:b/>
          <w:color w:val="000000" w:themeColor="text1"/>
          <w:kern w:val="0"/>
          <w:sz w:val="28"/>
          <w:szCs w:val="28"/>
        </w:rPr>
        <w:t xml:space="preserve">3 </w:t>
      </w:r>
      <w:r>
        <w:rPr>
          <w:rFonts w:hint="eastAsia" w:ascii="黑体" w:hAnsi="黑体" w:eastAsia="黑体" w:cs="Helvetica"/>
          <w:b/>
          <w:color w:val="000000" w:themeColor="text1"/>
          <w:kern w:val="0"/>
          <w:sz w:val="28"/>
          <w:szCs w:val="28"/>
        </w:rPr>
        <w:t>韩国</w:t>
      </w:r>
      <w:bookmarkEnd w:id="28"/>
    </w:p>
    <w:p>
      <w:pPr>
        <w:ind w:firstLine="482"/>
        <w:rPr>
          <w:rFonts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专利申请趋势</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4479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5274310" cy="2447925"/>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2.3-7 </w:t>
      </w:r>
      <w:r>
        <w:rPr>
          <w:rFonts w:hint="eastAsia" w:asciiTheme="minorEastAsia" w:hAnsiTheme="minorEastAsia" w:eastAsiaTheme="minorEastAsia"/>
          <w:b/>
          <w:bCs/>
          <w:sz w:val="24"/>
        </w:rPr>
        <w:t>韩国石油化工领域相关专利申请趋势</w:t>
      </w:r>
    </w:p>
    <w:p>
      <w:pPr>
        <w:ind w:firstLine="480"/>
        <w:rPr>
          <w:rFonts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韩国石油化工领域</w:t>
      </w:r>
      <w:r>
        <w:rPr>
          <w:rFonts w:asciiTheme="minorEastAsia" w:hAnsiTheme="minorEastAsia" w:eastAsiaTheme="minorEastAsia"/>
        </w:rPr>
        <w:t>相关专利文献543</w:t>
      </w:r>
      <w:r>
        <w:rPr>
          <w:rFonts w:hint="eastAsia" w:asciiTheme="minorEastAsia" w:hAnsiTheme="minorEastAsia" w:eastAsiaTheme="minorEastAsia"/>
        </w:rPr>
        <w:t>篇</w:t>
      </w:r>
      <w:r>
        <w:rPr>
          <w:rFonts w:asciiTheme="minorEastAsia" w:hAnsiTheme="minorEastAsia" w:eastAsiaTheme="minorEastAsia"/>
        </w:rPr>
        <w:t>，</w:t>
      </w:r>
      <w:r>
        <w:rPr>
          <w:rFonts w:hint="eastAsia" w:asciiTheme="minorEastAsia" w:hAnsiTheme="minorEastAsia" w:eastAsiaTheme="minorEastAsia"/>
        </w:rPr>
        <w:t>韩国在石油化工领域的专利申请开始较早，在2</w:t>
      </w:r>
      <w:r>
        <w:rPr>
          <w:rFonts w:asciiTheme="minorEastAsia" w:hAnsiTheme="minorEastAsia" w:eastAsiaTheme="minorEastAsia"/>
        </w:rPr>
        <w:t>1</w:t>
      </w:r>
      <w:r>
        <w:rPr>
          <w:rFonts w:hint="eastAsia" w:asciiTheme="minorEastAsia" w:hAnsiTheme="minorEastAsia" w:eastAsiaTheme="minorEastAsia"/>
        </w:rPr>
        <w:t>世纪初就在该领域申请了较多的专利。近些年，韩国在石油化工领域的年专利申请数量呈现出先增加后减少的趋势，年专利申请数量维持在</w:t>
      </w:r>
      <w:r>
        <w:rPr>
          <w:rFonts w:asciiTheme="minorEastAsia" w:hAnsiTheme="minorEastAsia" w:eastAsiaTheme="minorEastAsia"/>
        </w:rPr>
        <w:t>40</w:t>
      </w:r>
      <w:r>
        <w:rPr>
          <w:rFonts w:hint="eastAsia" w:asciiTheme="minorEastAsia" w:hAnsiTheme="minorEastAsia" w:eastAsiaTheme="minorEastAsia"/>
        </w:rPr>
        <w:t>件左右</w:t>
      </w:r>
      <w:r>
        <w:rPr>
          <w:rFonts w:asciiTheme="minorEastAsia" w:hAnsiTheme="minorEastAsia" w:eastAsiaTheme="minorEastAsia"/>
        </w:rPr>
        <w:t>。</w:t>
      </w:r>
    </w:p>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4252595" cy="27571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a:stretch>
                      <a:fillRect/>
                    </a:stretch>
                  </pic:blipFill>
                  <pic:spPr>
                    <a:xfrm>
                      <a:off x="0" y="0"/>
                      <a:ext cx="4253812" cy="2757859"/>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2.3-8 </w:t>
      </w:r>
      <w:r>
        <w:rPr>
          <w:rFonts w:hint="eastAsia" w:asciiTheme="minorEastAsia" w:hAnsiTheme="minorEastAsia" w:eastAsiaTheme="minorEastAsia"/>
          <w:b/>
          <w:bCs/>
          <w:sz w:val="24"/>
        </w:rPr>
        <w:t>韩国石油化工领域</w:t>
      </w:r>
      <w:r>
        <w:rPr>
          <w:rFonts w:asciiTheme="minorEastAsia" w:hAnsiTheme="minorEastAsia" w:eastAsiaTheme="minorEastAsia"/>
          <w:b/>
          <w:bCs/>
          <w:sz w:val="24"/>
        </w:rPr>
        <w:t>相关专利申请类型</w:t>
      </w:r>
    </w:p>
    <w:p>
      <w:pPr>
        <w:ind w:firstLine="480"/>
        <w:rPr>
          <w:rFonts w:asciiTheme="minorEastAsia" w:hAnsiTheme="minorEastAsia" w:eastAsiaTheme="minorEastAsia"/>
        </w:rPr>
      </w:pPr>
      <w:r>
        <w:rPr>
          <w:rFonts w:asciiTheme="minorEastAsia" w:hAnsiTheme="minorEastAsia" w:eastAsiaTheme="minorEastAsia"/>
        </w:rPr>
        <w:t>由图2.3-8可以看出，目前</w:t>
      </w:r>
      <w:r>
        <w:rPr>
          <w:rFonts w:hint="eastAsia" w:asciiTheme="minorEastAsia" w:hAnsiTheme="minorEastAsia" w:eastAsiaTheme="minorEastAsia"/>
        </w:rPr>
        <w:t>韩国在石油化工领域的专利申请类型主要以发明专利为主</w:t>
      </w:r>
      <w:r>
        <w:rPr>
          <w:rFonts w:asciiTheme="minorEastAsia" w:hAnsiTheme="minorEastAsia" w:eastAsiaTheme="minorEastAsia"/>
        </w:rPr>
        <w:t>，</w:t>
      </w:r>
      <w:r>
        <w:rPr>
          <w:rFonts w:hint="eastAsia" w:asciiTheme="minorEastAsia" w:hAnsiTheme="minorEastAsia" w:eastAsiaTheme="minorEastAsia"/>
        </w:rPr>
        <w:t>其中授权发明专利占比为</w:t>
      </w:r>
      <w:r>
        <w:rPr>
          <w:rFonts w:asciiTheme="minorEastAsia" w:hAnsiTheme="minorEastAsia" w:eastAsiaTheme="minorEastAsia"/>
        </w:rPr>
        <w:t>76.97</w:t>
      </w:r>
      <w:r>
        <w:rPr>
          <w:rFonts w:hint="eastAsia" w:asciiTheme="minorEastAsia" w:hAnsiTheme="minorEastAsia" w:eastAsiaTheme="minorEastAsia"/>
        </w:rPr>
        <w:t>%，发明申请占比为</w:t>
      </w:r>
      <w:r>
        <w:rPr>
          <w:rFonts w:asciiTheme="minorEastAsia" w:hAnsiTheme="minorEastAsia" w:eastAsiaTheme="minorEastAsia"/>
        </w:rPr>
        <w:t>22.28%</w:t>
      </w:r>
      <w:r>
        <w:rPr>
          <w:rFonts w:hint="eastAsia" w:asciiTheme="minorEastAsia" w:hAnsiTheme="minorEastAsia" w:eastAsiaTheme="minorEastAsia"/>
        </w:rPr>
        <w:t>。</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62699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stretch>
                      <a:fillRect/>
                    </a:stretch>
                  </pic:blipFill>
                  <pic:spPr>
                    <a:xfrm>
                      <a:off x="0" y="0"/>
                      <a:ext cx="5274310" cy="2626995"/>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2.3-9 </w:t>
      </w:r>
      <w:r>
        <w:rPr>
          <w:rFonts w:hint="eastAsia" w:asciiTheme="minorEastAsia" w:hAnsiTheme="minorEastAsia" w:eastAsiaTheme="minorEastAsia"/>
          <w:b/>
          <w:bCs/>
          <w:sz w:val="24"/>
        </w:rPr>
        <w:t>韩国石油化工领域相关专利法律状态</w:t>
      </w:r>
    </w:p>
    <w:p>
      <w:pPr>
        <w:ind w:firstLine="480"/>
        <w:rPr>
          <w:rFonts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2.3-9</w:t>
      </w:r>
      <w:r>
        <w:rPr>
          <w:rFonts w:hint="eastAsia" w:asciiTheme="minorEastAsia" w:hAnsiTheme="minorEastAsia" w:eastAsiaTheme="minorEastAsia"/>
        </w:rPr>
        <w:t>可以看出，韩国石油化工领域的专利申请中，有5</w:t>
      </w:r>
      <w:r>
        <w:rPr>
          <w:rFonts w:asciiTheme="minorEastAsia" w:hAnsiTheme="minorEastAsia" w:eastAsiaTheme="minorEastAsia"/>
        </w:rPr>
        <w:t>9.48%</w:t>
      </w:r>
      <w:r>
        <w:rPr>
          <w:rFonts w:hint="eastAsia" w:asciiTheme="minorEastAsia" w:hAnsiTheme="minorEastAsia" w:eastAsiaTheme="minorEastAsia"/>
        </w:rPr>
        <w:t>的专利授权，有</w:t>
      </w:r>
      <w:r>
        <w:rPr>
          <w:rFonts w:asciiTheme="minorEastAsia" w:hAnsiTheme="minorEastAsia" w:eastAsiaTheme="minorEastAsia"/>
        </w:rPr>
        <w:t>16.39%</w:t>
      </w:r>
      <w:r>
        <w:rPr>
          <w:rFonts w:hint="eastAsia" w:asciiTheme="minorEastAsia" w:hAnsiTheme="minorEastAsia" w:eastAsiaTheme="minorEastAsia"/>
        </w:rPr>
        <w:t>的专利未缴年费，有</w:t>
      </w:r>
      <w:r>
        <w:rPr>
          <w:rFonts w:asciiTheme="minorEastAsia" w:hAnsiTheme="minorEastAsia" w:eastAsiaTheme="minorEastAsia"/>
        </w:rPr>
        <w:t>7.55%</w:t>
      </w:r>
      <w:r>
        <w:rPr>
          <w:rFonts w:hint="eastAsia" w:asciiTheme="minorEastAsia" w:hAnsiTheme="minorEastAsia" w:eastAsiaTheme="minorEastAsia"/>
        </w:rPr>
        <w:t>的专利驳回，</w:t>
      </w:r>
      <w:r>
        <w:rPr>
          <w:rFonts w:asciiTheme="minorEastAsia" w:hAnsiTheme="minorEastAsia" w:eastAsiaTheme="minorEastAsia"/>
        </w:rPr>
        <w:t>5.34%</w:t>
      </w:r>
      <w:r>
        <w:rPr>
          <w:rFonts w:hint="eastAsia" w:asciiTheme="minorEastAsia" w:hAnsiTheme="minorEastAsia" w:eastAsiaTheme="minorEastAsia"/>
        </w:rPr>
        <w:t>的专利撤回。可见，韩国在石油化工领域的专利大多处于有效状态。</w:t>
      </w:r>
    </w:p>
    <w:p>
      <w:pPr>
        <w:ind w:firstLine="562"/>
        <w:outlineLvl w:val="2"/>
        <w:rPr>
          <w:rFonts w:ascii="黑体" w:hAnsi="黑体" w:eastAsia="黑体" w:cs="Helvetica"/>
          <w:b/>
          <w:color w:val="000000" w:themeColor="text1"/>
          <w:kern w:val="0"/>
          <w:sz w:val="28"/>
          <w:szCs w:val="28"/>
        </w:rPr>
      </w:pPr>
      <w:bookmarkStart w:id="29" w:name="_Toc203057560"/>
      <w:r>
        <w:rPr>
          <w:rFonts w:ascii="黑体" w:hAnsi="黑体" w:eastAsia="黑体" w:cs="Helvetica"/>
          <w:b/>
          <w:color w:val="000000" w:themeColor="text1"/>
          <w:kern w:val="0"/>
          <w:sz w:val="28"/>
          <w:szCs w:val="28"/>
        </w:rPr>
        <w:t>2.3</w:t>
      </w:r>
      <w:r>
        <w:rPr>
          <w:rFonts w:hint="eastAsia" w:ascii="黑体" w:hAnsi="黑体" w:eastAsia="黑体" w:cs="Helvetica"/>
          <w:b/>
          <w:color w:val="000000" w:themeColor="text1"/>
          <w:kern w:val="0"/>
          <w:sz w:val="28"/>
          <w:szCs w:val="28"/>
        </w:rPr>
        <w:t>.</w:t>
      </w:r>
      <w:r>
        <w:rPr>
          <w:rFonts w:ascii="黑体" w:hAnsi="黑体" w:eastAsia="黑体" w:cs="Helvetica"/>
          <w:b/>
          <w:color w:val="000000" w:themeColor="text1"/>
          <w:kern w:val="0"/>
          <w:sz w:val="28"/>
          <w:szCs w:val="28"/>
        </w:rPr>
        <w:t xml:space="preserve">4 </w:t>
      </w:r>
      <w:r>
        <w:rPr>
          <w:rFonts w:hint="eastAsia" w:ascii="黑体" w:hAnsi="黑体" w:eastAsia="黑体" w:cs="Helvetica"/>
          <w:b/>
          <w:color w:val="000000" w:themeColor="text1"/>
          <w:kern w:val="0"/>
          <w:sz w:val="28"/>
          <w:szCs w:val="28"/>
        </w:rPr>
        <w:t>德国</w:t>
      </w:r>
      <w:bookmarkEnd w:id="29"/>
    </w:p>
    <w:p>
      <w:pPr>
        <w:ind w:firstLine="482"/>
        <w:rPr>
          <w:rFonts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专利申请趋势</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45364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5274310" cy="2453640"/>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2.3-10 </w:t>
      </w:r>
      <w:r>
        <w:rPr>
          <w:rFonts w:hint="eastAsia" w:asciiTheme="minorEastAsia" w:hAnsiTheme="minorEastAsia" w:eastAsiaTheme="minorEastAsia"/>
          <w:b/>
          <w:bCs/>
          <w:sz w:val="24"/>
        </w:rPr>
        <w:t>德国石油化工领域相关专利申请趋势</w:t>
      </w:r>
    </w:p>
    <w:p>
      <w:pPr>
        <w:ind w:firstLine="480"/>
        <w:rPr>
          <w:rFonts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德国石油化工领域</w:t>
      </w:r>
      <w:r>
        <w:rPr>
          <w:rFonts w:asciiTheme="minorEastAsia" w:hAnsiTheme="minorEastAsia" w:eastAsiaTheme="minorEastAsia"/>
        </w:rPr>
        <w:t>相关专利文献136</w:t>
      </w:r>
      <w:r>
        <w:rPr>
          <w:rFonts w:hint="eastAsia" w:asciiTheme="minorEastAsia" w:hAnsiTheme="minorEastAsia" w:eastAsiaTheme="minorEastAsia"/>
        </w:rPr>
        <w:t>篇</w:t>
      </w:r>
      <w:r>
        <w:rPr>
          <w:rFonts w:asciiTheme="minorEastAsia" w:hAnsiTheme="minorEastAsia" w:eastAsiaTheme="minorEastAsia"/>
        </w:rPr>
        <w:t>，</w:t>
      </w:r>
      <w:r>
        <w:rPr>
          <w:rFonts w:hint="eastAsia" w:asciiTheme="minorEastAsia" w:hAnsiTheme="minorEastAsia" w:eastAsiaTheme="minorEastAsia"/>
        </w:rPr>
        <w:t>由图2</w:t>
      </w:r>
      <w:r>
        <w:rPr>
          <w:rFonts w:asciiTheme="minorEastAsia" w:hAnsiTheme="minorEastAsia" w:eastAsiaTheme="minorEastAsia"/>
        </w:rPr>
        <w:t>.3-10</w:t>
      </w:r>
      <w:r>
        <w:rPr>
          <w:rFonts w:hint="eastAsia" w:asciiTheme="minorEastAsia" w:hAnsiTheme="minorEastAsia" w:eastAsiaTheme="minorEastAsia"/>
        </w:rPr>
        <w:t>可以看出，德国石油化工产业发展较早，近些年，德国在石油化工领域的年专利申请数量较少，年专利申请数量不足</w:t>
      </w:r>
      <w:r>
        <w:rPr>
          <w:rFonts w:asciiTheme="minorEastAsia" w:hAnsiTheme="minorEastAsia" w:eastAsiaTheme="minorEastAsia"/>
        </w:rPr>
        <w:t>5</w:t>
      </w:r>
      <w:r>
        <w:rPr>
          <w:rFonts w:hint="eastAsia" w:asciiTheme="minorEastAsia" w:hAnsiTheme="minorEastAsia" w:eastAsiaTheme="minorEastAsia"/>
        </w:rPr>
        <w:t>件</w:t>
      </w:r>
      <w:r>
        <w:rPr>
          <w:rFonts w:asciiTheme="minorEastAsia" w:hAnsiTheme="minorEastAsia" w:eastAsiaTheme="minorEastAsia"/>
        </w:rPr>
        <w:t>。</w:t>
      </w:r>
    </w:p>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4419600" cy="235648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a:stretch>
                      <a:fillRect/>
                    </a:stretch>
                  </pic:blipFill>
                  <pic:spPr>
                    <a:xfrm>
                      <a:off x="0" y="0"/>
                      <a:ext cx="4420665" cy="2357227"/>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2.3-11 </w:t>
      </w:r>
      <w:r>
        <w:rPr>
          <w:rFonts w:hint="eastAsia" w:asciiTheme="minorEastAsia" w:hAnsiTheme="minorEastAsia" w:eastAsiaTheme="minorEastAsia"/>
          <w:b/>
          <w:bCs/>
          <w:sz w:val="24"/>
        </w:rPr>
        <w:t>德国石油化工领域</w:t>
      </w:r>
      <w:r>
        <w:rPr>
          <w:rFonts w:asciiTheme="minorEastAsia" w:hAnsiTheme="minorEastAsia" w:eastAsiaTheme="minorEastAsia"/>
          <w:b/>
          <w:bCs/>
          <w:sz w:val="24"/>
        </w:rPr>
        <w:t>相关专利申请类型</w:t>
      </w:r>
    </w:p>
    <w:p>
      <w:pPr>
        <w:ind w:firstLine="480"/>
        <w:rPr>
          <w:rFonts w:asciiTheme="minorEastAsia" w:hAnsiTheme="minorEastAsia" w:eastAsiaTheme="minorEastAsia"/>
        </w:rPr>
      </w:pPr>
      <w:r>
        <w:rPr>
          <w:rFonts w:asciiTheme="minorEastAsia" w:hAnsiTheme="minorEastAsia" w:eastAsiaTheme="minorEastAsia"/>
        </w:rPr>
        <w:t>由图2.3-11可以看出，目前</w:t>
      </w:r>
      <w:r>
        <w:rPr>
          <w:rFonts w:hint="eastAsia" w:asciiTheme="minorEastAsia" w:hAnsiTheme="minorEastAsia" w:eastAsiaTheme="minorEastAsia"/>
        </w:rPr>
        <w:t>德国在石油化工领域的专利申请均为发明专利</w:t>
      </w:r>
      <w:r>
        <w:rPr>
          <w:rFonts w:asciiTheme="minorEastAsia" w:hAnsiTheme="minorEastAsia" w:eastAsiaTheme="minorEastAsia"/>
        </w:rPr>
        <w:t>，</w:t>
      </w:r>
      <w:r>
        <w:rPr>
          <w:rFonts w:hint="eastAsia" w:asciiTheme="minorEastAsia" w:hAnsiTheme="minorEastAsia" w:eastAsiaTheme="minorEastAsia"/>
        </w:rPr>
        <w:t>其中授权发明专利占比为</w:t>
      </w:r>
      <w:r>
        <w:rPr>
          <w:rFonts w:asciiTheme="minorEastAsia" w:hAnsiTheme="minorEastAsia" w:eastAsiaTheme="minorEastAsia"/>
        </w:rPr>
        <w:t>75</w:t>
      </w:r>
      <w:r>
        <w:rPr>
          <w:rFonts w:hint="eastAsia" w:asciiTheme="minorEastAsia" w:hAnsiTheme="minorEastAsia" w:eastAsiaTheme="minorEastAsia"/>
        </w:rPr>
        <w:t>%，发明申请占比为2</w:t>
      </w:r>
      <w:r>
        <w:rPr>
          <w:rFonts w:asciiTheme="minorEastAsia" w:hAnsiTheme="minorEastAsia" w:eastAsiaTheme="minorEastAsia"/>
        </w:rPr>
        <w:t>5%</w:t>
      </w:r>
      <w:r>
        <w:rPr>
          <w:rFonts w:hint="eastAsia" w:asciiTheme="minorEastAsia" w:hAnsiTheme="minorEastAsia" w:eastAsiaTheme="minorEastAsia"/>
        </w:rPr>
        <w:t>。可以看出，德国在石油化工领域专利的技术先进性是相对较高的。</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31019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8"/>
                    <a:stretch>
                      <a:fillRect/>
                    </a:stretch>
                  </pic:blipFill>
                  <pic:spPr>
                    <a:xfrm>
                      <a:off x="0" y="0"/>
                      <a:ext cx="5274310" cy="310197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2.3-12 </w:t>
      </w:r>
      <w:r>
        <w:rPr>
          <w:rFonts w:hint="eastAsia" w:asciiTheme="minorEastAsia" w:hAnsiTheme="minorEastAsia" w:eastAsiaTheme="minorEastAsia"/>
          <w:b/>
          <w:bCs/>
          <w:sz w:val="24"/>
        </w:rPr>
        <w:t>德国石油化工领域相关专利法律状态</w:t>
      </w:r>
    </w:p>
    <w:p>
      <w:pPr>
        <w:ind w:firstLine="480"/>
        <w:rPr>
          <w:rFonts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2.3-12</w:t>
      </w:r>
      <w:r>
        <w:rPr>
          <w:rFonts w:hint="eastAsia" w:asciiTheme="minorEastAsia" w:hAnsiTheme="minorEastAsia" w:eastAsiaTheme="minorEastAsia"/>
        </w:rPr>
        <w:t>可以看出，德国石油化工领域的专利申请中，有3</w:t>
      </w:r>
      <w:r>
        <w:rPr>
          <w:rFonts w:asciiTheme="minorEastAsia" w:hAnsiTheme="minorEastAsia" w:eastAsiaTheme="minorEastAsia"/>
        </w:rPr>
        <w:t>5.29%</w:t>
      </w:r>
      <w:r>
        <w:rPr>
          <w:rFonts w:hint="eastAsia" w:asciiTheme="minorEastAsia" w:hAnsiTheme="minorEastAsia" w:eastAsiaTheme="minorEastAsia"/>
        </w:rPr>
        <w:t>的专利未缴年费，有</w:t>
      </w:r>
      <w:r>
        <w:rPr>
          <w:rFonts w:asciiTheme="minorEastAsia" w:hAnsiTheme="minorEastAsia" w:eastAsiaTheme="minorEastAsia"/>
        </w:rPr>
        <w:t>29.41%</w:t>
      </w:r>
      <w:r>
        <w:rPr>
          <w:rFonts w:hint="eastAsia" w:asciiTheme="minorEastAsia" w:hAnsiTheme="minorEastAsia" w:eastAsiaTheme="minorEastAsia"/>
        </w:rPr>
        <w:t>的专利期限届满，有</w:t>
      </w:r>
      <w:r>
        <w:rPr>
          <w:rFonts w:asciiTheme="minorEastAsia" w:hAnsiTheme="minorEastAsia" w:eastAsiaTheme="minorEastAsia"/>
        </w:rPr>
        <w:t>11.02%</w:t>
      </w:r>
      <w:r>
        <w:rPr>
          <w:rFonts w:hint="eastAsia" w:asciiTheme="minorEastAsia" w:hAnsiTheme="minorEastAsia" w:eastAsiaTheme="minorEastAsia"/>
        </w:rPr>
        <w:t>的专利申请终止，仅有</w:t>
      </w:r>
      <w:r>
        <w:rPr>
          <w:rFonts w:asciiTheme="minorEastAsia" w:hAnsiTheme="minorEastAsia" w:eastAsiaTheme="minorEastAsia"/>
        </w:rPr>
        <w:t>11.02%</w:t>
      </w:r>
      <w:r>
        <w:rPr>
          <w:rFonts w:hint="eastAsia" w:asciiTheme="minorEastAsia" w:hAnsiTheme="minorEastAsia" w:eastAsiaTheme="minorEastAsia"/>
        </w:rPr>
        <w:t>的专利处于授权状态。可以看出得到德国在石油化工领域的大部分专利都已失效。</w:t>
      </w:r>
    </w:p>
    <w:p>
      <w:pPr>
        <w:ind w:firstLine="562"/>
        <w:outlineLvl w:val="1"/>
        <w:rPr>
          <w:rFonts w:ascii="黑体" w:hAnsi="黑体" w:eastAsia="黑体"/>
          <w:b/>
          <w:bCs/>
          <w:sz w:val="28"/>
          <w:szCs w:val="28"/>
        </w:rPr>
      </w:pPr>
      <w:bookmarkStart w:id="30" w:name="_Toc203057561"/>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4</w:t>
      </w:r>
      <w:r>
        <w:rPr>
          <w:rFonts w:hint="eastAsia" w:ascii="黑体" w:hAnsi="黑体" w:eastAsia="黑体"/>
          <w:b/>
          <w:bCs/>
          <w:sz w:val="28"/>
          <w:szCs w:val="28"/>
        </w:rPr>
        <w:t xml:space="preserve"> 重点企业知识产权竞争态势</w:t>
      </w:r>
      <w:bookmarkEnd w:id="30"/>
    </w:p>
    <w:p>
      <w:pPr>
        <w:ind w:firstLine="0" w:firstLineChars="0"/>
      </w:pPr>
      <w:r>
        <w:drawing>
          <wp:inline distT="0" distB="0" distL="0" distR="0">
            <wp:extent cx="5274310" cy="25063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74310" cy="250634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2.4-1 </w:t>
      </w:r>
      <w:r>
        <w:rPr>
          <w:rFonts w:hint="eastAsia" w:asciiTheme="minorEastAsia" w:hAnsiTheme="minorEastAsia" w:eastAsiaTheme="minorEastAsia"/>
          <w:b/>
          <w:bCs/>
          <w:sz w:val="24"/>
        </w:rPr>
        <w:t>全球石油化工领域主要专利申请人</w:t>
      </w:r>
    </w:p>
    <w:p>
      <w:pPr>
        <w:ind w:firstLine="480"/>
      </w:pPr>
      <w:r>
        <w:rPr>
          <w:rFonts w:hint="eastAsia"/>
        </w:rPr>
        <w:t>排在前十位的专利申请人依次为</w:t>
      </w:r>
      <w:r>
        <w:t>埃克森美孚科技工程公司</w:t>
      </w:r>
      <w:r>
        <w:rPr>
          <w:rFonts w:hint="eastAsia"/>
        </w:rPr>
        <w:t>、</w:t>
      </w:r>
      <w:r>
        <w:t>出光兴产株式会社</w:t>
      </w:r>
      <w:r>
        <w:rPr>
          <w:rFonts w:hint="eastAsia"/>
        </w:rPr>
        <w:t>、</w:t>
      </w:r>
      <w:r>
        <w:t>可隆工业株式会社</w:t>
      </w:r>
      <w:r>
        <w:rPr>
          <w:rFonts w:hint="eastAsia"/>
        </w:rPr>
        <w:t>、</w:t>
      </w:r>
      <w:r>
        <w:t>荒川化学工业株式会社</w:t>
      </w:r>
      <w:r>
        <w:rPr>
          <w:rFonts w:hint="eastAsia"/>
        </w:rPr>
        <w:t>、</w:t>
      </w:r>
      <w:r>
        <w:t>窒素株式会社</w:t>
      </w:r>
      <w:r>
        <w:rPr>
          <w:rFonts w:hint="eastAsia"/>
        </w:rPr>
        <w:t>、</w:t>
      </w:r>
      <w:r>
        <w:t>东曹株式会社</w:t>
      </w:r>
      <w:r>
        <w:rPr>
          <w:rFonts w:hint="eastAsia"/>
        </w:rPr>
        <w:t>、</w:t>
      </w:r>
      <w:bookmarkStart w:id="31" w:name="OLE_LINK19"/>
      <w:r>
        <w:t>中国石油化工股份有限公司</w:t>
      </w:r>
      <w:bookmarkEnd w:id="31"/>
      <w:r>
        <w:rPr>
          <w:rFonts w:hint="eastAsia"/>
        </w:rPr>
        <w:t>、</w:t>
      </w:r>
      <w:r>
        <w:t>横滨橡胶株式会社</w:t>
      </w:r>
      <w:r>
        <w:rPr>
          <w:rFonts w:hint="eastAsia"/>
        </w:rPr>
        <w:t>、</w:t>
      </w:r>
      <w:r>
        <w:t>韩华思路信(株)</w:t>
      </w:r>
      <w:r>
        <w:rPr>
          <w:rFonts w:hint="eastAsia"/>
        </w:rPr>
        <w:t>、</w:t>
      </w:r>
      <w:r>
        <w:t>安徽同心新材料科技有限公司</w:t>
      </w:r>
      <w:r>
        <w:rPr>
          <w:rFonts w:hint="eastAsia"/>
        </w:rPr>
        <w:t>。可以看到，石油化工领域专利申请数量排名前十的专利申请人主要为国外企业。</w:t>
      </w:r>
    </w:p>
    <w:p>
      <w:pPr>
        <w:ind w:firstLine="480"/>
      </w:pPr>
      <w:r>
        <w:rPr>
          <w:rFonts w:hint="eastAsia"/>
        </w:rPr>
        <w:t>下面对部分石油化工企业做简单介绍。</w:t>
      </w:r>
    </w:p>
    <w:p>
      <w:pPr>
        <w:ind w:firstLine="482"/>
        <w:rPr>
          <w:b/>
          <w:bCs/>
        </w:rPr>
      </w:pPr>
      <w:r>
        <w:rPr>
          <w:rFonts w:hint="eastAsia"/>
          <w:b/>
          <w:bCs/>
        </w:rPr>
        <w:t>一、</w:t>
      </w:r>
      <w:r>
        <w:rPr>
          <w:b/>
          <w:bCs/>
        </w:rPr>
        <w:t>埃克森美孚科技工程公司</w:t>
      </w:r>
    </w:p>
    <w:p>
      <w:pPr>
        <w:ind w:firstLine="480"/>
        <w:rPr>
          <w:rFonts w:hint="eastAsia"/>
        </w:rPr>
      </w:pPr>
      <w:r>
        <w:t>埃克森美孚科技工程公司是埃克森美孚旗下专注于技术研发与工程应用的重要机构。公司历史较为悠久，可追溯到 1964 年。其致力于通过技术和创新满足全球不断增长的能源需求，在石油天然气领域以及化工领域开展了广泛的研究活动。公司拥有先进的实验设备和完备的测试数据，汇聚了众多经验丰富的专家，连接着强大的全球技术网络，在燃油和润滑油产品研发方面成果显著，不断推出创新的润滑解决方案，在合成润滑油技术领域处于领先地位。</w:t>
      </w:r>
    </w:p>
    <w:p>
      <w:pPr>
        <w:ind w:firstLine="480"/>
      </w:pPr>
      <w:r>
        <w:t>此外，公司还积极参与能源转型相关技术研发，涉及碳捕集与封存、氢能、液化天然气和低排放燃料等项目，旨在实现 2050 年运营资产净零排放的目标。其在全球范围内为埃克森美孚的业务提供技术支持与工程保障，助力公司保持在全球石油化工行业的领先地位</w:t>
      </w:r>
      <w:r>
        <w:rPr>
          <w:rFonts w:hint="eastAsia"/>
        </w:rPr>
        <w:t>。</w:t>
      </w:r>
    </w:p>
    <w:p>
      <w:pPr>
        <w:ind w:firstLine="482"/>
        <w:rPr>
          <w:b/>
          <w:bCs/>
        </w:rPr>
      </w:pPr>
      <w:r>
        <w:rPr>
          <w:b/>
          <w:bCs/>
        </w:rPr>
        <w:t>埃克森美孚</w:t>
      </w:r>
      <w:r>
        <w:rPr>
          <w:rFonts w:hint="eastAsia"/>
          <w:b/>
          <w:bCs/>
        </w:rPr>
        <w:t>目前在石油化工领域专利申请</w:t>
      </w:r>
      <w:r>
        <w:rPr>
          <w:b/>
          <w:bCs/>
        </w:rPr>
        <w:t>251</w:t>
      </w:r>
      <w:r>
        <w:rPr>
          <w:rFonts w:hint="eastAsia"/>
          <w:b/>
          <w:bCs/>
        </w:rPr>
        <w:t>件，主要布局国家为英国、美国、加拿大、法国等。</w:t>
      </w:r>
      <w:r>
        <w:rPr>
          <w:b/>
          <w:bCs/>
        </w:rPr>
        <w:t>埃克森美孚</w:t>
      </w:r>
      <w:r>
        <w:rPr>
          <w:rFonts w:hint="eastAsia"/>
          <w:b/>
          <w:bCs/>
        </w:rPr>
        <w:t>在石油化工领域所有专利均为发明专利，技术创新能力较强，但是其所有专利均因过期、未缴年费等原因而失效。</w:t>
      </w:r>
    </w:p>
    <w:p>
      <w:pPr>
        <w:ind w:firstLine="482"/>
        <w:rPr>
          <w:b/>
          <w:bCs/>
        </w:rPr>
      </w:pPr>
      <w:r>
        <w:rPr>
          <w:rFonts w:hint="eastAsia"/>
          <w:b/>
          <w:bCs/>
        </w:rPr>
        <w:t>二、</w:t>
      </w:r>
      <w:r>
        <w:rPr>
          <w:rFonts w:ascii="Segoe UI" w:hAnsi="Segoe UI" w:cs="Segoe UI"/>
          <w:b/>
          <w:bCs/>
        </w:rPr>
        <w:t>出光兴产株式会社</w:t>
      </w:r>
    </w:p>
    <w:p>
      <w:pPr>
        <w:ind w:firstLine="480"/>
        <w:rPr>
          <w:rFonts w:hint="eastAsia"/>
        </w:rPr>
      </w:pPr>
      <w:r>
        <w:t>出光兴产株式会社是日本最大的石油化工企业之一，也是世界500强企业。公司成立于1940年，但其历史可追溯至1911年，最初以销售润滑油产品起家，后业务范围不断拓展。</w:t>
      </w:r>
    </w:p>
    <w:p>
      <w:pPr>
        <w:ind w:firstLine="480"/>
        <w:rPr>
          <w:rFonts w:hint="eastAsia"/>
        </w:rPr>
      </w:pPr>
      <w:r>
        <w:t>公司总部位于东京都千代田区，主要经营石油化学工业、石油及其他矿物资源的勘探及开发、医药品、农药品等业务，是一家从石油开发、运输，到冶炼精制，并销售各种石油制品的综合石油集团。其在日本国内有多家制油所和20余家分支机构，海外也设有20多个事务所，全球员工总人数14000余人。</w:t>
      </w:r>
    </w:p>
    <w:p>
      <w:pPr>
        <w:ind w:firstLine="480"/>
        <w:rPr>
          <w:rFonts w:hint="eastAsia"/>
        </w:rPr>
      </w:pPr>
      <w:r>
        <w:t>出光兴产的润滑油业务尤为突出，曾连续43年保持日本销售量第一，在世界润滑油销售量排行榜上也曾位居第九。其热处理油产品知名度高，在日本和中国台湾市场占有率超过50%。此外，公司还从1993年开始进行OLED材料的研究与开发，现已成为世界上主要的OLED材料供应厂家之一。</w:t>
      </w:r>
    </w:p>
    <w:p>
      <w:pPr>
        <w:ind w:firstLine="480"/>
      </w:pPr>
      <w:r>
        <w:t>在中国，出光兴产是较早进入的日企之一，投资涉及能源、化工、润滑油、高机能材料、电子材料等领域。2018年，出光兴产中国总部基地落地成都高新区，致力于建立从研发到生产再到销售的一体化业务体系。</w:t>
      </w:r>
    </w:p>
    <w:p>
      <w:pPr>
        <w:ind w:firstLine="482"/>
        <w:rPr>
          <w:b/>
          <w:bCs/>
        </w:rPr>
      </w:pPr>
      <w:r>
        <w:rPr>
          <w:b/>
          <w:bCs/>
        </w:rPr>
        <w:t>出光兴产</w:t>
      </w:r>
      <w:r>
        <w:rPr>
          <w:rFonts w:hint="eastAsia"/>
          <w:b/>
          <w:bCs/>
        </w:rPr>
        <w:t>目前在石油化工领域专利申请</w:t>
      </w:r>
      <w:r>
        <w:rPr>
          <w:b/>
          <w:bCs/>
        </w:rPr>
        <w:t>169</w:t>
      </w:r>
      <w:r>
        <w:rPr>
          <w:rFonts w:hint="eastAsia"/>
          <w:b/>
          <w:bCs/>
        </w:rPr>
        <w:t>件，主要布局国家为日本、美国、中国、欧洲等；</w:t>
      </w:r>
      <w:r>
        <w:rPr>
          <w:b/>
          <w:bCs/>
        </w:rPr>
        <w:t>出光兴产</w:t>
      </w:r>
      <w:r>
        <w:rPr>
          <w:rFonts w:hint="eastAsia"/>
          <w:b/>
          <w:bCs/>
        </w:rPr>
        <w:t>在石油化工领域所有专利均为发明专利，技术创新能力较强。目前，有效专利占比为</w:t>
      </w:r>
      <w:r>
        <w:rPr>
          <w:b/>
          <w:bCs/>
        </w:rPr>
        <w:t>35.7</w:t>
      </w:r>
      <w:r>
        <w:rPr>
          <w:rFonts w:hint="eastAsia"/>
          <w:b/>
          <w:bCs/>
        </w:rPr>
        <w:t>%，失效专利占比为</w:t>
      </w:r>
      <w:r>
        <w:rPr>
          <w:b/>
          <w:bCs/>
        </w:rPr>
        <w:t>46.28%</w:t>
      </w:r>
      <w:r>
        <w:rPr>
          <w:rFonts w:hint="eastAsia"/>
          <w:b/>
          <w:bCs/>
        </w:rPr>
        <w:t>，审中专利占比为</w:t>
      </w:r>
      <w:r>
        <w:rPr>
          <w:b/>
          <w:bCs/>
        </w:rPr>
        <w:t>18.02</w:t>
      </w:r>
      <w:r>
        <w:rPr>
          <w:rFonts w:hint="eastAsia"/>
          <w:b/>
          <w:bCs/>
        </w:rPr>
        <w:t>%，</w:t>
      </w:r>
      <w:r>
        <w:rPr>
          <w:b/>
          <w:bCs/>
        </w:rPr>
        <w:t>出光兴产</w:t>
      </w:r>
      <w:r>
        <w:rPr>
          <w:rFonts w:hint="eastAsia"/>
          <w:b/>
          <w:bCs/>
        </w:rPr>
        <w:t>在石油化工领域具有较强的市场竞争力。</w:t>
      </w:r>
    </w:p>
    <w:p>
      <w:pPr>
        <w:ind w:firstLine="482"/>
        <w:rPr>
          <w:b/>
          <w:bCs/>
        </w:rPr>
      </w:pPr>
      <w:r>
        <w:rPr>
          <w:rFonts w:hint="eastAsia"/>
          <w:b/>
          <w:bCs/>
        </w:rPr>
        <w:t>三、</w:t>
      </w:r>
      <w:r>
        <w:rPr>
          <w:b/>
          <w:bCs/>
        </w:rPr>
        <w:t>可隆工业株式会社</w:t>
      </w:r>
    </w:p>
    <w:p>
      <w:pPr>
        <w:ind w:firstLine="480"/>
        <w:rPr>
          <w:rFonts w:hint="eastAsia"/>
        </w:rPr>
      </w:pPr>
      <w:r>
        <w:t>可隆工业株式会社是韩国极具代表性的综合性企业。公司创立于1957年，前身为韩国尼龙株式会社，最初以纺织业务起家，是韩国最早生产尼龙原纱的企业。</w:t>
      </w:r>
    </w:p>
    <w:p>
      <w:pPr>
        <w:ind w:firstLine="480"/>
        <w:rPr>
          <w:rFonts w:hint="eastAsia"/>
        </w:rPr>
      </w:pPr>
      <w:r>
        <w:t>此后，可隆工业不断拓展业务，逐渐涉足化工、高性能材料和环保技术等领域。如今，它已成为全球领先的高性能材料供应商，产品广泛应用于汽车、电子、航空航天等行业。其在高性能材料领域优势显著，生产的芳纶纤维、碳纤维等产品性能优异；纺织业务作为起家业务，也通过技术创新，推出了众多环保纤维材料产品；在化工领域则专注于环保型化工产品研发，如生物降解塑料等。</w:t>
      </w:r>
    </w:p>
    <w:p>
      <w:pPr>
        <w:ind w:firstLine="480"/>
        <w:rPr>
          <w:rFonts w:hint="eastAsia"/>
        </w:rPr>
      </w:pPr>
      <w:r>
        <w:t>可隆工业在韩国国内拥有多个生产基地和研究中心，海外业务遍布美国、英国、中国等国家和地区。在中国，其投资设立了可隆（南京）特种纺织品有限公司、可隆化工（苏州）有限公司等多家企业，生产轮胎帘子布、酚醛树脂等产品。公司旗下还有户外品牌KOLON SPORT，凭借“韩式时尚和户外功能”的定位，在全球户外市场占据一席之地。</w:t>
      </w:r>
    </w:p>
    <w:p>
      <w:pPr>
        <w:ind w:firstLine="482"/>
        <w:rPr>
          <w:b/>
          <w:bCs/>
        </w:rPr>
      </w:pPr>
      <w:r>
        <w:rPr>
          <w:b/>
          <w:bCs/>
        </w:rPr>
        <w:t>可隆工业</w:t>
      </w:r>
      <w:r>
        <w:rPr>
          <w:rFonts w:hint="eastAsia"/>
          <w:b/>
          <w:bCs/>
        </w:rPr>
        <w:t>目前在石油化工领域专利申请</w:t>
      </w:r>
      <w:r>
        <w:rPr>
          <w:b/>
          <w:bCs/>
        </w:rPr>
        <w:t>127</w:t>
      </w:r>
      <w:r>
        <w:rPr>
          <w:rFonts w:hint="eastAsia"/>
          <w:b/>
          <w:bCs/>
        </w:rPr>
        <w:t>件，主要布局国家为韩国、欧洲、日本、美国、中国等；</w:t>
      </w:r>
      <w:r>
        <w:rPr>
          <w:b/>
          <w:bCs/>
        </w:rPr>
        <w:t>可隆工业</w:t>
      </w:r>
      <w:r>
        <w:rPr>
          <w:rFonts w:hint="eastAsia"/>
          <w:b/>
          <w:bCs/>
        </w:rPr>
        <w:t>在石油化工领域所有专利均为发明专利，技术创新能力较强；</w:t>
      </w:r>
      <w:bookmarkStart w:id="32" w:name="OLE_LINK18"/>
      <w:r>
        <w:rPr>
          <w:rFonts w:hint="eastAsia"/>
          <w:b/>
          <w:bCs/>
        </w:rPr>
        <w:t>目前，有效专利占比为</w:t>
      </w:r>
      <w:r>
        <w:rPr>
          <w:b/>
          <w:bCs/>
        </w:rPr>
        <w:t>48.21</w:t>
      </w:r>
      <w:r>
        <w:rPr>
          <w:rFonts w:hint="eastAsia"/>
          <w:b/>
          <w:bCs/>
        </w:rPr>
        <w:t>%，失效专利占比为</w:t>
      </w:r>
      <w:r>
        <w:rPr>
          <w:b/>
          <w:bCs/>
        </w:rPr>
        <w:t>26.38%</w:t>
      </w:r>
      <w:r>
        <w:rPr>
          <w:rFonts w:hint="eastAsia"/>
          <w:b/>
          <w:bCs/>
        </w:rPr>
        <w:t>，审中专利占比为</w:t>
      </w:r>
      <w:r>
        <w:rPr>
          <w:b/>
          <w:bCs/>
        </w:rPr>
        <w:t>25.41</w:t>
      </w:r>
      <w:r>
        <w:rPr>
          <w:rFonts w:hint="eastAsia"/>
          <w:b/>
          <w:bCs/>
        </w:rPr>
        <w:t>%。</w:t>
      </w:r>
      <w:bookmarkEnd w:id="32"/>
      <w:r>
        <w:rPr>
          <w:b/>
          <w:bCs/>
        </w:rPr>
        <w:t>可隆工业</w:t>
      </w:r>
      <w:r>
        <w:rPr>
          <w:rFonts w:hint="eastAsia"/>
          <w:b/>
          <w:bCs/>
        </w:rPr>
        <w:t>在石油化工领域具有较强的市场竞争力。</w:t>
      </w:r>
    </w:p>
    <w:p>
      <w:pPr>
        <w:ind w:firstLine="482"/>
        <w:rPr>
          <w:b/>
          <w:bCs/>
        </w:rPr>
      </w:pPr>
      <w:r>
        <w:rPr>
          <w:rFonts w:hint="eastAsia"/>
          <w:b/>
          <w:bCs/>
        </w:rPr>
        <w:t>四、</w:t>
      </w:r>
      <w:r>
        <w:rPr>
          <w:b/>
          <w:bCs/>
        </w:rPr>
        <w:t>中国石油化工股份有限公司</w:t>
      </w:r>
    </w:p>
    <w:p>
      <w:pPr>
        <w:ind w:firstLine="480"/>
        <w:rPr>
          <w:rFonts w:hint="eastAsia"/>
        </w:rPr>
      </w:pPr>
      <w:bookmarkStart w:id="33" w:name="OLE_LINK3"/>
      <w:r>
        <w:t>中国石油化工股份有限公司简称“中国石化”，成立于2000年2月25日，是国家独资设立的中国石油化工集团下属公司。中国石化是一家上中下游一体化、石油石化主业突出、拥有比较完备销售网络、境内外上市的股份制企业。其H股于2000年10月在香港、纽约、伦敦三地交易所上市，A股于2001年8月在上海证券交易所上市。</w:t>
      </w:r>
    </w:p>
    <w:p>
      <w:pPr>
        <w:ind w:firstLine="480"/>
        <w:rPr>
          <w:rFonts w:hint="eastAsia"/>
        </w:rPr>
      </w:pPr>
      <w:r>
        <w:t>公司业务涵盖石油与天然气勘探开采、石油炼制、石油化工产品生产与销售等，是中国最大的成品油和石化产品供应商、第二大油气生产商，也是世界第一大炼油公司、第二大化工公司。其经营资产和主要市场集中在中国经济发达的东部、南部和中部地区，现有全资子公司、控股和参股子公司、分公司等共100余家。</w:t>
      </w:r>
    </w:p>
    <w:p>
      <w:pPr>
        <w:ind w:firstLine="480"/>
      </w:pPr>
      <w:r>
        <w:t>在《财富》世界500强企业排名中，中国石化长期位居前列，2024年位列全球第5名，中国第2名。</w:t>
      </w:r>
    </w:p>
    <w:p>
      <w:pPr>
        <w:ind w:firstLine="482"/>
        <w:rPr>
          <w:b/>
          <w:bCs/>
          <w:color w:val="000000" w:themeColor="text1"/>
        </w:rPr>
      </w:pPr>
      <w:r>
        <w:rPr>
          <w:b/>
          <w:bCs/>
          <w:color w:val="000000" w:themeColor="text1"/>
        </w:rPr>
        <w:t>中国石化</w:t>
      </w:r>
      <w:r>
        <w:rPr>
          <w:rFonts w:hint="eastAsia"/>
          <w:b/>
          <w:bCs/>
          <w:color w:val="000000" w:themeColor="text1"/>
        </w:rPr>
        <w:t>目前在石油化工领域专利申请</w:t>
      </w:r>
      <w:r>
        <w:rPr>
          <w:b/>
          <w:bCs/>
          <w:color w:val="000000" w:themeColor="text1"/>
        </w:rPr>
        <w:t>74</w:t>
      </w:r>
      <w:r>
        <w:rPr>
          <w:rFonts w:hint="eastAsia"/>
          <w:b/>
          <w:bCs/>
          <w:color w:val="000000" w:themeColor="text1"/>
        </w:rPr>
        <w:t>件，主要布局国家为中国；</w:t>
      </w:r>
      <w:r>
        <w:rPr>
          <w:b/>
          <w:bCs/>
          <w:color w:val="000000" w:themeColor="text1"/>
        </w:rPr>
        <w:t>中国石化</w:t>
      </w:r>
      <w:r>
        <w:rPr>
          <w:rFonts w:hint="eastAsia"/>
          <w:b/>
          <w:bCs/>
          <w:color w:val="000000" w:themeColor="text1"/>
        </w:rPr>
        <w:t>在石油化工领域所有专利均为发明专利，技术创新能力较强；目前，中国石化在石油化工领域有效专利占比为</w:t>
      </w:r>
      <w:r>
        <w:rPr>
          <w:b/>
          <w:bCs/>
          <w:color w:val="000000" w:themeColor="text1"/>
        </w:rPr>
        <w:t>44.59</w:t>
      </w:r>
      <w:r>
        <w:rPr>
          <w:rFonts w:hint="eastAsia"/>
          <w:b/>
          <w:bCs/>
          <w:color w:val="000000" w:themeColor="text1"/>
        </w:rPr>
        <w:t>%，失效专利占比为</w:t>
      </w:r>
      <w:r>
        <w:rPr>
          <w:b/>
          <w:bCs/>
          <w:color w:val="000000" w:themeColor="text1"/>
        </w:rPr>
        <w:t>42.91%</w:t>
      </w:r>
      <w:r>
        <w:rPr>
          <w:rFonts w:hint="eastAsia"/>
          <w:b/>
          <w:bCs/>
          <w:color w:val="000000" w:themeColor="text1"/>
        </w:rPr>
        <w:t>，审中专利占比为</w:t>
      </w:r>
      <w:r>
        <w:rPr>
          <w:b/>
          <w:bCs/>
          <w:color w:val="000000" w:themeColor="text1"/>
        </w:rPr>
        <w:t>12.5</w:t>
      </w:r>
      <w:r>
        <w:rPr>
          <w:rFonts w:hint="eastAsia"/>
          <w:b/>
          <w:bCs/>
          <w:color w:val="000000" w:themeColor="text1"/>
        </w:rPr>
        <w:t>%。</w:t>
      </w:r>
      <w:r>
        <w:rPr>
          <w:b/>
          <w:bCs/>
          <w:color w:val="000000" w:themeColor="text1"/>
        </w:rPr>
        <w:t>中国石化</w:t>
      </w:r>
      <w:r>
        <w:rPr>
          <w:rFonts w:hint="eastAsia"/>
          <w:b/>
          <w:bCs/>
          <w:color w:val="000000" w:themeColor="text1"/>
        </w:rPr>
        <w:t>是中国石油化工领域技术创新实力最强的企业。</w:t>
      </w:r>
    </w:p>
    <w:bookmarkEnd w:id="33"/>
    <w:p>
      <w:pPr>
        <w:ind w:firstLine="482"/>
        <w:rPr>
          <w:b/>
          <w:bCs/>
        </w:rPr>
      </w:pPr>
      <w:r>
        <w:rPr>
          <w:rFonts w:hint="eastAsia"/>
          <w:b/>
          <w:bCs/>
        </w:rPr>
        <w:t>五、安徽同心新材料科技有限公司</w:t>
      </w:r>
    </w:p>
    <w:p>
      <w:pPr>
        <w:ind w:firstLine="480"/>
        <w:rPr>
          <w:rFonts w:hint="eastAsia"/>
        </w:rPr>
      </w:pPr>
      <w:r>
        <w:t>安徽同心新材料科技有限公司成立于2013年5月3日，位于马鞍山市和县乌江镇安徽省精细化工产业基地。公司注册资本2亿元，是北方矿业（股票代码：00433）子公司。</w:t>
      </w:r>
    </w:p>
    <w:p>
      <w:pPr>
        <w:ind w:firstLine="480"/>
        <w:rPr>
          <w:rFonts w:hint="eastAsia"/>
        </w:rPr>
      </w:pPr>
      <w:r>
        <w:t>公司专注于碳氢石油树脂制造与销售，主打产品为C5和C9加氢，同时经营高性能膜材料研发，以及壬烷及异构体、戊烷、双环戊二烯等多种化工产品的生产、研发与销售。公司计划总投资10.3亿元，占地面积200亩，建设有石油树脂、碳九精分等多条生产线。</w:t>
      </w:r>
    </w:p>
    <w:p>
      <w:pPr>
        <w:ind w:firstLine="480"/>
      </w:pPr>
      <w:r>
        <w:t>公司依托自身技术和管理经验，与安徽工业大学等高校合作成立高性能石油树脂重点实验室。2025年4月，公司获得“一种低软化点、高分子量C9冷聚树脂产品及其制备方法”专利，拥有78条专利和3条商标信息，创新能力较强。其产品畅销国内外，在行业内具有一定的竞争力。</w:t>
      </w:r>
    </w:p>
    <w:p>
      <w:pPr>
        <w:ind w:firstLine="482"/>
        <w:rPr>
          <w:b/>
          <w:bCs/>
          <w:color w:val="000000" w:themeColor="text1"/>
        </w:rPr>
      </w:pPr>
      <w:r>
        <w:rPr>
          <w:b/>
          <w:bCs/>
          <w:color w:val="000000" w:themeColor="text1"/>
        </w:rPr>
        <w:t>同心新材料</w:t>
      </w:r>
      <w:r>
        <w:rPr>
          <w:rFonts w:hint="eastAsia"/>
          <w:b/>
          <w:bCs/>
          <w:color w:val="000000" w:themeColor="text1"/>
        </w:rPr>
        <w:t>目前在石油化工领域专利申请</w:t>
      </w:r>
      <w:r>
        <w:rPr>
          <w:b/>
          <w:bCs/>
          <w:color w:val="000000" w:themeColor="text1"/>
        </w:rPr>
        <w:t>61</w:t>
      </w:r>
      <w:r>
        <w:rPr>
          <w:rFonts w:hint="eastAsia"/>
          <w:b/>
          <w:bCs/>
          <w:color w:val="000000" w:themeColor="text1"/>
        </w:rPr>
        <w:t>件，主要布局国家为中国；</w:t>
      </w:r>
      <w:r>
        <w:rPr>
          <w:b/>
          <w:bCs/>
          <w:color w:val="000000" w:themeColor="text1"/>
        </w:rPr>
        <w:t>同心新材料</w:t>
      </w:r>
      <w:r>
        <w:rPr>
          <w:rFonts w:hint="eastAsia"/>
          <w:b/>
          <w:bCs/>
          <w:color w:val="000000" w:themeColor="text1"/>
        </w:rPr>
        <w:t>在石油化工领域的专利，发明专利占比为</w:t>
      </w:r>
      <w:r>
        <w:rPr>
          <w:b/>
          <w:bCs/>
          <w:color w:val="000000" w:themeColor="text1"/>
        </w:rPr>
        <w:t>27.86</w:t>
      </w:r>
      <w:r>
        <w:rPr>
          <w:rFonts w:hint="eastAsia"/>
          <w:b/>
          <w:bCs/>
          <w:color w:val="000000" w:themeColor="text1"/>
        </w:rPr>
        <w:t>%，实用新型专利占比7</w:t>
      </w:r>
      <w:r>
        <w:rPr>
          <w:b/>
          <w:bCs/>
          <w:color w:val="000000" w:themeColor="text1"/>
        </w:rPr>
        <w:t>2.14%</w:t>
      </w:r>
      <w:r>
        <w:rPr>
          <w:rFonts w:hint="eastAsia"/>
          <w:b/>
          <w:bCs/>
          <w:color w:val="000000" w:themeColor="text1"/>
        </w:rPr>
        <w:t>；目前，有效专利占比为</w:t>
      </w:r>
      <w:r>
        <w:rPr>
          <w:b/>
          <w:bCs/>
          <w:color w:val="000000" w:themeColor="text1"/>
        </w:rPr>
        <w:t>85.24</w:t>
      </w:r>
      <w:r>
        <w:rPr>
          <w:rFonts w:hint="eastAsia"/>
          <w:b/>
          <w:bCs/>
          <w:color w:val="000000" w:themeColor="text1"/>
        </w:rPr>
        <w:t>%，失效专利占比为</w:t>
      </w:r>
      <w:r>
        <w:rPr>
          <w:b/>
          <w:bCs/>
          <w:color w:val="000000" w:themeColor="text1"/>
        </w:rPr>
        <w:t>13.11%</w:t>
      </w:r>
      <w:r>
        <w:rPr>
          <w:rFonts w:hint="eastAsia"/>
          <w:b/>
          <w:bCs/>
          <w:color w:val="000000" w:themeColor="text1"/>
        </w:rPr>
        <w:t>。</w:t>
      </w:r>
      <w:r>
        <w:rPr>
          <w:b/>
          <w:bCs/>
          <w:color w:val="000000" w:themeColor="text1"/>
        </w:rPr>
        <w:t>同心新材料</w:t>
      </w:r>
      <w:r>
        <w:rPr>
          <w:rFonts w:hint="eastAsia"/>
          <w:b/>
          <w:bCs/>
          <w:color w:val="000000" w:themeColor="text1"/>
        </w:rPr>
        <w:t>在石油化工领域的专利大多都处于有效状态，技术实力较强。</w:t>
      </w:r>
    </w:p>
    <w:p>
      <w:pPr>
        <w:ind w:firstLine="562"/>
        <w:outlineLvl w:val="1"/>
        <w:rPr>
          <w:rFonts w:ascii="黑体" w:hAnsi="黑体" w:eastAsia="黑体"/>
          <w:b/>
          <w:bCs/>
          <w:sz w:val="28"/>
          <w:szCs w:val="28"/>
        </w:rPr>
      </w:pPr>
      <w:bookmarkStart w:id="34" w:name="_Toc203057562"/>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5</w:t>
      </w:r>
      <w:r>
        <w:rPr>
          <w:rFonts w:hint="eastAsia" w:ascii="黑体" w:hAnsi="黑体" w:eastAsia="黑体"/>
          <w:b/>
          <w:bCs/>
          <w:sz w:val="28"/>
          <w:szCs w:val="28"/>
        </w:rPr>
        <w:t xml:space="preserve"> 风险区域识别</w:t>
      </w:r>
      <w:bookmarkEnd w:id="34"/>
    </w:p>
    <w:p>
      <w:pPr>
        <w:ind w:firstLine="482"/>
        <w:rPr>
          <w:rFonts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产业专利侵权纠纷区域分布</w:t>
      </w:r>
    </w:p>
    <w:p>
      <w:pPr>
        <w:pStyle w:val="17"/>
        <w:spacing w:line="360" w:lineRule="auto"/>
        <w:rPr>
          <w:rFonts w:asciiTheme="minorEastAsia" w:hAnsiTheme="minorEastAsia" w:eastAsiaTheme="minorEastAsia"/>
          <w:b/>
          <w:bCs/>
          <w:sz w:val="24"/>
        </w:rPr>
      </w:pPr>
      <w:bookmarkStart w:id="35" w:name="_Toc119592171"/>
      <w:bookmarkStart w:id="36" w:name="_Toc119937698"/>
      <w:bookmarkStart w:id="37" w:name="_Toc119592708"/>
      <w:r>
        <w:rPr>
          <w:rFonts w:asciiTheme="minorEastAsia" w:hAnsiTheme="minorEastAsia" w:eastAsiaTheme="minorEastAsia"/>
          <w:b/>
          <w:bCs/>
          <w:sz w:val="24"/>
        </w:rPr>
        <w:drawing>
          <wp:inline distT="0" distB="0" distL="0" distR="0">
            <wp:extent cx="5274310" cy="237363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a:stretch>
                      <a:fillRect/>
                    </a:stretch>
                  </pic:blipFill>
                  <pic:spPr>
                    <a:xfrm>
                      <a:off x="0" y="0"/>
                      <a:ext cx="5274310" cy="2373630"/>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2.5-1 </w:t>
      </w:r>
      <w:r>
        <w:rPr>
          <w:rFonts w:hint="eastAsia" w:asciiTheme="minorEastAsia" w:hAnsiTheme="minorEastAsia" w:eastAsiaTheme="minorEastAsia"/>
          <w:b/>
          <w:bCs/>
          <w:sz w:val="24"/>
        </w:rPr>
        <w:t>全球石油化工产业专利侵权纠纷区域分布</w:t>
      </w:r>
      <w:bookmarkEnd w:id="35"/>
      <w:bookmarkEnd w:id="36"/>
      <w:bookmarkEnd w:id="37"/>
    </w:p>
    <w:p>
      <w:pPr>
        <w:ind w:firstLine="480"/>
      </w:pPr>
      <w:r>
        <w:rPr>
          <w:rFonts w:hint="eastAsia"/>
        </w:rPr>
        <w:t>近年来，全球石油化工产业专利侵权纠纷区域主要集中在中国、日本、韩国、德国等国家或地区，其他国家侵权事件相对较少。</w:t>
      </w:r>
    </w:p>
    <w:p>
      <w:pPr>
        <w:ind w:firstLine="480"/>
      </w:pPr>
      <w:r>
        <w:rPr>
          <w:rFonts w:hint="eastAsia"/>
        </w:rPr>
        <w:t>中国</w:t>
      </w:r>
      <w:r>
        <w:t>石油化工是中国国民经济的基础性、支柱性产业，行业资本技术双密集、科技创新迭代快，随着技术创新加速，创新成果不断涌现，企业知识产权意识增强，知识产权纠纷数量也日渐增长。同时，中国是全球最大的三聚氰胺等化工产品生产国，产业规模大、企业多，市场竞争激烈，容易引发知识产权方面的矛盾。另外，随着中国企业“走出去”步伐加快，出海企业遭遇海外知识产权纠纷和诉讼也明显增多。</w:t>
      </w:r>
    </w:p>
    <w:p>
      <w:pPr>
        <w:ind w:firstLine="480"/>
      </w:pPr>
      <w:r>
        <w:t>日本是石油化工强国，在该领域拥有大量先进技术和众多知识产权，其国内企业的专利持有量位居世界前列。过去，日本企业因文化传统等因素不太倾向于诉讼，但近年来，受经济形势影响，企业意识到维护知识产权可获取丰厚利润，同时政府也鼓励企业积极维权，通过改革专利办公室、设立专门法庭等举措，缩短了专利侵权审判时间，提高了赔偿金额，促使企业更积极地通过诉讼保护知识产权。</w:t>
      </w:r>
    </w:p>
    <w:p>
      <w:pPr>
        <w:ind w:firstLine="480"/>
      </w:pPr>
      <w:r>
        <w:t>韩国石油化工产业发展迅速，在合成橡胶、化纤等领域具有较强竞争力。韩国企业注重技术研发和创新，拥有不少自主知识产权，为保护自身创新成果和市场利益，会积极通过法律手段解决知识产权纠纷。此外，韩国企业在国际市场上与其他国家企业竞争激烈，知识产权诉讼也成为其应对竞争、抢占市场份额的一种手段</w:t>
      </w:r>
      <w:r>
        <w:rPr>
          <w:rFonts w:hint="eastAsia"/>
        </w:rPr>
        <w:t>，所以韩国知识产权诉讼较多</w:t>
      </w:r>
      <w:r>
        <w:t>。</w:t>
      </w:r>
    </w:p>
    <w:p>
      <w:pPr>
        <w:ind w:firstLine="480"/>
      </w:pPr>
      <w:r>
        <w:t>德国是接收欧洲专利侵权诉讼案件较多的国家，原因在于其专利诉讼程序采用确权与侵权分离原则，诉讼费用较低，法官口碑较好，审理时间相对较短，且可发布临时禁令，维权成本低、见效快，这使得专利权人更倾向于在德国提起诉讼。同时，德国知识产权保护制度严格，企业自主创新意识和品牌意识强，对专利侵权和仿冒产品零容忍，也促使企业积极维护自身知识产权，不过德国国内企业之间大多通过调解、仲裁等非诉讼方式解决纠纷。</w:t>
      </w:r>
    </w:p>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产业专利无效纠纷区域分布</w:t>
      </w:r>
    </w:p>
    <w:p>
      <w:pPr>
        <w:pStyle w:val="17"/>
      </w:pPr>
      <w:bookmarkStart w:id="38" w:name="_Toc119592709"/>
      <w:bookmarkStart w:id="39" w:name="_Toc119937699"/>
      <w:bookmarkStart w:id="40" w:name="_Toc119592172"/>
      <w:r>
        <w:drawing>
          <wp:inline distT="0" distB="0" distL="0" distR="0">
            <wp:extent cx="5274310" cy="244665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a:stretch>
                      <a:fillRect/>
                    </a:stretch>
                  </pic:blipFill>
                  <pic:spPr>
                    <a:xfrm>
                      <a:off x="0" y="0"/>
                      <a:ext cx="5274310" cy="244665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2.5-2 </w:t>
      </w:r>
      <w:r>
        <w:rPr>
          <w:rFonts w:hint="eastAsia" w:asciiTheme="minorEastAsia" w:hAnsiTheme="minorEastAsia" w:eastAsiaTheme="minorEastAsia"/>
          <w:b/>
          <w:bCs/>
          <w:sz w:val="24"/>
        </w:rPr>
        <w:t>全球石油化工产业专利无效纠纷区域分布</w:t>
      </w:r>
      <w:bookmarkEnd w:id="38"/>
      <w:bookmarkEnd w:id="39"/>
      <w:bookmarkEnd w:id="40"/>
    </w:p>
    <w:p>
      <w:pPr>
        <w:ind w:firstLine="480"/>
      </w:pPr>
      <w:r>
        <w:rPr>
          <w:rFonts w:hint="eastAsia"/>
        </w:rPr>
        <w:t>近年来，全球石油化工产业专利无效纠纷主要发生地集中在中国、韩国以及美国，其他地区相对较少。无效抗辩对于企业来说，是一种攻守兼备的运营手段。专利无效的实施成本相较于侵权诉讼来说相对较低，流程相对简单，因此企业运用较为广泛。聊城市相关企业也需要持续关注，避免专利被无效，顺利完成海外布局。</w:t>
      </w:r>
    </w:p>
    <w:p>
      <w:pPr>
        <w:ind w:firstLine="562"/>
        <w:outlineLvl w:val="1"/>
        <w:rPr>
          <w:rFonts w:ascii="黑体" w:hAnsi="黑体" w:eastAsia="黑体"/>
          <w:b/>
          <w:bCs/>
          <w:sz w:val="28"/>
          <w:szCs w:val="28"/>
        </w:rPr>
      </w:pPr>
      <w:bookmarkStart w:id="41" w:name="_Toc203057563"/>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6</w:t>
      </w:r>
      <w:r>
        <w:rPr>
          <w:rFonts w:hint="eastAsia" w:ascii="黑体" w:hAnsi="黑体" w:eastAsia="黑体"/>
          <w:b/>
          <w:bCs/>
          <w:sz w:val="28"/>
          <w:szCs w:val="28"/>
        </w:rPr>
        <w:t xml:space="preserve"> 风险企业识别</w:t>
      </w:r>
      <w:bookmarkEnd w:id="41"/>
    </w:p>
    <w:p>
      <w:pPr>
        <w:pStyle w:val="17"/>
        <w:spacing w:line="360" w:lineRule="auto"/>
        <w:rPr>
          <w:rFonts w:asciiTheme="minorEastAsia" w:hAnsiTheme="minorEastAsia" w:eastAsiaTheme="minorEastAsia"/>
          <w:b/>
          <w:bCs/>
          <w:sz w:val="24"/>
        </w:rPr>
      </w:pPr>
      <w:r>
        <w:rPr>
          <w:rFonts w:asciiTheme="minorEastAsia" w:hAnsiTheme="minorEastAsia" w:eastAsiaTheme="minorEastAsia"/>
          <w:b/>
          <w:bCs/>
          <w:sz w:val="24"/>
        </w:rPr>
        <w:drawing>
          <wp:inline distT="0" distB="0" distL="0" distR="0">
            <wp:extent cx="5274310" cy="24898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2"/>
                    <a:stretch>
                      <a:fillRect/>
                    </a:stretch>
                  </pic:blipFill>
                  <pic:spPr>
                    <a:xfrm>
                      <a:off x="0" y="0"/>
                      <a:ext cx="5274310" cy="248983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2.6-1 </w:t>
      </w:r>
      <w:r>
        <w:rPr>
          <w:rFonts w:hint="eastAsia" w:asciiTheme="minorEastAsia" w:hAnsiTheme="minorEastAsia" w:eastAsiaTheme="minorEastAsia"/>
          <w:b/>
          <w:bCs/>
          <w:sz w:val="24"/>
        </w:rPr>
        <w:t>海外石油化工领域主要专利申请人</w:t>
      </w:r>
    </w:p>
    <w:p>
      <w:pPr>
        <w:ind w:firstLine="480"/>
      </w:pPr>
      <w:r>
        <w:rPr>
          <w:rFonts w:hint="eastAsia"/>
        </w:rPr>
        <w:t>通过以上分析可以看出，海外石油化工领域主要的专利申请人包括</w:t>
      </w:r>
      <w:r>
        <w:t>埃克森美孚科技工程公司</w:t>
      </w:r>
      <w:r>
        <w:rPr>
          <w:rFonts w:hint="eastAsia"/>
        </w:rPr>
        <w:t>、</w:t>
      </w:r>
      <w:r>
        <w:t>出光兴产株式会社</w:t>
      </w:r>
      <w:r>
        <w:rPr>
          <w:rFonts w:hint="eastAsia"/>
        </w:rPr>
        <w:t>、</w:t>
      </w:r>
      <w:r>
        <w:t>可隆工业株式会社</w:t>
      </w:r>
      <w:r>
        <w:rPr>
          <w:rFonts w:hint="eastAsia"/>
        </w:rPr>
        <w:t>、</w:t>
      </w:r>
      <w:r>
        <w:t>荒川化学工业株式会社</w:t>
      </w:r>
      <w:r>
        <w:rPr>
          <w:rFonts w:hint="eastAsia"/>
        </w:rPr>
        <w:t>、</w:t>
      </w:r>
      <w:r>
        <w:t>窒素株式会社</w:t>
      </w:r>
      <w:r>
        <w:rPr>
          <w:rFonts w:hint="eastAsia"/>
        </w:rPr>
        <w:t>、</w:t>
      </w:r>
      <w:r>
        <w:t>东曹株式会社</w:t>
      </w:r>
      <w:r>
        <w:rPr>
          <w:rFonts w:hint="eastAsia"/>
        </w:rPr>
        <w:t>、</w:t>
      </w:r>
      <w:r>
        <w:t>横滨橡胶株式会社</w:t>
      </w:r>
      <w:r>
        <w:rPr>
          <w:rFonts w:hint="eastAsia"/>
        </w:rPr>
        <w:t>、</w:t>
      </w:r>
      <w:r>
        <w:t>韩华思路信(株)</w:t>
      </w:r>
      <w:r>
        <w:rPr>
          <w:rFonts w:hint="eastAsia"/>
        </w:rPr>
        <w:t>、</w:t>
      </w:r>
      <w:r>
        <w:t>丸善石油化学株式会社</w:t>
      </w:r>
      <w:r>
        <w:rPr>
          <w:rFonts w:hint="eastAsia"/>
        </w:rPr>
        <w:t>、</w:t>
      </w:r>
      <w:r>
        <w:t>住友化学工业株式会社</w:t>
      </w:r>
      <w:r>
        <w:rPr>
          <w:rFonts w:hint="eastAsia"/>
        </w:rPr>
        <w:t>。上述申请人在石油化工领域社申请了较多的专利，聊城市石油化工企业在产品出海销售时，需要对上述企业的知识产权情况进行调研分析，避免出现知识产权纠纷。</w:t>
      </w:r>
    </w:p>
    <w:p>
      <w:pPr>
        <w:ind w:firstLine="562"/>
        <w:outlineLvl w:val="1"/>
        <w:rPr>
          <w:rFonts w:ascii="黑体" w:hAnsi="黑体" w:eastAsia="黑体"/>
          <w:b/>
          <w:bCs/>
          <w:sz w:val="28"/>
          <w:szCs w:val="28"/>
        </w:rPr>
      </w:pPr>
      <w:bookmarkStart w:id="42" w:name="_Toc203057564"/>
      <w:bookmarkStart w:id="43" w:name="_Toc237"/>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7</w:t>
      </w:r>
      <w:r>
        <w:rPr>
          <w:rFonts w:hint="eastAsia" w:ascii="黑体" w:hAnsi="黑体" w:eastAsia="黑体"/>
          <w:b/>
          <w:bCs/>
          <w:sz w:val="28"/>
          <w:szCs w:val="28"/>
        </w:rPr>
        <w:t xml:space="preserve"> 风险技术方向识别</w:t>
      </w:r>
      <w:bookmarkEnd w:id="42"/>
      <w:bookmarkEnd w:id="43"/>
    </w:p>
    <w:p>
      <w:pPr>
        <w:pStyle w:val="17"/>
        <w:spacing w:line="360" w:lineRule="auto"/>
      </w:pPr>
      <w:r>
        <w:drawing>
          <wp:inline distT="0" distB="0" distL="0" distR="0">
            <wp:extent cx="4109720" cy="32759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3"/>
                    <a:stretch>
                      <a:fillRect/>
                    </a:stretch>
                  </pic:blipFill>
                  <pic:spPr>
                    <a:xfrm>
                      <a:off x="0" y="0"/>
                      <a:ext cx="4111604" cy="3277502"/>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2.7-1 </w:t>
      </w:r>
      <w:r>
        <w:rPr>
          <w:rFonts w:hint="eastAsia" w:asciiTheme="minorEastAsia" w:hAnsiTheme="minorEastAsia" w:eastAsiaTheme="minorEastAsia"/>
          <w:b/>
          <w:bCs/>
          <w:sz w:val="24"/>
        </w:rPr>
        <w:t>全球石油化工产业专利侵权纠纷技术分布</w:t>
      </w:r>
    </w:p>
    <w:p>
      <w:pPr>
        <w:ind w:firstLine="480"/>
      </w:pPr>
      <w:r>
        <w:rPr>
          <w:rFonts w:hint="eastAsia"/>
        </w:rPr>
        <w:t>图2</w:t>
      </w:r>
      <w:r>
        <w:t>.7-1</w:t>
      </w:r>
      <w:r>
        <w:rPr>
          <w:rFonts w:hint="eastAsia"/>
        </w:rPr>
        <w:t>展示的是全球石油化工领域发生专利侵权纠纷的技术的主要分布情况。结合图2</w:t>
      </w:r>
      <w:r>
        <w:t>.7-1</w:t>
      </w:r>
      <w:r>
        <w:rPr>
          <w:rFonts w:hint="eastAsia"/>
        </w:rPr>
        <w:t>展示的内容，以及相关专利的具体内容，综合分析得到以下内容：</w:t>
      </w:r>
      <w:r>
        <w:t>石油树脂领域易发生知识产权纠纷的技术主要集中在制备工艺、催化剂技术、改性技术及生产设备等方面，具体如下：</w:t>
      </w:r>
    </w:p>
    <w:p>
      <w:pPr>
        <w:ind w:firstLine="480"/>
      </w:pPr>
      <w:r>
        <w:t>制备工艺技术：石油树脂的聚合工艺是关键技术点，如阳离子催化低温聚合法（冷聚法）和加热引发自由基聚合法（热聚法）。冷聚法工艺成熟但存在环保问题，热聚法虽环保但存在产品色号高、副反应多等缺陷，针对这些问题的改进工艺，易引发知识产权纠纷。</w:t>
      </w:r>
    </w:p>
    <w:p>
      <w:pPr>
        <w:ind w:firstLine="480"/>
      </w:pPr>
      <w:r>
        <w:t>催化剂技术：催化剂在石油树脂生产中起着重要作用，可影响反应速率、产品质量等。石油树脂氢化用催化剂，以及生产POE树脂所需的催化剂等，相关催化剂的制备技术、配方是企业重点保护的知识产权，</w:t>
      </w:r>
      <w:r>
        <w:rPr>
          <w:rFonts w:hint="eastAsia"/>
        </w:rPr>
        <w:t>是</w:t>
      </w:r>
      <w:r>
        <w:t>纠纷易发点。</w:t>
      </w:r>
    </w:p>
    <w:p>
      <w:pPr>
        <w:ind w:firstLine="480"/>
      </w:pPr>
      <w:r>
        <w:t>改性技术：为改善石油树脂的性能，使其具有更好的粘附性、耐热性等，会采用各种改性技术，如苯乙烯副产物改性、硅烷改性、烷基酚醛改性等，这些改性技术及其相关工艺容易产生</w:t>
      </w:r>
      <w:r>
        <w:rPr>
          <w:rFonts w:hint="eastAsia"/>
        </w:rPr>
        <w:t>知识产权</w:t>
      </w:r>
      <w:r>
        <w:t>纠纷。</w:t>
      </w:r>
    </w:p>
    <w:p>
      <w:pPr>
        <w:ind w:firstLine="480"/>
      </w:pPr>
      <w:r>
        <w:t>加氢技术：加氢技术可提高石油树脂的质量和性能，使其应用范围更广，</w:t>
      </w:r>
      <w:r>
        <w:rPr>
          <w:rFonts w:hint="eastAsia"/>
        </w:rPr>
        <w:t>部分先进的加氢技术，</w:t>
      </w:r>
      <w:r>
        <w:t>因打破国外技术垄断，具有显著经济与社会效益，此类技术是知识产权保护重点，易引发纠纷。</w:t>
      </w:r>
    </w:p>
    <w:p>
      <w:pPr>
        <w:ind w:firstLine="480"/>
      </w:pPr>
      <w:r>
        <w:t>生产设备技术：石油树脂生产过程中的相关设备技术也可能引发知识产权纠纷</w:t>
      </w:r>
      <w:r>
        <w:rPr>
          <w:rFonts w:hint="eastAsia"/>
        </w:rPr>
        <w:t>。</w:t>
      </w:r>
    </w:p>
    <w:p>
      <w:pPr>
        <w:ind w:firstLine="480"/>
      </w:pPr>
      <w:r>
        <w:rPr>
          <w:rFonts w:asciiTheme="majorEastAsia" w:hAnsiTheme="majorEastAsia" w:eastAsiaTheme="majorEastAsia"/>
        </w:rPr>
        <w:br w:type="page"/>
      </w:r>
    </w:p>
    <w:p>
      <w:pPr>
        <w:pStyle w:val="3"/>
        <w:spacing w:before="312" w:after="312"/>
      </w:pPr>
      <w:bookmarkStart w:id="44" w:name="_Toc1999"/>
      <w:bookmarkStart w:id="45" w:name="_Toc203057565"/>
      <w:r>
        <w:rPr>
          <w:rFonts w:hint="eastAsia"/>
        </w:rPr>
        <w:t>第三章 产业知识产权司法实践</w:t>
      </w:r>
      <w:bookmarkEnd w:id="44"/>
      <w:bookmarkEnd w:id="45"/>
    </w:p>
    <w:p>
      <w:pPr>
        <w:ind w:firstLine="562"/>
        <w:outlineLvl w:val="1"/>
        <w:rPr>
          <w:rFonts w:ascii="黑体" w:hAnsi="黑体" w:eastAsia="黑体"/>
          <w:b/>
          <w:bCs/>
          <w:sz w:val="28"/>
          <w:szCs w:val="28"/>
        </w:rPr>
      </w:pPr>
      <w:bookmarkStart w:id="46" w:name="_Toc203057566"/>
      <w:bookmarkStart w:id="47" w:name="_Toc2872"/>
      <w:r>
        <w:rPr>
          <w:rFonts w:ascii="黑体" w:hAnsi="黑体" w:eastAsia="黑体"/>
          <w:b/>
          <w:bCs/>
          <w:sz w:val="28"/>
          <w:szCs w:val="28"/>
        </w:rPr>
        <w:t>3</w:t>
      </w:r>
      <w:r>
        <w:rPr>
          <w:rFonts w:hint="eastAsia" w:ascii="黑体" w:hAnsi="黑体" w:eastAsia="黑体"/>
          <w:b/>
          <w:bCs/>
          <w:sz w:val="28"/>
          <w:szCs w:val="28"/>
        </w:rPr>
        <w:t>.1 商标</w:t>
      </w:r>
      <w:bookmarkEnd w:id="46"/>
      <w:bookmarkEnd w:id="47"/>
    </w:p>
    <w:p>
      <w:pPr>
        <w:ind w:firstLine="480"/>
      </w:pPr>
      <w:r>
        <w:rPr>
          <w:rFonts w:hint="eastAsia"/>
        </w:rPr>
        <w:t>商标侵权（Trademark Infringement）即商标侵权行为，是指行为人未经商标权人许可，在相同或类似商品上使用与其注册商标相同或近似的商标，或者其他干涉、妨碍商标权人使用其注册商标，损害商标权人合法权益的其他行为。</w:t>
      </w:r>
    </w:p>
    <w:p>
      <w:pPr>
        <w:ind w:firstLine="480"/>
      </w:pPr>
      <w:r>
        <w:rPr>
          <w:rFonts w:hint="eastAsia"/>
        </w:rPr>
        <w:t>随着经济的进一步发展，市场竞争进一步加剧，加之地方保护、对侵权获利的疯狂追逐等因素，商标侵权行为不时发生。但商标权被人为划定成“禁”（禁用权）与“行”（专用权）的不一致。在“行”的方面，权利的效力仅及于核准注册的商标和核定使用的商品或服务（商标法第五十一条），但在“禁”的方面，商标权人有权禁止他人未经许可在类似的商品或服务上使用近似的商标（商标法第五十二条第一项）。这样就造成了商标权侵权行为认定的任务十分复杂和艰巨。</w:t>
      </w:r>
    </w:p>
    <w:p>
      <w:pPr>
        <w:ind w:firstLine="480"/>
      </w:pPr>
      <w:r>
        <w:rPr>
          <w:rFonts w:hint="eastAsia"/>
        </w:rPr>
        <w:t>商标侵权行为的种类</w:t>
      </w:r>
    </w:p>
    <w:p>
      <w:pPr>
        <w:ind w:firstLine="480"/>
      </w:pPr>
      <w:r>
        <w:rPr>
          <w:rFonts w:hint="eastAsia"/>
        </w:rPr>
        <w:t>根据《中华人民共和国商标法》第五十七条，规定了七种侵犯注册商标专用权的行为：</w:t>
      </w:r>
    </w:p>
    <w:p>
      <w:pPr>
        <w:ind w:firstLine="480"/>
      </w:pPr>
      <w:r>
        <w:rPr>
          <w:rFonts w:hint="eastAsia"/>
        </w:rPr>
        <w:t>1．未经商标注册人的许可，在同一种商品上使用与其注册商标相同的商标的；</w:t>
      </w:r>
    </w:p>
    <w:p>
      <w:pPr>
        <w:ind w:firstLine="480"/>
      </w:pPr>
      <w:r>
        <w:rPr>
          <w:rFonts w:hint="eastAsia"/>
        </w:rPr>
        <w:t>2．未经商标注册人的许可，在同一种商品上使用与其注册商标近似的商标，或者在类似商品上使用与其注册商标相同或近似的商标，容易导致混淆的；</w:t>
      </w:r>
    </w:p>
    <w:p>
      <w:pPr>
        <w:ind w:firstLine="480"/>
      </w:pPr>
      <w:r>
        <w:rPr>
          <w:rFonts w:hint="eastAsia"/>
        </w:rPr>
        <w:t>3．销售侵犯注册商标专用权的商品的；</w:t>
      </w:r>
    </w:p>
    <w:p>
      <w:pPr>
        <w:ind w:firstLine="480"/>
      </w:pPr>
      <w:r>
        <w:rPr>
          <w:rFonts w:hint="eastAsia"/>
        </w:rPr>
        <w:t>4．伪造、擅自制造他人注册商标标识或者销售伪造、擅自制造的注册商标标识的；</w:t>
      </w:r>
    </w:p>
    <w:p>
      <w:pPr>
        <w:ind w:firstLine="480"/>
      </w:pPr>
      <w:r>
        <w:rPr>
          <w:rFonts w:hint="eastAsia"/>
        </w:rPr>
        <w:t>5．未经商标注册人同意，更换其注册商标并将该更换商标的商品又投入市场的；</w:t>
      </w:r>
    </w:p>
    <w:p>
      <w:pPr>
        <w:ind w:firstLine="480"/>
      </w:pPr>
      <w:r>
        <w:rPr>
          <w:rFonts w:hint="eastAsia"/>
        </w:rPr>
        <w:t>6．故意为侵犯他人商标专用权行为提供便利条件，帮助他人实施侵犯商标专用权行为的；</w:t>
      </w:r>
    </w:p>
    <w:p>
      <w:pPr>
        <w:ind w:firstLine="480"/>
      </w:pPr>
      <w:r>
        <w:rPr>
          <w:rFonts w:hint="eastAsia"/>
        </w:rPr>
        <w:t>7．给他人的注册商标专用权造成其他损害的；</w:t>
      </w:r>
    </w:p>
    <w:p>
      <w:pPr>
        <w:ind w:firstLine="480"/>
      </w:pPr>
      <w:r>
        <w:rPr>
          <w:rFonts w:hint="eastAsia"/>
        </w:rPr>
        <w:t>对侵犯注册商标权行为认定的过程</w:t>
      </w:r>
    </w:p>
    <w:p>
      <w:pPr>
        <w:ind w:firstLine="480"/>
      </w:pPr>
      <w:r>
        <w:rPr>
          <w:rFonts w:hint="eastAsia"/>
        </w:rPr>
        <w:t>对侵犯注册商标权行为认定的过程，有以下三个基本步骤：</w:t>
      </w:r>
    </w:p>
    <w:p>
      <w:pPr>
        <w:ind w:firstLine="480"/>
      </w:pPr>
      <w:r>
        <w:rPr>
          <w:rFonts w:hint="eastAsia"/>
        </w:rPr>
        <w:t>1．确定注册商标专用权的权利范围。注册商标专用权的权利范围是认定商标侵权的基本依据。判断商标侵权行为能否认定或称是否构成所考虑的一切因素都是围绕注册商标专用权的权利范围来进行的。根据中国商标法第五十一条的规定：“注册商标的专用权，以核准注册的商标和核定使用的商品为限。”显然，从这条规定看，注册商标专用权的权利范围只限于核准注册的商标和该注册商标所核定使用的商品。该范围由两个方面因素来确定，一是核准注册的商标；二是该注册商标所核定使用的商品。二者的结合，构成注册商标专用权的权利范围，也就为认定商标权侵权行为确定了与被控侵权对象进行比较的标准，以便得出是否构成侵权的结论。</w:t>
      </w:r>
    </w:p>
    <w:p>
      <w:pPr>
        <w:ind w:firstLine="480"/>
      </w:pPr>
      <w:r>
        <w:rPr>
          <w:rFonts w:hint="eastAsia"/>
        </w:rPr>
        <w:t>2．确定被控侵权的具体对象。被控侵权对象的确定由两个方面的因素所决定，一是被控侵权的商标，二是被控侵权的商标所使用的商品。确定被控侵权具体对象的意义，在于确定和固化被控侵权行为的载体，为下一步与商标权的保护范围的比对打下坚实基础。它与确定注册商标专用权的权利范围同样重要，它是认定商标侵权行为的另一比较对象。</w:t>
      </w:r>
    </w:p>
    <w:p>
      <w:pPr>
        <w:ind w:firstLine="480"/>
      </w:pPr>
      <w:r>
        <w:rPr>
          <w:rFonts w:hint="eastAsia"/>
        </w:rPr>
        <w:t>3．将被控侵权对象与注册商标和该注册商标所核定使用的商品进行比较，认定被控侵权的商标与注册商标是否相同或者近似，以及被控侵权商标所使用的商品与该注册商标所核定使用的商品是否属于同一种类或者相类似。通过认定侵权行为的三个基本步骤，特别是经过将被控侵权对象与注册商标和该注册商标所核定使用的商品进行比较后，就能认定是否构成商标侵权。</w:t>
      </w:r>
    </w:p>
    <w:p>
      <w:pPr>
        <w:ind w:firstLine="482"/>
        <w:rPr>
          <w:b/>
          <w:bCs/>
        </w:rPr>
      </w:pPr>
      <w:r>
        <w:rPr>
          <w:rFonts w:hint="eastAsia"/>
          <w:b/>
          <w:bCs/>
        </w:rPr>
        <w:t>案例：</w:t>
      </w:r>
      <w:r>
        <w:rPr>
          <w:b/>
          <w:bCs/>
        </w:rPr>
        <w:t>知名管道品牌“亚通”商标侵权纠纷案</w:t>
      </w:r>
    </w:p>
    <w:p>
      <w:pPr>
        <w:ind w:firstLine="514"/>
        <w:rPr>
          <w:rFonts w:asciiTheme="minorEastAsia" w:hAnsiTheme="minorEastAsia" w:eastAsiaTheme="minorEastAsia"/>
        </w:rPr>
      </w:pPr>
      <w:r>
        <w:rPr>
          <w:rFonts w:hint="eastAsia" w:asciiTheme="minorEastAsia" w:hAnsiTheme="minorEastAsia" w:eastAsiaTheme="minorEastAsia"/>
          <w:b/>
          <w:bCs/>
          <w:spacing w:val="8"/>
          <w:shd w:val="clear" w:color="auto" w:fill="FFFFFF"/>
        </w:rPr>
        <w:t>案情简介：</w:t>
      </w:r>
      <w:r>
        <w:rPr>
          <w:rFonts w:asciiTheme="minorEastAsia" w:hAnsiTheme="minorEastAsia" w:eastAsiaTheme="minorEastAsia"/>
          <w:spacing w:val="8"/>
          <w:shd w:val="clear" w:color="auto" w:fill="FFFFFF"/>
        </w:rPr>
        <w:t>原告福建亚通新材料科技股份有限公司（以下简称福建亚通公司）是一家生产、销售非金属管道、非塑料的水管阀等建筑材料的企业，原告依法享有的“亚通”及“亚通ATON”等系列注册商标，具有较高的知名度。被告浙江亚通管业有限公司（以下简称浙江亚通公司）作为原告的同业竞争者，分别在第17类和第19类商品上注册了与原告注册商标相近似的“恒亚通HENGATONG”和“恒亚通HOYAT”商标，原告随即提出异议，经过商评委复审以及行政诉讼，最终确定被告已获得注册的“恒亚通HENGATONG”和“恒亚通HOYAT”商标不予核准注册。后原告发现被告浙江亚通公司仍旧在其生产、销售的非金属管道等产品上印制有“恒亚通HOYAT”商标，遂通过公证购买了被告浙江亚通公司销售给被告张大琪的涉案被诉侵权产品，并诉至法院，要求两被告停止侵权行为并承担赔偿损失等法律责任</w:t>
      </w:r>
      <w:r>
        <w:rPr>
          <w:rFonts w:asciiTheme="minorEastAsia" w:hAnsiTheme="minorEastAsia" w:eastAsiaTheme="minorEastAsia"/>
        </w:rPr>
        <w:t>。</w:t>
      </w:r>
    </w:p>
    <w:p>
      <w:pPr>
        <w:pStyle w:val="2"/>
        <w:ind w:firstLine="514"/>
        <w:rPr>
          <w:rFonts w:asciiTheme="minorEastAsia" w:hAnsiTheme="minorEastAsia" w:eastAsiaTheme="minorEastAsia"/>
          <w:spacing w:val="8"/>
          <w:shd w:val="clear" w:color="auto" w:fill="FFFFFF"/>
        </w:rPr>
      </w:pPr>
      <w:r>
        <w:rPr>
          <w:rFonts w:hint="eastAsia" w:asciiTheme="minorEastAsia" w:hAnsiTheme="minorEastAsia" w:eastAsiaTheme="minorEastAsia" w:cstheme="minorBidi"/>
          <w:b/>
          <w:bCs/>
          <w:spacing w:val="8"/>
          <w:shd w:val="clear" w:color="auto" w:fill="FFFFFF"/>
        </w:rPr>
        <w:t>法院认为：</w:t>
      </w:r>
      <w:r>
        <w:rPr>
          <w:rFonts w:asciiTheme="minorEastAsia" w:hAnsiTheme="minorEastAsia" w:eastAsiaTheme="minorEastAsia"/>
          <w:spacing w:val="8"/>
          <w:shd w:val="clear" w:color="auto" w:fill="FFFFFF"/>
        </w:rPr>
        <w:t>原告系涉案“亚通”及“亚通ATON”系列注册商标专用权人，其合法权益应受我国商标法的保护。被告浙江亚通公司在其注册的与原告近似的商标不予核准注册后，依旧在类似商品上使用与原告注册商标相近似的“恒亚通HOYAT”商标，</w:t>
      </w:r>
      <w:r>
        <w:rPr>
          <w:rStyle w:val="24"/>
          <w:rFonts w:asciiTheme="minorEastAsia" w:hAnsiTheme="minorEastAsia" w:eastAsiaTheme="minorEastAsia"/>
          <w:spacing w:val="8"/>
          <w:shd w:val="clear" w:color="auto" w:fill="FFFFFF"/>
        </w:rPr>
        <w:t>其行为属于未经权利人许可，擅自生产、销售容易引起相关消费者混淆的商品，侵害了原告对涉案商标享有的专用权,应依法承担停止侵权、赔偿损失的民事法律责任。</w:t>
      </w:r>
      <w:r>
        <w:rPr>
          <w:rFonts w:asciiTheme="minorEastAsia" w:hAnsiTheme="minorEastAsia" w:eastAsiaTheme="minorEastAsia"/>
          <w:spacing w:val="8"/>
          <w:shd w:val="clear" w:color="auto" w:fill="FFFFFF"/>
        </w:rPr>
        <w:t>被告张大琪不知其所销售的系侵害商标权的产品，且已向法院提供被控侵权产品的合法来源和提供者，其依法不承担赔偿损失的民事法律责任，但应立即停止销售侵权产品。据此，判决两被告停止侵权行为；被告浙江亚通公司赔偿原告经济损失和合理费用共计70万元；驳回原告的其他诉讼请求。宣判后，双方均未在法定期限内提起上诉，判决发生法律效力。</w:t>
      </w:r>
    </w:p>
    <w:p>
      <w:pPr>
        <w:ind w:firstLine="482"/>
        <w:rPr>
          <w:rFonts w:asciiTheme="minorEastAsia" w:hAnsiTheme="minorEastAsia" w:eastAsiaTheme="minorEastAsia"/>
        </w:rPr>
      </w:pPr>
      <w:r>
        <w:rPr>
          <w:rFonts w:hint="eastAsia" w:asciiTheme="minorEastAsia" w:hAnsiTheme="minorEastAsia" w:eastAsiaTheme="minorEastAsia"/>
          <w:b/>
          <w:bCs/>
        </w:rPr>
        <w:t>案件点评：</w:t>
      </w:r>
      <w:r>
        <w:rPr>
          <w:rFonts w:asciiTheme="minorEastAsia" w:hAnsiTheme="minorEastAsia" w:eastAsiaTheme="minorEastAsia"/>
        </w:rPr>
        <w:t>商标作为一种重要的商业标记，日益成为市场主体参与市场竞争的重要工具，而知名商标因其重要性和价值性，更容易成为侵权人仿冒的对象，在相同或类似商品上使用近似商标成为商标侵权的重要形式，如何准确进行商标近似判断成为司法实践的一个重要问题。</w:t>
      </w:r>
      <w:r>
        <w:rPr>
          <w:rStyle w:val="24"/>
          <w:rFonts w:asciiTheme="minorEastAsia" w:hAnsiTheme="minorEastAsia" w:eastAsiaTheme="minorEastAsia"/>
        </w:rPr>
        <w:t>根据相关司法解释的规定，认定商标是否近似应以相关公众的一般注意力为标准，既要对商标的整体进行比对，又要对商标的主要部分进行比对，同时需要考虑请求保护注册商标的显著性和知名度。</w:t>
      </w:r>
      <w:r>
        <w:rPr>
          <w:rFonts w:asciiTheme="minorEastAsia" w:hAnsiTheme="minorEastAsia" w:eastAsiaTheme="minorEastAsia"/>
        </w:rPr>
        <w:t>就本案而言，原告作为一家老牌的管道生产企业，其享有的“亚通”系列商标获得过著名商标、名牌产品等称号，并曾被认定为驰名商标，在市场上具有较高的知名度，其“亚通”系列管道产品亦占有较高的市场份额。被告作为同行业竞争者理应对原告的商标知名度和市场占有率有较为深刻的认识，被告使用“恒亚通HOYAT”商标，“恒”字用来修饰“亚通”，其显著性较弱，在一般公众看来，容易产生“恒亚通HOYAT”与“亚通”的关联性联想，误认为被告浙江亚通公司生产、销售的产品来源于原告。况且，被告浙江亚通公司注册的“恒亚通HOYAT”商标经过商评委复审和行政诉讼后不予核准注册，这进一步加强了该商标与原告商标构成近似的判断。故被告浙江亚通公司生产、销售涉案产品的行为构成了对原告商标权的侵害，应承担停止侵权和赔偿损失的责任。本案对仿冒他人知名商标的行为具有警示和教育作用。</w:t>
      </w:r>
    </w:p>
    <w:p>
      <w:pPr>
        <w:ind w:firstLine="562"/>
        <w:outlineLvl w:val="1"/>
        <w:rPr>
          <w:rFonts w:ascii="黑体" w:hAnsi="黑体" w:eastAsia="黑体"/>
          <w:b/>
          <w:bCs/>
          <w:sz w:val="28"/>
          <w:szCs w:val="28"/>
        </w:rPr>
      </w:pPr>
      <w:bookmarkStart w:id="48" w:name="_Toc203057567"/>
      <w:bookmarkStart w:id="49" w:name="_Toc5502"/>
      <w:r>
        <w:rPr>
          <w:rFonts w:ascii="黑体" w:hAnsi="黑体" w:eastAsia="黑体"/>
          <w:b/>
          <w:bCs/>
          <w:sz w:val="28"/>
          <w:szCs w:val="28"/>
        </w:rPr>
        <w:t>3</w:t>
      </w:r>
      <w:r>
        <w:rPr>
          <w:rFonts w:hint="eastAsia" w:ascii="黑体" w:hAnsi="黑体" w:eastAsia="黑体"/>
          <w:b/>
          <w:bCs/>
          <w:sz w:val="28"/>
          <w:szCs w:val="28"/>
        </w:rPr>
        <w:t>.2 不正当竞争</w:t>
      </w:r>
      <w:bookmarkEnd w:id="48"/>
      <w:bookmarkEnd w:id="49"/>
    </w:p>
    <w:p>
      <w:pPr>
        <w:ind w:firstLine="480"/>
      </w:pPr>
      <w:r>
        <w:rPr>
          <w:rFonts w:hint="eastAsia"/>
        </w:rPr>
        <w:t>我国在竞争法立法过程中，就条件比较成熟的反不正当竞争先行立法，但在制定《反不正当竞争法》时，考虑到有些垄断行为已相当普遍，危害了公平竞争秩序，该法也对相关垄断行为作了规定。2017年《反不正当竞争法》修订，才将原先规定的5种垄断行为予以废止。根据不正当竞争行为的方式和手段，《反不正当竞争法》第二章将其归纳为7种类型。</w:t>
      </w:r>
    </w:p>
    <w:p>
      <w:pPr>
        <w:ind w:firstLine="480"/>
      </w:pPr>
      <w:r>
        <w:rPr>
          <w:rFonts w:hint="eastAsia"/>
        </w:rPr>
        <w:t>（一）混淆行为</w:t>
      </w:r>
    </w:p>
    <w:p>
      <w:pPr>
        <w:ind w:firstLine="480"/>
      </w:pPr>
      <w:r>
        <w:rPr>
          <w:rFonts w:hint="eastAsia"/>
        </w:rPr>
        <w:t>混淆行为是假借和冒充其他经营者或其商品的名称、商标、质量和产地标志等，以使人混淆、产生误解的行为。它包括以下行为：第一，擅自使用与他人有一定影响的商品名称、包装、装潢等相同或者近似的标识；第二，擅自使用他人有一定影响的企业名称（包括简称、字号等）、社会组织名称（包括简称等）、姓名（包括笔名、艺名、译名等）；第三，擅自使用他人有一定影响的域名主体部分、网站名称、网页等；第四，其他足以引人误认为是他人商品或者与他人存在特定联系的混淆行为。</w:t>
      </w:r>
    </w:p>
    <w:p>
      <w:pPr>
        <w:ind w:firstLine="480"/>
      </w:pPr>
      <w:r>
        <w:rPr>
          <w:rFonts w:hint="eastAsia"/>
        </w:rPr>
        <w:t>（二）商业贿赂行为</w:t>
      </w:r>
    </w:p>
    <w:p>
      <w:pPr>
        <w:ind w:firstLine="480"/>
      </w:pPr>
      <w:r>
        <w:rPr>
          <w:rFonts w:hint="eastAsia"/>
        </w:rPr>
        <w:t>商业贿赂行为是指经营者采用财物或者其他手段进行贿赂以谋取交易机会或者竞争优势。贿赂的对象可以是交易相对方的工作人员，也可以是受交易相对方委托办理相关事务的单位或者个人；贿赂的方法通常是直接或间接给予利益，也可能是利用职权或者影响力影响交易的单位或者个人。《反不正当竞争法》规定，经营者在交易活动中，可以以明示方式给对方折扣，也可以给中间人佣金，但必须如实入账；接受折扣、佣金的经营者也必须如实入账。凡在账外暗中给予对方单位或者个人回扣的，以行贿论处；对方单位或者个人在账外暗中收受回扣的，以受贿论处。</w:t>
      </w:r>
    </w:p>
    <w:p>
      <w:pPr>
        <w:ind w:firstLine="480"/>
      </w:pPr>
      <w:r>
        <w:rPr>
          <w:rFonts w:hint="eastAsia"/>
        </w:rPr>
        <w:t>经营者的工作人员进行贿赂的，应当认定为经营者的行为；但是，经营者有证据证明该工作人员的行为与为经营者谋取交易机会或者竞争优势无关的除外。</w:t>
      </w:r>
    </w:p>
    <w:p>
      <w:pPr>
        <w:ind w:firstLine="480"/>
      </w:pPr>
      <w:r>
        <w:rPr>
          <w:rFonts w:hint="eastAsia"/>
        </w:rPr>
        <w:t>（三）虚假宣传行为</w:t>
      </w:r>
    </w:p>
    <w:p>
      <w:pPr>
        <w:ind w:firstLine="480"/>
      </w:pPr>
      <w:r>
        <w:rPr>
          <w:rFonts w:hint="eastAsia"/>
        </w:rPr>
        <w:t>虚假宣传行为是指经营者利用广告或者其他方法，对商品的性能、功能、质量、销售状况、用户评价、曾获荣誉等作虚假或引人误解的宣传，欺骗、误导消费者的行为。鉴于在网络交易中出现了“刷单”“加粉”等灰色产业链，修订后的《反不正当竞争法》增加规定，经营者不得通过组织虚假交易等方式，帮助其他经营者进行虚假或者引人误解的商业宣传。</w:t>
      </w:r>
    </w:p>
    <w:p>
      <w:pPr>
        <w:ind w:firstLine="480"/>
      </w:pPr>
      <w:r>
        <w:rPr>
          <w:rFonts w:hint="eastAsia"/>
        </w:rPr>
        <w:t>（四）侵犯商业秘密行为</w:t>
      </w:r>
    </w:p>
    <w:p>
      <w:pPr>
        <w:ind w:firstLine="480"/>
      </w:pPr>
      <w:r>
        <w:rPr>
          <w:rFonts w:hint="eastAsia"/>
        </w:rPr>
        <w:t>侵犯商业秘密行为，是指经营者通过不正当手段，违法获取、披露、使用或者允许他人使用权利人的商业秘密的行为。所谓商业秘密，是指不为公众所知悉，具有商业价值，并经权利人采取相应保密措施的技术信息和经营信息。侵犯商业秘密所采取的不正当手段包括：第一，以盗窃、贿赂、欺诈、胁迫或者其他不正当手段获取权利人的商业秘密；第二，披露、使用或者允许他人使用以前项手段获取的权利人的商业秘密；第三，违反约定或者违反权利人有关保守商业秘密的要求，披露、使用或者允许他人使用其所掌握的商业秘密。此外，第三人明知或者应知商业秘密权利人的员工、前员工或者其他单位、个人实施上述违法行为，仍获取、披露、使用或者允许他人使用该商业秘密的，视为侵犯商业秘密。</w:t>
      </w:r>
    </w:p>
    <w:p>
      <w:pPr>
        <w:ind w:firstLine="480"/>
      </w:pPr>
      <w:r>
        <w:rPr>
          <w:rFonts w:hint="eastAsia"/>
        </w:rPr>
        <w:t>（五）不当奖售行为</w:t>
      </w:r>
    </w:p>
    <w:p>
      <w:pPr>
        <w:ind w:firstLine="480"/>
      </w:pPr>
      <w:r>
        <w:rPr>
          <w:rFonts w:hint="eastAsia"/>
        </w:rPr>
        <w:t>不当奖售行为，是指经营者不法进行的不正当的有奖销售行为。有奖销售是经营者的一种促销手段，正当的有奖销售，法律是允许的；而不正当的有奖销售，不仅会损害同业竞争者的利益，而且会损害消费者的利益和公序良俗。因此，《反不正当竞争法》第10条规定，经营者从事有奖销售不得存在下列情形：（1）所设奖的种类、兑奖条件、奖金金额或者奖品等有奖销售信息不明确，影响兑奖；（2）采用谎称有奖或者故意让内定人员中奖的欺骗方式进行有奖销售；（3）抽奖式的有奖销售，最高奖的金额超过5万元。</w:t>
      </w:r>
    </w:p>
    <w:p>
      <w:pPr>
        <w:ind w:firstLine="480"/>
      </w:pPr>
      <w:r>
        <w:rPr>
          <w:rFonts w:hint="eastAsia"/>
        </w:rPr>
        <w:t>（六）诋毁商誉行为</w:t>
      </w:r>
    </w:p>
    <w:p>
      <w:pPr>
        <w:ind w:firstLine="480"/>
      </w:pPr>
      <w:r>
        <w:rPr>
          <w:rFonts w:hint="eastAsia"/>
        </w:rPr>
        <w:t>诋毁商誉行为是指经营者捏造、散布虚假信息或者误导性信息，损害竞争对手的商业信誉和商品声誉的行为。诋毁他人商誉可能形成对他人企业、商品或“老板”的负面评价，削弱竞争对手对顾客的吸引力，从而争夺和扩大自己的市场。该行为违背公认的商业道德和市场竞争规则，是不正当的、违法的。</w:t>
      </w:r>
    </w:p>
    <w:p>
      <w:pPr>
        <w:ind w:firstLine="480"/>
      </w:pPr>
      <w:r>
        <w:rPr>
          <w:rFonts w:hint="eastAsia"/>
        </w:rPr>
        <w:t>（七）网络不正当竞争行为</w:t>
      </w:r>
    </w:p>
    <w:p>
      <w:pPr>
        <w:ind w:firstLine="480"/>
      </w:pPr>
      <w:r>
        <w:rPr>
          <w:rFonts w:hint="eastAsia"/>
        </w:rPr>
        <w:t>网络不正当竞争行为，是指经营者利用技术手段，通过影响用户选择或者其他方式妨碍、破坏其他经营者合法提供的网络产品或者服务正常运行的行为。互联网经济日益发达，网络上违反诚实信用的商业竞争行为也越来越多，层出不穷。2017年《反不正当竞争法》修订时遂以列举加兜底方式对其作了规定，明确将网络不正当竞争行为纳入反不正当竞争法的调整范围。</w:t>
      </w:r>
    </w:p>
    <w:p>
      <w:pPr>
        <w:ind w:firstLine="480"/>
      </w:pPr>
      <w:r>
        <w:rPr>
          <w:rFonts w:hint="eastAsia"/>
        </w:rPr>
        <w:t>《反不正当竞争法》第12条第2款规定了三种具体不正当竞争行为：（1）未经其他经营者同意，在其合法提供的网络产品或者服务中，插入链接、强制进行目标跳转；（2）误导、欺骗、强迫用户修改、关闭、卸载其他经营者合法提供的网络产品或者服务；（3）恶意对其他经营者合法提供的网络产品或者服务实施不兼容。这些行为比较常见，经营者和消费者都能感同身受。而网络技术和商业手段日新月异，对网络不正当竞争行为不可能穷尽列举，因此该款第4项规定,经营者也不得从事其他妨碍、破坏其他经营者合法提供的网络产品或者服务正常运行的行为。</w:t>
      </w:r>
    </w:p>
    <w:p>
      <w:pPr>
        <w:pStyle w:val="20"/>
        <w:shd w:val="clear" w:color="auto" w:fill="FFFFFF"/>
        <w:ind w:firstLine="482"/>
        <w:rPr>
          <w:rFonts w:cs="Arial" w:asciiTheme="minorEastAsia" w:hAnsiTheme="minorEastAsia" w:eastAsiaTheme="minorEastAsia"/>
          <w:b/>
          <w:bCs/>
          <w:color w:val="000000"/>
          <w:kern w:val="0"/>
        </w:rPr>
      </w:pPr>
      <w:r>
        <w:rPr>
          <w:rFonts w:hint="eastAsia" w:asciiTheme="minorEastAsia" w:hAnsiTheme="minorEastAsia" w:eastAsiaTheme="minorEastAsia"/>
          <w:b/>
          <w:bCs/>
        </w:rPr>
        <w:t>案例：</w:t>
      </w:r>
      <w:r>
        <w:rPr>
          <w:rFonts w:cs="Arial" w:asciiTheme="minorEastAsia" w:hAnsiTheme="minorEastAsia" w:eastAsiaTheme="minorEastAsia"/>
          <w:b/>
          <w:bCs/>
          <w:color w:val="000000"/>
          <w:kern w:val="0"/>
        </w:rPr>
        <w:t>江阴市某钢管有限公司实施混淆行为案</w:t>
      </w:r>
    </w:p>
    <w:p>
      <w:pPr>
        <w:widowControl/>
        <w:shd w:val="clear" w:color="auto" w:fill="FFFFFF"/>
        <w:ind w:firstLine="482"/>
        <w:rPr>
          <w:rFonts w:cs="Arial" w:asciiTheme="minorEastAsia" w:hAnsiTheme="minorEastAsia" w:eastAsiaTheme="minorEastAsia"/>
          <w:color w:val="000000"/>
          <w:kern w:val="0"/>
        </w:rPr>
      </w:pPr>
      <w:r>
        <w:rPr>
          <w:rFonts w:cs="Arial" w:asciiTheme="minorEastAsia" w:hAnsiTheme="minorEastAsia" w:eastAsiaTheme="minorEastAsia"/>
          <w:b/>
          <w:bCs/>
          <w:color w:val="000000"/>
          <w:kern w:val="0"/>
        </w:rPr>
        <w:t>基本案情</w:t>
      </w:r>
      <w:r>
        <w:rPr>
          <w:rFonts w:hint="eastAsia" w:cs="Arial" w:asciiTheme="minorEastAsia" w:hAnsiTheme="minorEastAsia" w:eastAsiaTheme="minorEastAsia"/>
          <w:b/>
          <w:bCs/>
          <w:color w:val="000000"/>
          <w:kern w:val="0"/>
        </w:rPr>
        <w:t>：</w:t>
      </w:r>
      <w:r>
        <w:rPr>
          <w:rFonts w:cs="Arial" w:asciiTheme="minorEastAsia" w:hAnsiTheme="minorEastAsia" w:eastAsiaTheme="minorEastAsia"/>
          <w:color w:val="000000"/>
          <w:kern w:val="0"/>
        </w:rPr>
        <w:t>江阴市某钢管有限公司主要从事钢管及其他金属制品的销售。为及时供应客户少量急需的“JD”品牌钢管，当事人通过购置喷码机喷标的方式，在其事先备好的相应规格型号的无标无缝钢管上擅自喷标“JD”+CCS(船级社认证标志)+型号规格+炉批号+产品标准代号，使其产品标识与江苏某新材料有限公司产品所特有的企业识别代码“JD”及产品相应标识符号（JD+型号规格+具体产品编号+产品标准号+CCS）一致，让客户误认为该批钢管系由江苏某新材料有限公司所生产。经查，江苏某新材料有限公司生产的“JD”钢管在行业内有一定的知名度和认可度，其产品相关代码有一定识别度。经过计算，该批钢管共46支，总重2.04吨，货值金额10000元。</w:t>
      </w:r>
    </w:p>
    <w:p>
      <w:pPr>
        <w:widowControl/>
        <w:shd w:val="clear" w:color="auto" w:fill="FFFFFF"/>
        <w:ind w:firstLine="482"/>
        <w:rPr>
          <w:rFonts w:cs="Arial" w:asciiTheme="minorEastAsia" w:hAnsiTheme="minorEastAsia" w:eastAsiaTheme="minorEastAsia"/>
          <w:color w:val="000000"/>
          <w:kern w:val="0"/>
        </w:rPr>
      </w:pPr>
      <w:r>
        <w:rPr>
          <w:rFonts w:cs="Arial" w:asciiTheme="minorEastAsia" w:hAnsiTheme="minorEastAsia" w:eastAsiaTheme="minorEastAsia"/>
          <w:b/>
          <w:bCs/>
          <w:color w:val="000000"/>
          <w:kern w:val="0"/>
        </w:rPr>
        <w:t>法律依据及处罚</w:t>
      </w:r>
      <w:r>
        <w:rPr>
          <w:rFonts w:hint="eastAsia" w:cs="Arial" w:asciiTheme="minorEastAsia" w:hAnsiTheme="minorEastAsia" w:eastAsiaTheme="minorEastAsia"/>
          <w:b/>
          <w:bCs/>
          <w:color w:val="000000"/>
          <w:kern w:val="0"/>
        </w:rPr>
        <w:t>：</w:t>
      </w:r>
      <w:r>
        <w:rPr>
          <w:rFonts w:cs="Arial" w:asciiTheme="minorEastAsia" w:hAnsiTheme="minorEastAsia" w:eastAsiaTheme="minorEastAsia"/>
          <w:color w:val="000000"/>
          <w:kern w:val="0"/>
        </w:rPr>
        <w:t>当事人实施擅自使用他人有一定影响的商品标识的混淆行为违反了《中华人民共和国反不正当竞争法》第六条之规定，根据《中华人民共和国反不正当竞争法》第十八条第一款之规定，江阴市市场监督管理局决定作出没收违法商品、罚款130000元的行政处罚。</w:t>
      </w:r>
    </w:p>
    <w:p>
      <w:pPr>
        <w:ind w:firstLine="562"/>
        <w:outlineLvl w:val="1"/>
        <w:rPr>
          <w:rFonts w:ascii="黑体" w:hAnsi="黑体" w:eastAsia="黑体"/>
          <w:b/>
          <w:bCs/>
          <w:sz w:val="28"/>
          <w:szCs w:val="28"/>
        </w:rPr>
      </w:pPr>
      <w:bookmarkStart w:id="50" w:name="_Toc25368"/>
      <w:bookmarkStart w:id="51" w:name="_Toc203057568"/>
      <w:r>
        <w:rPr>
          <w:rFonts w:ascii="黑体" w:hAnsi="黑体" w:eastAsia="黑体"/>
          <w:b/>
          <w:bCs/>
          <w:sz w:val="28"/>
          <w:szCs w:val="28"/>
        </w:rPr>
        <w:t>3</w:t>
      </w:r>
      <w:r>
        <w:rPr>
          <w:rFonts w:hint="eastAsia" w:ascii="黑体" w:hAnsi="黑体" w:eastAsia="黑体"/>
          <w:b/>
          <w:bCs/>
          <w:sz w:val="28"/>
          <w:szCs w:val="28"/>
        </w:rPr>
        <w:t>.3 软著</w:t>
      </w:r>
      <w:bookmarkEnd w:id="50"/>
      <w:bookmarkEnd w:id="51"/>
    </w:p>
    <w:p>
      <w:pPr>
        <w:ind w:firstLine="480"/>
      </w:pPr>
      <w:r>
        <w:rPr>
          <w:rFonts w:hint="eastAsia"/>
        </w:rPr>
        <w:t>软件著作权界定侵权的相关规定如下：</w:t>
      </w:r>
    </w:p>
    <w:p>
      <w:pPr>
        <w:ind w:firstLine="480"/>
      </w:pPr>
      <w:r>
        <w:rPr>
          <w:rFonts w:hint="eastAsia"/>
        </w:rPr>
        <w:t>1．剽窃。剽窃是指将他人依法享有著作权的软件窃为己有并发表或者登记的行为。剽窃的主要表现是采取抄袭或部分抄袭等方式，在他人软件上署自己的名称(或姓名)并发表或者登记。</w:t>
      </w:r>
    </w:p>
    <w:p>
      <w:pPr>
        <w:ind w:firstLine="480"/>
      </w:pPr>
      <w:r>
        <w:rPr>
          <w:rFonts w:hint="eastAsia"/>
        </w:rPr>
        <w:t>2．非法复制。非法复制是指未经软件著作权人许可，擅自将他人软件制作一份或者多份的行为的行为。非法复制的主要表现形式是盗版，这种侵权行为直接掠夺了正版厂商的市场份额和商业利润，是目前最为普遍的软件侵权行为，危害性十分明显，也最为公众熟知。</w:t>
      </w:r>
    </w:p>
    <w:p>
      <w:pPr>
        <w:ind w:firstLine="480"/>
      </w:pPr>
      <w:r>
        <w:rPr>
          <w:rFonts w:hint="eastAsia"/>
        </w:rPr>
        <w:t>3．擅自使用。擅自使用是指未经软件著作权人许可，又无法律根据，对他人软件实施演示、修改、翻译、注释、应用的不合法的使用行为。</w:t>
      </w:r>
    </w:p>
    <w:p>
      <w:pPr>
        <w:ind w:firstLine="480"/>
      </w:pPr>
      <w:r>
        <w:rPr>
          <w:rFonts w:hint="eastAsia"/>
        </w:rPr>
        <w:t>4．擅自许可他人使用。擅自许可他人使用是指未经软件著作权人许可，又无法律根据，未经授权许可第三人使用他人软件的行为。</w:t>
      </w:r>
    </w:p>
    <w:p>
      <w:pPr>
        <w:ind w:firstLine="480"/>
      </w:pPr>
      <w:r>
        <w:rPr>
          <w:rFonts w:hint="eastAsia"/>
        </w:rPr>
        <w:t>《中华人民共和国著作权法》第四十八条</w:t>
      </w:r>
    </w:p>
    <w:p>
      <w:pPr>
        <w:ind w:firstLine="480"/>
      </w:pPr>
      <w:r>
        <w:rPr>
          <w:rFonts w:hint="eastAsia"/>
        </w:rPr>
        <w:t>有下列侵权行为的，应当根据情况，承担停止侵害、消除影响、赔礼道歉、赔偿损失等民事责任;同时损害公共利益的，可以由著作权行政管理部门责令停止侵权行为，没收违法所得，没收、销毁侵权复制品，并可处以罚款;情节严重的，著作权行政管理部门还可以没收主要用于制作侵权复制品的材料、工具、设备等;构成犯罪的，依法追究刑事责任：</w:t>
      </w:r>
    </w:p>
    <w:p>
      <w:pPr>
        <w:ind w:firstLine="480"/>
      </w:pPr>
      <w:r>
        <w:rPr>
          <w:rFonts w:hint="eastAsia"/>
        </w:rPr>
        <w:t>(一)未经著作权人许可，复制、发行、表演、放映、广播、汇编、通过信息网络向公众传播其作品的，本法另有规定的除外;</w:t>
      </w:r>
    </w:p>
    <w:p>
      <w:pPr>
        <w:ind w:firstLine="480"/>
      </w:pPr>
      <w:r>
        <w:rPr>
          <w:rFonts w:hint="eastAsia"/>
        </w:rPr>
        <w:t>(二)出版他人享有专有出版权的图书的;</w:t>
      </w:r>
    </w:p>
    <w:p>
      <w:pPr>
        <w:ind w:firstLine="480"/>
      </w:pPr>
      <w:r>
        <w:rPr>
          <w:rFonts w:hint="eastAsia"/>
        </w:rPr>
        <w:t>(三)未经表演者许可，复制、发行录有其表演的录音录像制品，或者通过信息网络向公众传播其表演的，本法另有规定的除外;</w:t>
      </w:r>
    </w:p>
    <w:p>
      <w:pPr>
        <w:ind w:firstLine="480"/>
      </w:pPr>
      <w:r>
        <w:rPr>
          <w:rFonts w:hint="eastAsia"/>
        </w:rPr>
        <w:t>(四)未经录音录像制作者许可，复制、发行、通过信息网络向公众传播其制作的录音录像制品的，本法另有规定的除外;</w:t>
      </w:r>
    </w:p>
    <w:p>
      <w:pPr>
        <w:ind w:firstLine="480"/>
      </w:pPr>
      <w:r>
        <w:rPr>
          <w:rFonts w:hint="eastAsia"/>
        </w:rPr>
        <w:t>(五)未经许可，播放或者复制广播、电视的，本法另有规定的除外;</w:t>
      </w:r>
    </w:p>
    <w:p>
      <w:pPr>
        <w:ind w:firstLine="480"/>
      </w:pPr>
      <w:r>
        <w:rPr>
          <w:rFonts w:hint="eastAsia"/>
        </w:rPr>
        <w:t>(六)未经著作权人或者与著作权有关的权利人许可，故意避开或者破坏权利人为其作品、录音录像制品等采取的保护著作权或者与著作权有关的权利的技术措施的，法律、行政法规另有规定的除外;</w:t>
      </w:r>
    </w:p>
    <w:p>
      <w:pPr>
        <w:ind w:firstLine="480"/>
      </w:pPr>
      <w:r>
        <w:rPr>
          <w:rFonts w:hint="eastAsia"/>
        </w:rPr>
        <w:t>(七)未经著作权人或者与著作权有关的权利人许可，故意删除或者改变作品、录音录像制品等的权利管理电子信息的，法律、行政法规另有规定的除外;</w:t>
      </w:r>
    </w:p>
    <w:p>
      <w:pPr>
        <w:ind w:firstLine="480"/>
      </w:pPr>
      <w:r>
        <w:rPr>
          <w:rFonts w:hint="eastAsia"/>
        </w:rPr>
        <w:t>(八)制作、出售假冒他人署名的作品的。</w:t>
      </w:r>
    </w:p>
    <w:p>
      <w:pPr>
        <w:ind w:firstLine="482"/>
        <w:rPr>
          <w:b/>
          <w:bCs/>
        </w:rPr>
      </w:pPr>
      <w:r>
        <w:rPr>
          <w:rFonts w:hint="eastAsia"/>
          <w:b/>
          <w:bCs/>
        </w:rPr>
        <w:t>案例：</w:t>
      </w:r>
      <w:r>
        <w:rPr>
          <w:b/>
          <w:bCs/>
        </w:rPr>
        <w:t>达索公司计算机软件著作权案</w:t>
      </w:r>
    </w:p>
    <w:p>
      <w:pPr>
        <w:ind w:firstLine="480"/>
      </w:pPr>
      <w:r>
        <w:t>达索公司是全球领先的3D设计软件开发及销售商，系SOLIDWORKS系列计算机软件作品的著作权人。应达索公司申请，法院于2020年8月19日到海天公司进行诉前证据保全。在证据保全过程中，海天公司阻挠技术专家查看电脑，并且拆除电脑主机。经释明后，海天公司仍无正当理由拒绝配合取证工作。经法院现场清点，海天公司办公室共有77台电脑，其中有33台电脑的主机被拆除。法院从现场未被拆除的44台电脑中随机抽查了4台，发现有1台电脑安装了涉案软件。达索公司以海天公司侵害涉案软件著作权为由诉至法院。</w:t>
      </w:r>
    </w:p>
    <w:p>
      <w:pPr>
        <w:ind w:firstLine="480"/>
      </w:pPr>
      <w:r>
        <w:t>海天公司未经许可，复制了达索公司享有著作权的计算机软件，构成侵权。海天公司擅自将33台电脑的主机拆除，致使法院无法保全证据，故应当认定这33台电脑中均安装了涉案软件。对未被拆除的44台电脑，可以按照1/4的比例确定安装侵权软件的电脑数量为11台。法院按照安装侵权软件电脑的数量44台，判决海天公司赔偿186万元。</w:t>
      </w:r>
    </w:p>
    <w:p>
      <w:pPr>
        <w:ind w:firstLine="562"/>
        <w:outlineLvl w:val="1"/>
        <w:rPr>
          <w:rFonts w:ascii="黑体" w:hAnsi="黑体" w:eastAsia="黑体"/>
          <w:b/>
          <w:bCs/>
          <w:sz w:val="28"/>
          <w:szCs w:val="28"/>
        </w:rPr>
      </w:pPr>
      <w:bookmarkStart w:id="52" w:name="_Toc203057569"/>
      <w:bookmarkStart w:id="53" w:name="_Toc30522"/>
      <w:r>
        <w:rPr>
          <w:rFonts w:ascii="黑体" w:hAnsi="黑体" w:eastAsia="黑体"/>
          <w:b/>
          <w:bCs/>
          <w:sz w:val="28"/>
          <w:szCs w:val="28"/>
        </w:rPr>
        <w:t>3</w:t>
      </w:r>
      <w:r>
        <w:rPr>
          <w:rFonts w:hint="eastAsia" w:ascii="黑体" w:hAnsi="黑体" w:eastAsia="黑体"/>
          <w:b/>
          <w:bCs/>
          <w:sz w:val="28"/>
          <w:szCs w:val="28"/>
        </w:rPr>
        <w:t>.4 专利</w:t>
      </w:r>
      <w:bookmarkEnd w:id="52"/>
      <w:bookmarkEnd w:id="53"/>
    </w:p>
    <w:p>
      <w:pPr>
        <w:ind w:firstLine="480"/>
      </w:pPr>
      <w:r>
        <w:rPr>
          <w:rFonts w:hint="eastAsia"/>
        </w:rPr>
        <w:t>根据行为人有无直接实施侵犯他人专利权的行为及被控侵权产品或方法落入保护范围的形式，学理上可将专利侵权作出以下分类：</w:t>
      </w:r>
    </w:p>
    <w:p>
      <w:pPr>
        <w:ind w:firstLine="480"/>
      </w:pPr>
      <w:r>
        <w:rPr>
          <w:rFonts w:hint="eastAsia"/>
        </w:rPr>
        <w:t>1.直接侵权与间接侵权</w:t>
      </w:r>
    </w:p>
    <w:p>
      <w:pPr>
        <w:ind w:firstLine="480"/>
      </w:pPr>
      <w:r>
        <w:rPr>
          <w:rFonts w:hint="eastAsia"/>
        </w:rPr>
        <w:t>直接侵权。直接侵权是指行为人直接实施了专利法所禁止的侵犯他人专利权的行为，如制造、使用或销售受保护专利产品。</w:t>
      </w:r>
    </w:p>
    <w:p>
      <w:pPr>
        <w:ind w:firstLine="480"/>
      </w:pPr>
      <w:r>
        <w:rPr>
          <w:rFonts w:hint="eastAsia"/>
        </w:rPr>
        <w:t>间接侵权。间接侵权是指行为人虽然没有直接实施了侵害他人专利权的行为，但是却教唆诱使了直接侵权行为的实施，或帮助了他人实施直接侵权行为。</w:t>
      </w:r>
    </w:p>
    <w:p>
      <w:pPr>
        <w:ind w:firstLine="480"/>
      </w:pPr>
      <w:r>
        <w:rPr>
          <w:rFonts w:hint="eastAsia"/>
        </w:rPr>
        <w:t>2.相同侵权与等同侵权</w:t>
      </w:r>
    </w:p>
    <w:p>
      <w:pPr>
        <w:ind w:firstLine="480"/>
      </w:pPr>
      <w:r>
        <w:rPr>
          <w:rFonts w:hint="eastAsia"/>
        </w:rPr>
        <w:t>相同侵权。相同侵权又被称为字面侵权，顾名思义，是指被控侵权产品或方法的技术方案直接落入受保护专利权利要求的字面描述的范围的侵权行为。</w:t>
      </w:r>
    </w:p>
    <w:p>
      <w:pPr>
        <w:ind w:firstLine="480"/>
      </w:pPr>
      <w:r>
        <w:rPr>
          <w:rFonts w:hint="eastAsia"/>
        </w:rPr>
        <w:t>等同侵权。等同侵权是指被控侵权产品或方法的技术方案虽然没有直接落入权利要求的字面描述的范围，但却与权利要求的技术方案并无本质上的区别，据此被认定为实际上落入保护范围的侵权行为。</w:t>
      </w:r>
    </w:p>
    <w:p>
      <w:pPr>
        <w:ind w:firstLine="482"/>
        <w:rPr>
          <w:rFonts w:cs="Arial" w:asciiTheme="minorEastAsia" w:hAnsiTheme="minorEastAsia" w:eastAsiaTheme="minorEastAsia"/>
          <w:b/>
          <w:bCs/>
          <w:color w:val="222222"/>
          <w:shd w:val="clear" w:color="auto" w:fill="FFFFFF"/>
        </w:rPr>
      </w:pPr>
      <w:r>
        <w:rPr>
          <w:rFonts w:hint="eastAsia" w:asciiTheme="minorEastAsia" w:hAnsiTheme="minorEastAsia" w:eastAsiaTheme="minorEastAsia"/>
          <w:b/>
          <w:bCs/>
        </w:rPr>
        <w:t>案例：</w:t>
      </w:r>
      <w:r>
        <w:rPr>
          <w:rFonts w:cs="Arial" w:asciiTheme="minorEastAsia" w:hAnsiTheme="minorEastAsia" w:eastAsiaTheme="minorEastAsia"/>
          <w:b/>
          <w:bCs/>
          <w:color w:val="222222"/>
          <w:shd w:val="clear" w:color="auto" w:fill="FFFFFF"/>
        </w:rPr>
        <w:t>“蜜胺”发明专利及技术秘密侵权两案</w:t>
      </w:r>
    </w:p>
    <w:p>
      <w:pPr>
        <w:ind w:firstLine="480"/>
      </w:pPr>
      <w:r>
        <w:rPr>
          <w:rFonts w:hint="eastAsia"/>
        </w:rPr>
        <w:t>基本案情：</w:t>
      </w:r>
      <w:r>
        <w:t>金象公司、烨晶公司系专利号为201110108644.9、名称为“节能节资型气相淬冷法蜜胺生产系统及其工艺”的发明专利权利人，金象公司亦为采用加压气相淬冷法生产蜜胺的方法及使用该方法的生产系统相关技术秘密权利人。金象公司、烨晶公司针对华鲁恒升公司等四被告侵害涉案专利权的行为向广州知识产权法院提起诉讼。金象公司亦针对上述四被告侵害技术秘密的行为向四川省成都市中级人民法院提起诉讼。两法院一审分别认定，四被告共同实施了专利侵权行为、技术秘密侵权行为，均判决停止侵害，并分别部分支持了有关损害赔偿请求。双方当事人对两案均不服，均提起上诉。最高人民法院二审认为，各被诉侵权人具有侵权的意思联络，主观上彼此明知，先后实施相应侵权行为构成完整的侵权行为链，客观上分工协作，属共同故意实施侵权行为，应当对全部侵权损害承担连带责任。遂改判支持权利人的全部诉讼请求，判令侵权人以包括但不限于拆除的方式销毁侵权生产系统及有关技术秘密载体，共同连带赔偿权利人经济损失合计2.18亿元（其中，发明专利侵权案赔偿1.2亿元，技术秘密侵权案赔偿9800万元）</w:t>
      </w:r>
    </w:p>
    <w:p>
      <w:pPr>
        <w:ind w:firstLine="480"/>
      </w:pPr>
      <w:r>
        <w:rPr>
          <w:rFonts w:hint="eastAsia"/>
        </w:rPr>
        <w:t>典型意义：</w:t>
      </w:r>
      <w:r>
        <w:t>这是目前人民法院针对同一工程项目判赔额最高的知识产权侵权案件。权利人金象公司为中外合资企业，烨晶公司为高新技术民营企业，侵权人之一华鲁恒升公司系国有上市企业。两案裁判不仅彰显人民法院切实加强知识产权司法保护的坚定态度，也充分体现对内资和外资企业、国有和民营企业等各类企业的一体对待、平等保护。本案有关共同故意侵权及全部连带责任的认定、赔偿额计算的考量因素、停止侵害责任中销毁侵权载体的处理方式等，对于类似案件的处理具有参考意义。</w:t>
      </w:r>
    </w:p>
    <w:p>
      <w:pPr>
        <w:pStyle w:val="2"/>
        <w:ind w:firstLine="480"/>
      </w:pPr>
      <w:r>
        <w:br w:type="page"/>
      </w:r>
    </w:p>
    <w:p>
      <w:pPr>
        <w:pStyle w:val="3"/>
        <w:spacing w:before="312" w:after="312"/>
      </w:pPr>
      <w:bookmarkStart w:id="54" w:name="_Toc203057570"/>
      <w:bookmarkStart w:id="55" w:name="_Toc15733"/>
      <w:r>
        <w:rPr>
          <w:rFonts w:hint="eastAsia"/>
        </w:rPr>
        <w:t>第四章 重点国家或地区知识产权相关法律法规汇总分析</w:t>
      </w:r>
      <w:bookmarkEnd w:id="54"/>
      <w:bookmarkEnd w:id="55"/>
    </w:p>
    <w:p>
      <w:pPr>
        <w:ind w:firstLine="562"/>
        <w:outlineLvl w:val="1"/>
      </w:pPr>
      <w:bookmarkStart w:id="56" w:name="_Toc203057571"/>
      <w:bookmarkStart w:id="57" w:name="_Toc13968"/>
      <w:bookmarkStart w:id="58" w:name="_Toc11466"/>
      <w:r>
        <w:rPr>
          <w:rFonts w:ascii="黑体" w:hAnsi="黑体" w:eastAsia="黑体"/>
          <w:b/>
          <w:bCs/>
          <w:sz w:val="28"/>
          <w:szCs w:val="28"/>
        </w:rPr>
        <w:t>4</w:t>
      </w:r>
      <w:r>
        <w:rPr>
          <w:rFonts w:hint="eastAsia" w:ascii="黑体" w:hAnsi="黑体" w:eastAsia="黑体"/>
          <w:b/>
          <w:bCs/>
          <w:sz w:val="28"/>
          <w:szCs w:val="28"/>
        </w:rPr>
        <w:t>.</w:t>
      </w:r>
      <w:r>
        <w:rPr>
          <w:rFonts w:ascii="黑体" w:hAnsi="黑体" w:eastAsia="黑体"/>
          <w:b/>
          <w:bCs/>
          <w:sz w:val="28"/>
          <w:szCs w:val="28"/>
        </w:rPr>
        <w:t xml:space="preserve">1 </w:t>
      </w:r>
      <w:r>
        <w:rPr>
          <w:rFonts w:hint="eastAsia" w:ascii="黑体" w:hAnsi="黑体" w:eastAsia="黑体"/>
          <w:b/>
          <w:bCs/>
          <w:sz w:val="28"/>
          <w:szCs w:val="28"/>
        </w:rPr>
        <w:t>日本知识产权风险防控分析</w:t>
      </w:r>
      <w:bookmarkEnd w:id="56"/>
    </w:p>
    <w:p>
      <w:pPr>
        <w:ind w:firstLine="562"/>
        <w:outlineLvl w:val="2"/>
        <w:rPr>
          <w:rFonts w:ascii="黑体" w:hAnsi="黑体" w:eastAsia="黑体" w:cs="Helvetica"/>
          <w:b/>
          <w:color w:val="000000" w:themeColor="text1"/>
          <w:kern w:val="0"/>
          <w:sz w:val="28"/>
          <w:szCs w:val="28"/>
        </w:rPr>
      </w:pPr>
      <w:bookmarkStart w:id="59" w:name="_Toc121146322"/>
      <w:bookmarkStart w:id="60" w:name="_Toc203057572"/>
      <w:r>
        <w:rPr>
          <w:rFonts w:ascii="黑体" w:hAnsi="黑体" w:eastAsia="黑体" w:cs="Helvetica"/>
          <w:b/>
          <w:color w:val="000000" w:themeColor="text1"/>
          <w:kern w:val="0"/>
          <w:sz w:val="28"/>
          <w:szCs w:val="28"/>
        </w:rPr>
        <w:t xml:space="preserve">4.1.1 </w:t>
      </w:r>
      <w:r>
        <w:rPr>
          <w:rFonts w:hint="eastAsia" w:ascii="黑体" w:hAnsi="黑体" w:eastAsia="黑体" w:cs="Helvetica"/>
          <w:b/>
          <w:color w:val="000000" w:themeColor="text1"/>
          <w:kern w:val="0"/>
          <w:sz w:val="28"/>
          <w:szCs w:val="28"/>
        </w:rPr>
        <w:t>日本专利侵权行为</w:t>
      </w:r>
      <w:bookmarkEnd w:id="59"/>
      <w:bookmarkEnd w:id="60"/>
    </w:p>
    <w:p>
      <w:pPr>
        <w:ind w:firstLine="482"/>
        <w:rPr>
          <w:b/>
          <w:bCs/>
        </w:rPr>
      </w:pPr>
      <w:bookmarkStart w:id="61" w:name="_Toc121146323"/>
      <w:r>
        <w:rPr>
          <w:rFonts w:hint="eastAsia"/>
          <w:b/>
          <w:bCs/>
        </w:rPr>
        <w:t>一、专利侵权的定义</w:t>
      </w:r>
      <w:bookmarkEnd w:id="61"/>
    </w:p>
    <w:p>
      <w:pPr>
        <w:ind w:firstLine="480"/>
      </w:pPr>
      <w:r>
        <w:t>专利侵权，又称侵害专利权，是指行为人未经专利权人许可又无法律依据，以营利为目的，针对专利权人依法受保护的专利在保护期内所享有的人身权或财产权的侵害行为。日本专利法第101条规定下述行为，视为侵害专利权或专用实施权的行为</w:t>
      </w:r>
      <w:r>
        <w:rPr>
          <w:rFonts w:hint="eastAsia" w:ascii="宋体" w:hAnsi="宋体" w:cs="宋体"/>
        </w:rPr>
        <w:t>∶</w:t>
      </w:r>
      <w:r>
        <w:t>一是针对专利产品，以生产经营为目的，制造、使用、许诺销售、销售、进口专利产品的行为；二是针对专利方法，以生产经营为目的，使用专利方法及使用、许诺销售、销售、进口依照该方法直接获得的产品的行为。</w:t>
      </w:r>
    </w:p>
    <w:p>
      <w:pPr>
        <w:ind w:firstLine="482"/>
        <w:rPr>
          <w:b/>
          <w:bCs/>
        </w:rPr>
      </w:pPr>
      <w:bookmarkStart w:id="62" w:name="_Toc121146324"/>
      <w:r>
        <w:rPr>
          <w:rFonts w:hint="eastAsia"/>
          <w:b/>
          <w:bCs/>
        </w:rPr>
        <w:t>二、专利侵权行为</w:t>
      </w:r>
      <w:bookmarkEnd w:id="62"/>
    </w:p>
    <w:p>
      <w:pPr>
        <w:ind w:firstLine="480"/>
      </w:pPr>
      <w:r>
        <w:t>专利侵权行为分为直接侵权行为和间接侵权行为两类。</w:t>
      </w:r>
    </w:p>
    <w:p>
      <w:pPr>
        <w:ind w:firstLine="482"/>
        <w:rPr>
          <w:b/>
          <w:bCs/>
        </w:rPr>
      </w:pPr>
      <w:r>
        <w:rPr>
          <w:rFonts w:hint="eastAsia"/>
          <w:b/>
          <w:bCs/>
        </w:rPr>
        <w:t>（一）</w:t>
      </w:r>
      <w:r>
        <w:rPr>
          <w:b/>
          <w:bCs/>
        </w:rPr>
        <w:t>直接侵权行为</w:t>
      </w:r>
    </w:p>
    <w:p>
      <w:pPr>
        <w:ind w:firstLine="480"/>
      </w:pPr>
      <w:r>
        <w:t>直接侵权行为是指直接由行为人实施的侵犯他人专利权的行为，其表现形式包括</w:t>
      </w:r>
      <w:r>
        <w:rPr>
          <w:rFonts w:hint="eastAsia" w:ascii="宋体" w:hAnsi="宋体" w:cs="宋体"/>
        </w:rPr>
        <w:t>∶</w:t>
      </w:r>
    </w:p>
    <w:p>
      <w:pPr>
        <w:ind w:firstLine="480"/>
      </w:pPr>
      <w:r>
        <w:t>（1）制造专利产品的行为。专利产品是指专利权人在权利要求书中描述的产品。无论制造者是否知道是专利产品，也不论是用什么方法制造的，只要未经专利权人许可，以营利目的制造，就构成侵权行为。</w:t>
      </w:r>
    </w:p>
    <w:p>
      <w:pPr>
        <w:ind w:firstLine="480"/>
        <w:rPr>
          <w:rFonts w:cs="楷体" w:asciiTheme="minorEastAsia" w:hAnsiTheme="minorEastAsia" w:eastAsiaTheme="minorEastAsia"/>
        </w:rPr>
      </w:pPr>
      <w:r>
        <w:t>（2）使用专利产品的行为。此种行为在主观上必须有故意的过错才能成立。故意，是指使用人明知产品是未经专利权人许可而制造的，仍购买使用的。</w:t>
      </w:r>
    </w:p>
    <w:p>
      <w:pPr>
        <w:ind w:firstLine="480"/>
      </w:pPr>
      <w:r>
        <w:t>（3）许诺销售专利产品的行为。</w:t>
      </w:r>
    </w:p>
    <w:p>
      <w:pPr>
        <w:ind w:firstLine="480"/>
      </w:pPr>
      <w:r>
        <w:t>（4）销售专利产品的行为。和使用专利产品的行为一样，此行为由主观故意而构成，即明知属于侵权产品仍予以销售。</w:t>
      </w:r>
    </w:p>
    <w:p>
      <w:pPr>
        <w:ind w:firstLine="480"/>
      </w:pPr>
      <w:r>
        <w:t>（5）进口专利产品的行为。进口专利产品或进口依照专利方法直接获得的产品。</w:t>
      </w:r>
    </w:p>
    <w:p>
      <w:pPr>
        <w:ind w:firstLine="480"/>
      </w:pPr>
      <w:r>
        <w:t>（6）使用专利方法以及使用、许诺销售、销售、进口依照该专利方法直接获得的产品的行为。</w:t>
      </w:r>
    </w:p>
    <w:p>
      <w:pPr>
        <w:ind w:firstLine="480"/>
      </w:pPr>
      <w:r>
        <w:t>（7）假冒他人专利的行为。此种行为是指非专利权人未经专利权人许可，在产品或产品包装上标示专利权人的专利标志或专利号，仿冒专利权人的专利产品。</w:t>
      </w:r>
    </w:p>
    <w:p>
      <w:pPr>
        <w:ind w:firstLine="480"/>
      </w:pPr>
      <w:r>
        <w:t>为生产经营目的使用或者销售不知道是未经专利权人许可而制造并售出的专利产品或者依照专利方法直接获得的产品，能证明其产品合法来源的，仍然属于侵犯专利权的行为，需要停止侵害但不承担赔偿责任。</w:t>
      </w:r>
    </w:p>
    <w:p>
      <w:pPr>
        <w:ind w:firstLine="482"/>
      </w:pPr>
      <w:r>
        <w:rPr>
          <w:rFonts w:hint="eastAsia"/>
          <w:b/>
          <w:bCs/>
        </w:rPr>
        <w:t>（二）</w:t>
      </w:r>
      <w:r>
        <w:rPr>
          <w:b/>
          <w:bCs/>
        </w:rPr>
        <w:t>间接侵权行为</w:t>
      </w:r>
    </w:p>
    <w:p>
      <w:pPr>
        <w:ind w:firstLine="480"/>
      </w:pPr>
      <w:r>
        <w:t>根据日本专利法第102条的规定，为侵权做准备或者帮助侵权且诱发直接侵权的概率非常高的行为也被视为侵害专利权或专用实施权的行为，这就是所谓的间接侵权。间接侵权行为是指行为人本身的行为并不直接构成对专利权的侵害，但实施了诱导、怂恿、教唆、帮助他人侵害专利权的行为。间接侵权行为表现在</w:t>
      </w:r>
      <w:r>
        <w:rPr>
          <w:rFonts w:hint="eastAsia" w:ascii="宋体" w:hAnsi="宋体" w:cs="宋体"/>
        </w:rPr>
        <w:t>∶</w:t>
      </w:r>
      <w:r>
        <w:t>出售专利产品或者用于使用专利方法的设备的主要零件；提供实施专利方法的条件的行为；制造出售只能生产专利产品或者实施专利方法的设备的行为；修理和改造行为等。</w:t>
      </w:r>
    </w:p>
    <w:p>
      <w:pPr>
        <w:ind w:firstLine="482"/>
        <w:rPr>
          <w:rFonts w:asciiTheme="majorEastAsia" w:hAnsiTheme="majorEastAsia" w:eastAsiaTheme="majorEastAsia"/>
          <w:b/>
          <w:bCs/>
        </w:rPr>
      </w:pPr>
      <w:bookmarkStart w:id="63" w:name="_Toc121146325"/>
      <w:r>
        <w:rPr>
          <w:rFonts w:hint="eastAsia" w:asciiTheme="majorEastAsia" w:hAnsiTheme="majorEastAsia" w:eastAsiaTheme="majorEastAsia"/>
          <w:b/>
          <w:bCs/>
        </w:rPr>
        <w:t>三、专利侵权的例外</w:t>
      </w:r>
      <w:bookmarkEnd w:id="63"/>
    </w:p>
    <w:p>
      <w:pPr>
        <w:ind w:firstLine="482"/>
        <w:rPr>
          <w:rFonts w:asciiTheme="minorEastAsia" w:hAnsiTheme="minorEastAsia" w:eastAsiaTheme="minorEastAsia"/>
        </w:rPr>
      </w:pPr>
      <w:r>
        <w:rPr>
          <w:rFonts w:hint="eastAsia" w:asciiTheme="majorEastAsia" w:hAnsiTheme="majorEastAsia" w:eastAsiaTheme="majorEastAsia"/>
          <w:b/>
          <w:bCs/>
        </w:rPr>
        <w:t>1</w:t>
      </w:r>
      <w:r>
        <w:rPr>
          <w:rFonts w:asciiTheme="majorEastAsia" w:hAnsiTheme="majorEastAsia" w:eastAsiaTheme="majorEastAsia"/>
          <w:b/>
          <w:bCs/>
        </w:rPr>
        <w:t>.专利权</w:t>
      </w:r>
      <w:r>
        <w:rPr>
          <w:rFonts w:asciiTheme="minorEastAsia" w:hAnsiTheme="minorEastAsia" w:eastAsiaTheme="minorEastAsia"/>
          <w:b/>
          <w:bCs/>
        </w:rPr>
        <w:t>的用尽</w:t>
      </w:r>
    </w:p>
    <w:p>
      <w:pPr>
        <w:ind w:firstLine="480"/>
      </w:pPr>
      <w:r>
        <w:t>专利权人自己或许可他人制造的专利产品被合法投入市场后，任何人对该产品进行使用或销售，不再需要经过专利权人的许可，不构成侵犯专利权。</w:t>
      </w:r>
    </w:p>
    <w:p>
      <w:pPr>
        <w:ind w:firstLine="480"/>
      </w:pPr>
      <w:r>
        <w:t>专利权用尽有很多种方式，平行进口中的专利权问题属于其中一种，日本对于平行进口中的权利问题争议颇多。</w:t>
      </w:r>
    </w:p>
    <w:p>
      <w:pPr>
        <w:ind w:firstLine="482"/>
        <w:rPr>
          <w:rFonts w:asciiTheme="minorEastAsia" w:hAnsiTheme="minorEastAsia" w:eastAsiaTheme="minorEastAsia"/>
          <w:b/>
          <w:bCs/>
        </w:rPr>
      </w:pPr>
      <w:r>
        <w:rPr>
          <w:rFonts w:asciiTheme="majorEastAsia" w:hAnsiTheme="majorEastAsia" w:eastAsiaTheme="majorEastAsia"/>
          <w:b/>
          <w:bCs/>
        </w:rPr>
        <w:t>2</w:t>
      </w:r>
      <w:r>
        <w:rPr>
          <w:rFonts w:hint="eastAsia" w:asciiTheme="majorEastAsia" w:hAnsiTheme="majorEastAsia" w:eastAsiaTheme="majorEastAsia"/>
          <w:b/>
          <w:bCs/>
        </w:rPr>
        <w:t>．</w:t>
      </w:r>
      <w:r>
        <w:rPr>
          <w:rFonts w:asciiTheme="majorEastAsia" w:hAnsiTheme="majorEastAsia" w:eastAsiaTheme="majorEastAsia"/>
          <w:b/>
          <w:bCs/>
        </w:rPr>
        <w:t>善意实施</w:t>
      </w:r>
      <w:r>
        <w:rPr>
          <w:rFonts w:asciiTheme="minorEastAsia" w:hAnsiTheme="minorEastAsia" w:eastAsiaTheme="minorEastAsia"/>
          <w:b/>
          <w:bCs/>
        </w:rPr>
        <w:t>行为</w:t>
      </w:r>
    </w:p>
    <w:p>
      <w:pPr>
        <w:ind w:firstLine="480"/>
      </w:pPr>
      <w:r>
        <w:t>日本专利法第69条规定，专利权的效力不适用于为试验或研究而实施的专利发明。所以为科学研究和实验目的，使用专利产品或专利方法的，属于善意使用行为，不构成侵权。该条第2款在规定在专利申请时，在日本国内已存在的物品为专利产品或是专利方法制造的产品，其专利权的效力不适用。</w:t>
      </w:r>
    </w:p>
    <w:p>
      <w:pPr>
        <w:ind w:firstLine="480"/>
      </w:pPr>
      <w:r>
        <w:t>根据日本专利法第79条的规定，行为人因不知属于他人已申请专利的发明内容而完成自己的发明，以及同样不知他人拟申请专利的发明内容，而从该发明人处了解到的情况下提出自己的专利申请时</w:t>
      </w:r>
      <w:r>
        <w:rPr>
          <w:rFonts w:hint="eastAsia"/>
        </w:rPr>
        <w:t>[</w:t>
      </w:r>
      <w:r>
        <w:t>根据日本专利法第44条及第53条第（4）项的规定</w:t>
      </w:r>
      <w:r>
        <w:rPr>
          <w:rFonts w:hint="eastAsia"/>
        </w:rPr>
        <w:t>]</w:t>
      </w:r>
      <w:r>
        <w:t>，实际已经在日本国内实施该发明的生产项目和准备完成该项目行为，并且该行为的实施在原有范围内，不视为对专利权的侵犯。故在专利申请日以前已经制造相同产品、使用相同方法或已经做好制造、使用的必要准备，并且在原有范围内继续制造、使用的，不视为侵犯专利权。</w:t>
      </w:r>
    </w:p>
    <w:p>
      <w:pPr>
        <w:ind w:firstLine="482"/>
        <w:rPr>
          <w:rFonts w:asciiTheme="majorEastAsia" w:hAnsiTheme="majorEastAsia" w:eastAsiaTheme="majorEastAsia"/>
          <w:b/>
          <w:bCs/>
        </w:rPr>
      </w:pPr>
      <w:r>
        <w:rPr>
          <w:rFonts w:asciiTheme="majorEastAsia" w:hAnsiTheme="majorEastAsia" w:eastAsiaTheme="majorEastAsia"/>
          <w:b/>
          <w:bCs/>
        </w:rPr>
        <w:t>3</w:t>
      </w:r>
      <w:r>
        <w:rPr>
          <w:rFonts w:hint="eastAsia" w:asciiTheme="majorEastAsia" w:hAnsiTheme="majorEastAsia" w:eastAsiaTheme="majorEastAsia"/>
          <w:b/>
          <w:bCs/>
        </w:rPr>
        <w:t>．</w:t>
      </w:r>
      <w:r>
        <w:rPr>
          <w:rFonts w:asciiTheme="majorEastAsia" w:hAnsiTheme="majorEastAsia" w:eastAsiaTheme="majorEastAsia"/>
          <w:b/>
          <w:bCs/>
        </w:rPr>
        <w:t>临时过境</w:t>
      </w:r>
    </w:p>
    <w:p>
      <w:pPr>
        <w:ind w:firstLine="480"/>
      </w:pPr>
      <w:r>
        <w:t>日本专利法第69条第2款规定，专利权的效力不适用于仅在日本过境的船舶或飞机，或供其使用的机械、器具、装置及其他物品。所以临时通过日本国领域、领水或领空的外国运输工具，依照其所属国同日本签订的协议或共同参加的国际条约，或依照互惠原则，为其自身需要而使用在日本享有专利权的机械装置和零部件的，无须得到专利权人的许可，不构成侵权。</w:t>
      </w:r>
    </w:p>
    <w:p>
      <w:pPr>
        <w:ind w:firstLine="482"/>
        <w:rPr>
          <w:rFonts w:asciiTheme="majorEastAsia" w:hAnsiTheme="majorEastAsia" w:eastAsiaTheme="majorEastAsia"/>
          <w:b/>
          <w:bCs/>
        </w:rPr>
      </w:pPr>
      <w:r>
        <w:rPr>
          <w:rFonts w:asciiTheme="majorEastAsia" w:hAnsiTheme="majorEastAsia" w:eastAsiaTheme="majorEastAsia"/>
          <w:b/>
          <w:bCs/>
        </w:rPr>
        <w:t>4</w:t>
      </w:r>
      <w:r>
        <w:rPr>
          <w:rFonts w:hint="eastAsia" w:asciiTheme="majorEastAsia" w:hAnsiTheme="majorEastAsia" w:eastAsiaTheme="majorEastAsia"/>
          <w:b/>
          <w:bCs/>
        </w:rPr>
        <w:t>．</w:t>
      </w:r>
      <w:r>
        <w:rPr>
          <w:rFonts w:asciiTheme="majorEastAsia" w:hAnsiTheme="majorEastAsia" w:eastAsiaTheme="majorEastAsia"/>
          <w:b/>
          <w:bCs/>
        </w:rPr>
        <w:t>特别实施</w:t>
      </w:r>
    </w:p>
    <w:p>
      <w:pPr>
        <w:ind w:firstLine="480"/>
      </w:pPr>
      <w:r>
        <w:t>日本专利法第93条规定，为了公众利益而实施的专利行为，属于专利不侵权行为。但该专利的实施是有前提条件的，首先是专利实施行为确系公众利益的需要，其次是专利发明的拟实施者，必须与专利权所有人或独占实施权所有人达成一致协议，如果协议不成则通过通商产业大臣裁决。</w:t>
      </w:r>
    </w:p>
    <w:p>
      <w:pPr>
        <w:ind w:firstLine="562"/>
        <w:outlineLvl w:val="2"/>
        <w:rPr>
          <w:rFonts w:ascii="黑体" w:hAnsi="黑体" w:eastAsia="黑体" w:cs="Helvetica"/>
          <w:b/>
          <w:color w:val="000000" w:themeColor="text1"/>
          <w:kern w:val="0"/>
          <w:sz w:val="28"/>
          <w:szCs w:val="28"/>
        </w:rPr>
      </w:pPr>
      <w:bookmarkStart w:id="64" w:name="_Toc203057573"/>
      <w:bookmarkStart w:id="65" w:name="_Toc121146326"/>
      <w:r>
        <w:rPr>
          <w:rFonts w:ascii="黑体" w:hAnsi="黑体" w:eastAsia="黑体" w:cs="Helvetica"/>
          <w:b/>
          <w:color w:val="000000" w:themeColor="text1"/>
          <w:kern w:val="0"/>
          <w:sz w:val="28"/>
          <w:szCs w:val="28"/>
        </w:rPr>
        <w:t xml:space="preserve">4.1.2 </w:t>
      </w:r>
      <w:r>
        <w:rPr>
          <w:rFonts w:hint="eastAsia" w:ascii="黑体" w:hAnsi="黑体" w:eastAsia="黑体" w:cs="Helvetica"/>
          <w:b/>
          <w:color w:val="000000" w:themeColor="text1"/>
          <w:kern w:val="0"/>
          <w:sz w:val="28"/>
          <w:szCs w:val="28"/>
        </w:rPr>
        <w:t>日本专利侵权诉讼的反诉及抗辩</w:t>
      </w:r>
      <w:bookmarkEnd w:id="64"/>
      <w:bookmarkEnd w:id="65"/>
    </w:p>
    <w:p>
      <w:pPr>
        <w:ind w:firstLine="480"/>
      </w:pPr>
      <w:r>
        <w:t>被控专利权侵权的人可提出某种所谓的反论以进行抗辩。就此而言，例如，证明专利权人主张的被追诉者的技术为公知技术，是属于相应公知技术的实施行为，从而基于所谓的公知技术进行抗辩，或者进行连带禁止反言的抗辩，即，可以考虑以专利权不能企及在申请过程中有意识排除的事项这一理论为依据，对专利权人主张的事实在申请当时属于申请人（发明人）有意识排除的事项进行的有意识排除主张。</w:t>
      </w:r>
    </w:p>
    <w:p>
      <w:pPr>
        <w:ind w:firstLine="480"/>
      </w:pPr>
      <w:r>
        <w:t>而且，还可以考虑在专利发明整体上其专利权存在无效理由时提出无效这样的抗辩。这是基于在存在专利无效审判请求的场合中，针对专利权侵权手续法院能够中止诉讼手续这样的规定。在这种场合下，专利无效审判在日本的制度中是于专利局中进行的，而专利权侵权是在法院进行的。两者由于各自履行各自的手续，至于何者为先抑或联合进行这在法律上不是原则性问题。但是，针对专利权侵权而被法院临时禁令的专利而言，由于专利局在后下达专利无效判决事务相当复杂，所以，最好考虑尽量先裁决专利无效审判，根据该结果再决定履行专利权侵权手续。</w:t>
      </w:r>
    </w:p>
    <w:p>
      <w:pPr>
        <w:ind w:firstLine="480"/>
      </w:pPr>
      <w:r>
        <w:t>在日本“专利审查基准”（以下简称为“审查基准”）第Ⅱ部分第2章新颖性创造性1.2.4中指出</w:t>
      </w:r>
      <w:r>
        <w:rPr>
          <w:rFonts w:hint="eastAsia" w:ascii="宋体" w:hAnsi="宋体" w:cs="宋体"/>
        </w:rPr>
        <w:t>∶</w:t>
      </w:r>
      <w:r>
        <w:t>技术常识指本领域普通技术人员普遍知道的技术（包含公知技术、惯用技术）或根据经验法则而容易得出的事项。在审查基准第I部分第1章说明书和权利要求的记载要素2.2第36条第6项第2号中给出了“技术常识”、“公知技术”、“惯用技术”的定义。“技术常识”指根据本领域普通技术人员普遍知道的技术或经验法则而容易得出的事项。于是，只要技术常识是本领域普通技术人员普遍知道，则其还包括实验、分析、制造的方法等。本领域普通技术人员是否普遍知道不仅应根据记载该技术的文献的数量来判断，而且还考虑本领域普通技术人员对该技术的关注程度来判断。另外，技术常识为含义比公知惯用技术的概念广的术语。“公知技术”指本技术领域普遍知道的技术，比如，具有与其有关的相当多的公开文献，或在本行业已知，或者不必列举而熟知的技术。另外"惯用技术"为公知技术，并且指常用的技术。</w:t>
      </w:r>
    </w:p>
    <w:p>
      <w:pPr>
        <w:ind w:firstLine="480"/>
      </w:pPr>
      <w:r>
        <w:t>日本专利侵权诉讼中进行抗辩主要依据专利法规定的先用权、现有技术、禁止反悔等原则。此外还包括诸如自己专利抗辩、专利权丧失又恢复时他人的使用权、同一申请人重复申请专利、专利内容公开前实施不侵权、权利用尽、平行进口、科研实践、临时过境、经授权使用、默许使用、搭售等反垄断行为，鉴于篇幅关系，</w:t>
      </w:r>
      <w:r>
        <w:rPr>
          <w:rFonts w:hint="eastAsia"/>
        </w:rPr>
        <w:t>下面</w:t>
      </w:r>
      <w:r>
        <w:t>将择要介绍。</w:t>
      </w:r>
    </w:p>
    <w:p>
      <w:pPr>
        <w:ind w:firstLine="482"/>
      </w:pPr>
      <w:r>
        <w:rPr>
          <w:rFonts w:hint="eastAsia"/>
          <w:b/>
          <w:bCs/>
        </w:rPr>
        <w:t>一、</w:t>
      </w:r>
      <w:r>
        <w:rPr>
          <w:b/>
          <w:bCs/>
        </w:rPr>
        <w:t>在先权抗辩</w:t>
      </w:r>
    </w:p>
    <w:p>
      <w:pPr>
        <w:ind w:firstLine="480"/>
      </w:pPr>
      <w:r>
        <w:t>两项或者两项以上权利，分别归属于不同主体，可能导致相互矛盾或抵触，不免发生权利冲突。当冲突发生时，如果当事人之间不能自行协商解决，难免形成诉讼。对于专利领域，日本专利法第72条规定解决此类诉讼的重要原则之一是保护在先权利原则。该原则的含义有二</w:t>
      </w:r>
      <w:r>
        <w:rPr>
          <w:rFonts w:hint="eastAsia" w:ascii="宋体" w:hAnsi="宋体" w:cs="宋体"/>
        </w:rPr>
        <w:t>∶</w:t>
      </w:r>
      <w:r>
        <w:t>其一，在先权利人指控在后权利人侵权时，在先权利应受到保护，在后权利人不能对抗在先权利人。其二，在后权利人指控在先权利人侵权时，在先权利人可以对抗在后权利人。</w:t>
      </w:r>
    </w:p>
    <w:p>
      <w:pPr>
        <w:ind w:firstLine="480"/>
      </w:pPr>
      <w:r>
        <w:t>从日本的专利权利冲突案件看，既有在先权利人指控在后权利人侵权的案件，也有在后权利人指控在先权利人侵权的案件，涉及专利权与专利权纠纷、专利权与著作权纠纷以及专利权与商品的包装装潢纠纷等。初期，由于缺乏明确的法律依据，日本各地法院的审理思路不统一，做法不尽相同。有的法院以上述纠纷涉及行政管理为由，不予受理，或驳回起诉；有的法院则中止诉讼，等待相关处理结果；有的法院则依据相关法理，保护在先权利；有的法院则以冲突权利均合法为由，驳回当事人诉讼请求。后期，各地做法逐渐统一。按照日本专利法的精神将保护在先权利确立为审理知识产权权利冲突纠纷案件的一项最基本的原则。在适用该原则时，主要有以下做法</w:t>
      </w:r>
      <w:r>
        <w:rPr>
          <w:rFonts w:hint="eastAsia" w:ascii="宋体" w:hAnsi="宋体" w:cs="宋体"/>
        </w:rPr>
        <w:t>∶</w:t>
      </w:r>
      <w:r>
        <w:t>首先，审查在先权利和在后权利的合法性。在先权利和在后权利从形式到内容均应具有合法性，均能够成为一项独立、完整的权利。如果其中一项不合法，则不再从权利冲突角度审查，而径行从权利人与侵权人之间的侵权纠纷方面审理。其次，严格审查不同权利的形成时间，根据“谁主张，谁举证”原则，权利人应对其主张权利和赖以抗辩权利的形成时间负举证责任，并达到优势证据程度。再次，在先权利的效力范围应当覆盖在后权利，如此，在先权利抗辩成立。否则，仍需结合具体案情做进一步分析。</w:t>
      </w:r>
    </w:p>
    <w:p>
      <w:pPr>
        <w:ind w:firstLine="482"/>
        <w:rPr>
          <w:b/>
          <w:bCs/>
        </w:rPr>
      </w:pPr>
      <w:r>
        <w:rPr>
          <w:rFonts w:hint="eastAsia"/>
          <w:b/>
          <w:bCs/>
        </w:rPr>
        <w:t>二、</w:t>
      </w:r>
      <w:r>
        <w:rPr>
          <w:b/>
          <w:bCs/>
        </w:rPr>
        <w:t>先用权抗辩</w:t>
      </w:r>
    </w:p>
    <w:p>
      <w:pPr>
        <w:ind w:firstLine="480"/>
      </w:pPr>
      <w:r>
        <w:t>日本专利法第69条第2款第（2）项规定，专利权的效力在专利申请时，对于用申请专利的方法制造的产品或者申请专利的产品在国内已经存在的物品不适用。这是对先用权的规定。</w:t>
      </w:r>
    </w:p>
    <w:p>
      <w:pPr>
        <w:ind w:firstLine="480"/>
        <w:rPr>
          <w:rFonts w:ascii="宋体" w:hAnsi="宋体" w:cs="宋体"/>
        </w:rPr>
      </w:pPr>
      <w:r>
        <w:t>在专利侵权诉讼中正确适用先用权的关键在于把握先用权成立的条件</w:t>
      </w:r>
      <w:r>
        <w:rPr>
          <w:rFonts w:hint="eastAsia" w:ascii="宋体" w:hAnsi="宋体" w:cs="宋体"/>
        </w:rPr>
        <w:t>∶</w:t>
      </w:r>
    </w:p>
    <w:p>
      <w:pPr>
        <w:ind w:firstLine="480"/>
      </w:pPr>
      <w:r>
        <w:t>（1）时间条件</w:t>
      </w:r>
      <w:r>
        <w:rPr>
          <w:rFonts w:hint="eastAsia" w:ascii="宋体" w:hAnsi="宋体" w:cs="宋体"/>
        </w:rPr>
        <w:t>∶</w:t>
      </w:r>
      <w:r>
        <w:t>在先使用行为必须是在该项专利的申请日或优先权日以前已经制造相同产品、使用相同方法。</w:t>
      </w:r>
    </w:p>
    <w:p>
      <w:pPr>
        <w:ind w:firstLine="480"/>
      </w:pPr>
      <w:r>
        <w:t>（2）独立性条件</w:t>
      </w:r>
      <w:r>
        <w:rPr>
          <w:rFonts w:hint="eastAsia" w:ascii="宋体" w:hAnsi="宋体" w:cs="宋体"/>
        </w:rPr>
        <w:t>∶</w:t>
      </w:r>
      <w:r>
        <w:t>先使用人所使用的发明创造必须是独立完成或者合法获得的且应与专利权人无关，以非法途径得到的发明创造不能产生优先权。</w:t>
      </w:r>
    </w:p>
    <w:p>
      <w:pPr>
        <w:ind w:firstLine="480"/>
      </w:pPr>
      <w:r>
        <w:t>（3）使用性条件</w:t>
      </w:r>
      <w:r>
        <w:rPr>
          <w:rFonts w:hint="eastAsia" w:ascii="宋体" w:hAnsi="宋体" w:cs="宋体"/>
        </w:rPr>
        <w:t>∶</w:t>
      </w:r>
      <w:r>
        <w:t>先使用人必须在他人专利申请日前至少已经做好了制造或者使用的必要准备。</w:t>
      </w:r>
    </w:p>
    <w:p>
      <w:pPr>
        <w:ind w:firstLine="480"/>
      </w:pPr>
      <w:r>
        <w:t>（4）使用范围条件</w:t>
      </w:r>
      <w:r>
        <w:rPr>
          <w:rFonts w:hint="eastAsia" w:ascii="宋体" w:hAnsi="宋体" w:cs="宋体"/>
        </w:rPr>
        <w:t>∶</w:t>
      </w:r>
      <w:r>
        <w:t>先用权的制造或使用行为，只限于原有的范围之内，不得扩大使用范围。</w:t>
      </w:r>
    </w:p>
    <w:p>
      <w:pPr>
        <w:ind w:firstLine="480"/>
      </w:pPr>
      <w:r>
        <w:t>无论将先用权理解为独立的权利，还是抗辩权，均不影响其对专利权的限制。实践中，当被控侵权人提出先用权抗辩的，日本的做法是</w:t>
      </w:r>
      <w:r>
        <w:rPr>
          <w:rFonts w:hint="eastAsia" w:ascii="宋体" w:hAnsi="宋体" w:cs="宋体"/>
        </w:rPr>
        <w:t>∶</w:t>
      </w:r>
      <w:r>
        <w:t>首先将权利要求记载的全部必要技术特征与被控侵权物的相应技术特征进行对比，判断二者是否相同或等同，如果既不相同也不等同，直接驳回原告的诉讼请求；如果相同或等同成立，便接着审查先用权抗辩是否成立。</w:t>
      </w:r>
    </w:p>
    <w:p>
      <w:pPr>
        <w:ind w:firstLine="480"/>
      </w:pPr>
      <w:r>
        <w:t>判定先用权抗辩是否成立的关键在于，如何准确地理解先用权抗辩人是否“已经制造相同产品、使用相同方法”、“已经做好制造、使用的必要准备”以及“仅在原有范围内继续制造、使用”。是否“已经制造相同产品、使用相同方法”比较容易把握，可以审查先用权抗辩人的相关生产记录、仓储情况等。</w:t>
      </w:r>
    </w:p>
    <w:p>
      <w:pPr>
        <w:ind w:firstLine="482"/>
        <w:rPr>
          <w:b/>
          <w:bCs/>
        </w:rPr>
      </w:pPr>
      <w:r>
        <w:rPr>
          <w:rFonts w:hint="eastAsia"/>
          <w:b/>
          <w:bCs/>
        </w:rPr>
        <w:t>三、</w:t>
      </w:r>
      <w:r>
        <w:rPr>
          <w:b/>
          <w:bCs/>
        </w:rPr>
        <w:t>现有技术抗辩</w:t>
      </w:r>
    </w:p>
    <w:p>
      <w:pPr>
        <w:ind w:firstLine="480"/>
      </w:pPr>
      <w:r>
        <w:t>日本专利法规定，未作出宣告专利无效的决定，即便专利存在某些瑕疵，法院也必须将该专利视为有效。在该背景的下，日本法院积极探讨现有技术抗辩的法律适用，在专利侵权诉讼中积极参考公知技术，建立了非常完整的判例理论，如公知技术排外论、公共财产论、权利滥用论等，旨在平衡专利权人和社会公众的利益。2000年日本最高法院的Kilby案判决之前，日本法院在侵权诉讼中一概不涉及专利无效的问题，严格遵循职权分离原则。如1962年12月7日，日本最高法院判决指出，"与专利无效审判不同，确认权利要求范围的审判是以专利权有效为前提的，因此，在这样的诉讼中不能讨论专利的内容是否为现有技术的问题"。需要指出的是，该阶段还存在现有技术排除说和自由技术抗辩说。如1964年8月4日，日本最高法院判决指出，"如果实用新型包含有申请时已经公开的技术，应将上述现有技术排除在具有新颖性的方案之外"。也就是说，将现有技术作为限制权利要求保护范围的方式。再如1970年4月17日，日本东京地方法院判决指出，“申请时现有的技术属于公众共有的财产，根据私权应当服从公共利益的原则，即使对公众共有的财产加上实用新型的名义，也没有禁止他人实施而由特定申请人独占行使的理由”。该学说认为，如果被控侵权人实施的技术是现有技术，不管该技术是否属于专利权利要求的保护范围，都不构成侵权。2000年，日本最高法院在“无限折动用滚珠花键轴承”案中，提出了适用等同原则的五个要素</w:t>
      </w:r>
      <w:r>
        <w:rPr>
          <w:rFonts w:hint="eastAsia" w:ascii="宋体" w:hAnsi="宋体" w:cs="宋体"/>
        </w:rPr>
        <w:t>∶</w:t>
      </w:r>
      <w:r>
        <w:t>非本质部分、置换可能性、置换容易性、非公知技术和特别事由（禁止反悔）。其中，“非公知技术”这一要素就是现有技术抗辩。也就是说，被控侵权技术与专利申请时的公知技术或者本领域普通技术人员在专利申请日容易从公知技术中推导得出的技术并不相同。可见，在日本的现有技术抗辩中，采用的对比方式是被控侵权技术与现有技术之间的单独对比。</w:t>
      </w:r>
    </w:p>
    <w:p>
      <w:pPr>
        <w:ind w:firstLine="480"/>
      </w:pPr>
      <w:r>
        <w:t>就对比标准而言，日本法院曾经存在争议。1980年5月9日，日本东京地方法院在“生检针”案中指出，只有与公知技术完全相同的技术，才能成立现有技术抗辩。1990年日本大阪地方法院在“模具装卸工具”案中持有相同观点。另外一种观点认为，被控侵权技术与公知技术之间的对比应当是创造性标准。1981年日本东京地方法院在“包装容器”案中使用了根据两件从公知技术中容易推知的技术进行判断。日本最高法院在“无限折动用滚珠花键轴承”案中肯定了第二种观点，将其范围扩大到与公知技术相同的技术以及本领域普通技术人员在专利申请日容易从公知技术中推导得出的技术。其中，“从公知技术中容易推导得出”的判断标准，与专利法有关创造性的标准是相当的。可见，在日本的现有技术抗辩中，采用的对比标准包括新颖性和创造性。</w:t>
      </w:r>
    </w:p>
    <w:p>
      <w:pPr>
        <w:ind w:firstLine="482"/>
        <w:rPr>
          <w:b/>
          <w:bCs/>
        </w:rPr>
      </w:pPr>
      <w:r>
        <w:rPr>
          <w:rFonts w:hint="eastAsia"/>
          <w:b/>
          <w:bCs/>
        </w:rPr>
        <w:t>四、</w:t>
      </w:r>
      <w:r>
        <w:rPr>
          <w:b/>
          <w:bCs/>
        </w:rPr>
        <w:t>禁止反悔原则抗辩</w:t>
      </w:r>
    </w:p>
    <w:p>
      <w:pPr>
        <w:ind w:firstLine="482"/>
        <w:rPr>
          <w:rFonts w:asciiTheme="majorEastAsia" w:hAnsiTheme="majorEastAsia" w:eastAsiaTheme="majorEastAsia"/>
          <w:b/>
          <w:bCs/>
        </w:rPr>
      </w:pPr>
      <w:r>
        <w:rPr>
          <w:rFonts w:asciiTheme="majorEastAsia" w:hAnsiTheme="majorEastAsia" w:eastAsiaTheme="majorEastAsia"/>
          <w:b/>
          <w:bCs/>
        </w:rPr>
        <w:t>1</w:t>
      </w:r>
      <w:r>
        <w:rPr>
          <w:rFonts w:hint="eastAsia" w:asciiTheme="majorEastAsia" w:hAnsiTheme="majorEastAsia" w:eastAsiaTheme="majorEastAsia"/>
          <w:b/>
          <w:bCs/>
        </w:rPr>
        <w:t>．</w:t>
      </w:r>
      <w:r>
        <w:rPr>
          <w:rFonts w:asciiTheme="majorEastAsia" w:hAnsiTheme="majorEastAsia" w:eastAsiaTheme="majorEastAsia"/>
          <w:b/>
          <w:bCs/>
        </w:rPr>
        <w:t>禁止反悔原则</w:t>
      </w:r>
    </w:p>
    <w:p>
      <w:pPr>
        <w:ind w:firstLine="480"/>
      </w:pPr>
      <w:r>
        <w:t>权利要求界定了专利权保护范围的边界，社会公众（特别是专利权人的竞争对手）根据权利要求的记载评估自己行为是否会构成专利侵权。由于等同侵权将专利权的保护范围延伸到权利要求字面含义之外，社会公众根据权利要求的记载评估自己行为是否会构成专利侵权的确定性就会降低，权利要求的公众告示功能就会受到一定的影响。禁止反悔原则的作用就在于将等同侵权的适用限定在一个恰当的范围，以确保权利要求的公众告示功能。</w:t>
      </w:r>
    </w:p>
    <w:p>
      <w:pPr>
        <w:ind w:firstLine="480"/>
      </w:pPr>
      <w:r>
        <w:t>本质上，禁止反悔原则寻求的是要实现权利要求的公众告示功能。禁止反悔原则限制根据等同原则主张侵权的权利要求的等同特征范围，排除在专利审查过程中为了获得专利权而放弃了的等同特征。等同特征的放弃发生于申请人在专利审查过程中进行的限制性修改或者限定性地陈述。通常地，法律允许公众依赖审查过程中明显放弃的内容进行其行为。关于修改导致禁止反悔的公众告示功能，美国最高法院解释说，当专利权人针对专利局的驳回理由缩小其权利要求时，禁止反悔原则禁止专利权人后来主张由原来宽范围权利要求覆盖的内容只不过是获得授权的窄范围权利要求的等同物。竞争者可以依赖禁止反悔原则确信他们自己的行为不会因为等同而被认定侵权。禁止反悔原则确保等同原则符合其本质目的，阻止等同原则的扩大使用。</w:t>
      </w:r>
    </w:p>
    <w:p>
      <w:pPr>
        <w:ind w:firstLine="482"/>
        <w:rPr>
          <w:rFonts w:asciiTheme="majorEastAsia" w:hAnsiTheme="majorEastAsia" w:eastAsiaTheme="majorEastAsia"/>
          <w:b/>
          <w:bCs/>
        </w:rPr>
      </w:pPr>
      <w:r>
        <w:rPr>
          <w:rFonts w:asciiTheme="majorEastAsia" w:hAnsiTheme="majorEastAsia" w:eastAsiaTheme="majorEastAsia"/>
          <w:b/>
          <w:bCs/>
        </w:rPr>
        <w:t>2</w:t>
      </w:r>
      <w:r>
        <w:rPr>
          <w:rFonts w:hint="eastAsia" w:asciiTheme="majorEastAsia" w:hAnsiTheme="majorEastAsia" w:eastAsiaTheme="majorEastAsia"/>
          <w:b/>
          <w:bCs/>
        </w:rPr>
        <w:t>．</w:t>
      </w:r>
      <w:r>
        <w:rPr>
          <w:rFonts w:asciiTheme="majorEastAsia" w:hAnsiTheme="majorEastAsia" w:eastAsiaTheme="majorEastAsia"/>
          <w:b/>
          <w:bCs/>
        </w:rPr>
        <w:t>原则的具体适用</w:t>
      </w:r>
    </w:p>
    <w:p>
      <w:pPr>
        <w:ind w:firstLine="480"/>
      </w:pPr>
      <w:r>
        <w:t>在前述的“无限折动用滚珠花键轴承”案中，日本最高法院第一次确认专利侵权可以适用等同原则。在该案中，日本最高法院认为，即使被控侵权物与权利要求记载的技术特征存在差异，在满足五个要素的情况下，被控侵权物作为权利要求范围记载构成的等同物，仍属于专利发明的技术范围。日本法院关于等同侵权认定的第一至第三要素，相当于美国认定等同侵权的条件；第四要素是从公知技术方面对等同侵权的认定进行限制；第五要素相当于从禁止反悔原则方面对等同侵权的认定进行限制。</w:t>
      </w:r>
    </w:p>
    <w:p>
      <w:pPr>
        <w:ind w:firstLine="480"/>
      </w:pPr>
      <w:r>
        <w:t>虽然第一至第三要素是认定等同侵权的关键，但相当于禁止反悔原则的第五要素仍对等同侵权作了更严格的限制。在上述案件中，日本最高法院对第五要素的解释是，在专利申请过程中，申请人从权利要求范围中有意识地排除的内容等，一旦专利权人承认它不属于专利发明的技术范围，或者从表面上看专利权人的行为可以被认为具有上述意思，专利权人其后再提出与此不同的主张，按照禁止反悔原则是不能被允许的。</w:t>
      </w:r>
    </w:p>
    <w:p>
      <w:pPr>
        <w:ind w:firstLine="480"/>
      </w:pPr>
      <w:r>
        <w:t>日本法院认为，根据回应专利局的拒绝理由通知以及撤销理由通知等，为了避免专利申请被拒绝或者专利被撤销或者无效，专利权人对权利要求的范围进行了减缩性补正的情况，通常要对权利要求的范围进行限定解释，如果权利要求的文字字面含义不包括被控侵权物，就应当认为被控侵权物属于专利申请过程中从权利要求的范围中有意识地排除的。这时，应当认定不符合等同原则的第五要素。对于专利权人非为回避拒绝理由而对权利要求进行的补正，主流意见的看法与为回避拒绝理由而进行的补正一样。另外，日本法院认为，如果对于本领域普通技术人员来说，在专利申请时将包含某变换技术特征的技术包括在权利要求中是容易做到的，专利申请人没有这样做，则属于专利申请人的意识限定，按不符合等同原则的第五要素处理。</w:t>
      </w:r>
    </w:p>
    <w:p>
      <w:pPr>
        <w:ind w:firstLine="480"/>
      </w:pPr>
      <w:r>
        <w:t>由此可见，日本法院判决中禁止反悔对等同侵权认定的限制作用比美国法院判决中对等同侵权认定的限制作用还要大，限定的范围还要宽。在日本法院没有认定等同侵权的168件判决中，以不满足第五要素而没有认定等同侵权的为55件，主要体现为禁止反悔原则的第五要素仅次于第一要素是认定等同的第二大障碍。</w:t>
      </w:r>
    </w:p>
    <w:p>
      <w:pPr>
        <w:ind w:firstLine="482"/>
        <w:rPr>
          <w:b/>
          <w:bCs/>
        </w:rPr>
      </w:pPr>
      <w:r>
        <w:rPr>
          <w:rFonts w:hint="eastAsia"/>
          <w:b/>
          <w:bCs/>
        </w:rPr>
        <w:t>五、</w:t>
      </w:r>
      <w:r>
        <w:rPr>
          <w:b/>
          <w:bCs/>
        </w:rPr>
        <w:t>合理使用抗辩</w:t>
      </w:r>
    </w:p>
    <w:p>
      <w:pPr>
        <w:ind w:firstLine="480"/>
      </w:pPr>
      <w:r>
        <w:t>日本专利法第69条规定了专利权效力例外的情况，该条规定专利权的效力不适用于为试验或研究而实施的发明专利。具体不适用的范围一是仅在日本过境的船舶或飞机，或供其使用的机械、器具、装置及其他物品；二是在专利申请时，在日本国内已存在的物品。同时还专门对药物制造作出进一步的规定，由两种以上药物（指供人类疾病的诊断、治疗、手术及预防用的药物）混合配制的医药发明以及属于两种以上医药混合的制药方法的专利权效力，不适用于医师和牙医处方的调剂行为和按医师及牙医处方调剂的药物。</w:t>
      </w:r>
    </w:p>
    <w:p>
      <w:pPr>
        <w:ind w:firstLine="482"/>
        <w:rPr>
          <w:b/>
          <w:bCs/>
        </w:rPr>
      </w:pPr>
      <w:r>
        <w:rPr>
          <w:rFonts w:hint="eastAsia"/>
          <w:b/>
          <w:bCs/>
        </w:rPr>
        <w:t>六、</w:t>
      </w:r>
      <w:r>
        <w:rPr>
          <w:b/>
          <w:bCs/>
        </w:rPr>
        <w:t>专利滥用（无效）抗辩</w:t>
      </w:r>
    </w:p>
    <w:p>
      <w:pPr>
        <w:ind w:firstLine="480"/>
      </w:pPr>
      <w:r>
        <w:t>在日本，“滥用专利”也是专利侵权抗辩的依据。滥用专利的抗辩通常与在先技术抗辩以及专利权的无效联系在一起。运用专利无效来抵制专利滥用在日本有个发展认识的过程，这个过程凸显出专利侵权与确权相互间的冲突，这个冲突将专利无效和专利滥用紧密联系在一起。</w:t>
      </w:r>
    </w:p>
    <w:p>
      <w:pPr>
        <w:ind w:firstLine="480"/>
        <w:rPr>
          <w:rFonts w:hint="eastAsia"/>
        </w:rPr>
      </w:pPr>
      <w:r>
        <w:t>现行日本专利法规定，侵犯专利权或专用实施权的诉讼中，认定该专利经专利无效审判应当无效时，专利权人或独占实施许可人不得向对方当事人行使其权利（日本专利法第104条第3款）。这个条款已经涵盖了所有的无效宣告理由，在专利侵权诉讼中，被告可以依据原告所主张的专利权中存在无效事由为理由，要求（抗辩）撤销相关诉讼。按照该条款的第（2）项的规定，专利无效，不但可以作为侵权诉讼被告人的抗辩方法，而且可以作为侵权诉讼中被告人攻击专利权人的方法，但是不管是作为攻击还是防御方法，如果被告具有以此为手段，以达到不当延迟侵权诉讼审理的目的，则法院可以直接驳回被告人提起专利无效准司法程序的申请。这种规定明显是为了平衡专利权人和侵权行为人的利益关系而作出的设计。既然专利权人可能因为法院运用权力不得滥用的法理禁止其使用权利，侵权行为也不能滥用诉权延迟审判，以达到毁灭证据等不正当目的。其实质是对侵权行为人滥用专利无效抗辩程序采取的防御措施。</w:t>
      </w:r>
    </w:p>
    <w:p>
      <w:pPr>
        <w:ind w:firstLine="562"/>
        <w:outlineLvl w:val="1"/>
        <w:rPr>
          <w:rFonts w:ascii="黑体" w:hAnsi="黑体" w:eastAsia="黑体"/>
          <w:b/>
          <w:bCs/>
          <w:sz w:val="28"/>
          <w:szCs w:val="28"/>
        </w:rPr>
      </w:pPr>
      <w:bookmarkStart w:id="66" w:name="_Toc203057574"/>
      <w:r>
        <w:rPr>
          <w:rFonts w:ascii="黑体" w:hAnsi="黑体" w:eastAsia="黑体"/>
          <w:b/>
          <w:bCs/>
          <w:sz w:val="28"/>
          <w:szCs w:val="28"/>
        </w:rPr>
        <w:t>4</w:t>
      </w:r>
      <w:r>
        <w:rPr>
          <w:rFonts w:hint="eastAsia" w:ascii="黑体" w:hAnsi="黑体" w:eastAsia="黑体"/>
          <w:b/>
          <w:bCs/>
          <w:sz w:val="28"/>
          <w:szCs w:val="28"/>
        </w:rPr>
        <w:t>.</w:t>
      </w:r>
      <w:r>
        <w:rPr>
          <w:rFonts w:ascii="黑体" w:hAnsi="黑体" w:eastAsia="黑体"/>
          <w:b/>
          <w:bCs/>
          <w:sz w:val="28"/>
          <w:szCs w:val="28"/>
        </w:rPr>
        <w:t xml:space="preserve">2 </w:t>
      </w:r>
      <w:r>
        <w:rPr>
          <w:rFonts w:hint="eastAsia" w:ascii="黑体" w:hAnsi="黑体" w:eastAsia="黑体"/>
          <w:b/>
          <w:bCs/>
          <w:sz w:val="28"/>
          <w:szCs w:val="28"/>
        </w:rPr>
        <w:t>美国知识产权风险防控分析</w:t>
      </w:r>
      <w:bookmarkEnd w:id="66"/>
    </w:p>
    <w:p>
      <w:pPr>
        <w:ind w:firstLine="562"/>
        <w:outlineLvl w:val="2"/>
        <w:rPr>
          <w:rFonts w:ascii="黑体" w:hAnsi="黑体" w:eastAsia="黑体" w:cs="Helvetica"/>
          <w:b/>
          <w:color w:val="000000" w:themeColor="text1"/>
          <w:kern w:val="0"/>
          <w:sz w:val="28"/>
          <w:szCs w:val="28"/>
        </w:rPr>
      </w:pPr>
      <w:bookmarkStart w:id="67" w:name="_Toc203057575"/>
      <w:bookmarkStart w:id="68" w:name="_Toc121146302"/>
      <w:r>
        <w:rPr>
          <w:rFonts w:ascii="黑体" w:hAnsi="黑体" w:eastAsia="黑体" w:cs="Helvetica"/>
          <w:b/>
          <w:color w:val="000000" w:themeColor="text1"/>
          <w:kern w:val="0"/>
          <w:sz w:val="28"/>
          <w:szCs w:val="28"/>
        </w:rPr>
        <w:t xml:space="preserve">4.2.1 </w:t>
      </w:r>
      <w:r>
        <w:rPr>
          <w:rFonts w:hint="eastAsia" w:ascii="黑体" w:hAnsi="黑体" w:eastAsia="黑体" w:cs="Helvetica"/>
          <w:b/>
          <w:color w:val="000000" w:themeColor="text1"/>
          <w:kern w:val="0"/>
          <w:sz w:val="28"/>
          <w:szCs w:val="28"/>
        </w:rPr>
        <w:t>美国专利侵权行为的认定</w:t>
      </w:r>
      <w:bookmarkEnd w:id="67"/>
      <w:bookmarkEnd w:id="68"/>
    </w:p>
    <w:p>
      <w:pPr>
        <w:ind w:firstLine="480"/>
      </w:pPr>
      <w:r>
        <w:t>在美国，对专利侵权的制裁来源于美国专利法第271条的规定。构成专利侵权的基本要求是被主张侵权的装置、组合物、方法等包含争议权利要求的全部技术特征。美国专利法除了规定直接侵权之外，也规定了间接侵权。</w:t>
      </w:r>
    </w:p>
    <w:p>
      <w:pPr>
        <w:ind w:firstLine="482"/>
        <w:rPr>
          <w:b/>
          <w:bCs/>
        </w:rPr>
      </w:pPr>
      <w:bookmarkStart w:id="69" w:name="_Toc121146303"/>
      <w:r>
        <w:rPr>
          <w:rFonts w:hint="eastAsia"/>
          <w:b/>
          <w:bCs/>
        </w:rPr>
        <w:t>一、直接侵权</w:t>
      </w:r>
      <w:bookmarkEnd w:id="69"/>
    </w:p>
    <w:p>
      <w:pPr>
        <w:ind w:firstLine="480"/>
      </w:pPr>
      <w:r>
        <w:t>直接侵权是指在专利权的有效期间内，他人未经授权而行使了专利权人排他性的权利。确定侵权，首先要解释权利要求和确定专利权保护范围，然后将权利要求的范围与侵权产品或方法进行比较。在美国前者是一个法律问题，由法官解决；后者是一个事实问题，由陪审团解决。</w:t>
      </w:r>
    </w:p>
    <w:p>
      <w:pPr>
        <w:ind w:firstLine="480"/>
      </w:pPr>
      <w:r>
        <w:t>如果权利要求中的每一个技术特征都清楚而具体地见于侵权产品或方法之中，就属于“字面侵权”或者“不折不扣的侵权”。所谓“字面侵权”是就权利要求书的文字来说的；所谓“不折不扣的侵权”是说侵权产品或方法清楚而具体的落入专利权的保护范围。就字面侵权来说，并非要求专利权利要求中的技术特征与侵权产品或方法所使用的技术方案完全一致，而是说相关权利要求中的每一项技术特征都在侵权产品或方法中得到了体现。举例来说，原告权利要求中的技术特征有三项 a、b、c，而被告侵权产品所使用的技术方案涉及a、b、c、d。此时被告的产品对原告专利来说仍然属于“字面侵权”，即使被告在产品中加入的技术特征d对原专利来说是一项重大改进也不能改变其侵犯了原告专利的事实。相反，如果被告产品或方法使用的技术方案相对于原告专利来说并没有包含其权利要求中的全部技术特征，则这种实施方式不能被判断为专利侵权。</w:t>
      </w:r>
    </w:p>
    <w:p>
      <w:pPr>
        <w:ind w:firstLine="480"/>
      </w:pPr>
      <w:r>
        <w:t>在现实生活中，完全使用专利权利要求中的全部技术特征是非常少见的，更多的情况是侵权人所生产的产品或在生产制造过程中所使用的方法对专利权利要求中的技术特征作出了少许的改进。判断这种情况是否侵权就需要应用前文在讨论专利权利的保护范围时所提到的等同原则，如果按照等同原则的观点，被控侵权产品或方法是实质性地使用了专利权利要求中的全部技术特征，实现了相同的功能并达到了实质等同的技术效果，则仍然属于侵权行为，这种侵权被称为"等同侵权"。</w:t>
      </w:r>
    </w:p>
    <w:p>
      <w:pPr>
        <w:ind w:firstLine="482"/>
        <w:rPr>
          <w:b/>
          <w:bCs/>
        </w:rPr>
      </w:pPr>
      <w:bookmarkStart w:id="70" w:name="_Toc121146304"/>
      <w:r>
        <w:rPr>
          <w:rFonts w:hint="eastAsia"/>
          <w:b/>
          <w:bCs/>
        </w:rPr>
        <w:t>二、间接侵权</w:t>
      </w:r>
      <w:bookmarkEnd w:id="70"/>
    </w:p>
    <w:p>
      <w:pPr>
        <w:ind w:firstLine="480"/>
      </w:pPr>
      <w:r>
        <w:t>在美国专利法上，间接侵权是指第三人的行为诱导或者促成了他人的直接侵权。在这里第三人虽然没有直接侵犯专利权，但他的行为却诱导或促成了他人的直接侵权行为。</w:t>
      </w:r>
    </w:p>
    <w:p>
      <w:pPr>
        <w:ind w:firstLine="482"/>
      </w:pPr>
      <w:r>
        <w:rPr>
          <w:rFonts w:asciiTheme="minorEastAsia" w:hAnsiTheme="minorEastAsia" w:eastAsiaTheme="minorEastAsia"/>
          <w:b/>
          <w:bCs/>
        </w:rPr>
        <w:t>1</w:t>
      </w:r>
      <w:r>
        <w:rPr>
          <w:rFonts w:hint="eastAsia" w:asciiTheme="minorEastAsia" w:hAnsiTheme="minorEastAsia" w:eastAsiaTheme="minorEastAsia"/>
          <w:b/>
          <w:bCs/>
        </w:rPr>
        <w:t>．</w:t>
      </w:r>
      <w:r>
        <w:rPr>
          <w:b/>
          <w:bCs/>
        </w:rPr>
        <w:t>间接侵权的种类和概念</w:t>
      </w:r>
    </w:p>
    <w:p>
      <w:pPr>
        <w:ind w:firstLine="480"/>
      </w:pPr>
      <w:r>
        <w:t>在美国专利法上，间接侵权主要有两种</w:t>
      </w:r>
      <w:r>
        <w:rPr>
          <w:rFonts w:hint="eastAsia" w:ascii="宋体" w:hAnsi="宋体" w:cs="宋体"/>
        </w:rPr>
        <w:t>∶</w:t>
      </w:r>
      <w:r>
        <w:t>引诱侵权和帮助侵权。美国专利法第271条b款规定</w:t>
      </w:r>
      <w:r>
        <w:rPr>
          <w:rFonts w:hint="eastAsia" w:ascii="宋体" w:hAnsi="宋体" w:cs="宋体"/>
        </w:rPr>
        <w:t>∶</w:t>
      </w:r>
      <w:r>
        <w:rPr>
          <w:rFonts w:cs="Times New Roman"/>
        </w:rPr>
        <w:t>“</w:t>
      </w:r>
      <w:r>
        <w:t>积极引诱侵犯专利权的人将作为侵权者承担责任。”引诱侵权是指侵权人故意或有意诱导或协助他人直接侵犯专利权的行为。在这里，首先是引诱侵权者故意实施了某种行为，其次是直接侵权人在引诱侵权者的行为诱导下实施了直接侵权行为。</w:t>
      </w:r>
    </w:p>
    <w:p>
      <w:pPr>
        <w:ind w:firstLine="480"/>
      </w:pPr>
      <w:r>
        <w:t>帮助侵权是指侵权人故意销售、许诺销售或进口他人专利中的重要组成部分，而购买者也确实实施了侵犯他人专利的行为。构成帮助侵权需要满足两个重要条件</w:t>
      </w:r>
      <w:r>
        <w:rPr>
          <w:rFonts w:hint="eastAsia" w:ascii="宋体" w:hAnsi="宋体" w:cs="宋体"/>
        </w:rPr>
        <w:t>∶</w:t>
      </w:r>
      <w:r>
        <w:t>一是侵权人明知他所销售、许诺销售或进口的产品是他人发明专利中的特有组成部分，而且除了用于实施他人的专利之外没有其他明显的用途；二是购买者确实实施了直接侵犯他人专利的行为。</w:t>
      </w:r>
    </w:p>
    <w:p>
      <w:pPr>
        <w:ind w:firstLine="480"/>
      </w:pPr>
      <w:r>
        <w:t>关于专利直接侵权和间接侵权的关系，美国联邦巡回上诉法院在190年的“惠普公司”案中有过详细的叙述</w:t>
      </w:r>
      <w:r>
        <w:rPr>
          <w:rFonts w:hint="eastAsia" w:ascii="宋体" w:hAnsi="宋体" w:cs="宋体"/>
        </w:rPr>
        <w:t>∶</w:t>
      </w:r>
      <w:r>
        <w:t>在1952年美国专利法颁布之前，法律中没有界定侵权构成的条文。但是侵权在司法中被分为两类</w:t>
      </w:r>
      <w:r>
        <w:rPr>
          <w:rFonts w:hint="eastAsia" w:ascii="宋体" w:hAnsi="宋体" w:cs="宋体"/>
        </w:rPr>
        <w:t>∶</w:t>
      </w:r>
      <w:r>
        <w:t>"直接侵权”，即未经侵权而制造、使用或销售发明专利权覆盖的产品；“共同侵权”，即所有的虽然没有技术上的制造、使用或销售，但被告显示了足够的过错性的其他活动，以至于可以认定被告为侵权者并应当承担责任。这种责任是基于共同侵权行为理论。根据这一理论，某人故意促使、帮助和教唆他人实施侵权行为，则应当与主要侵权者负共同的和单独的责任。1952年颁布了美国专利法，不仅在法典上规定了直接侵权，而且把“共同侵权”分成了“引诱侵权”和“帮助侵权”。直接侵权与间接侵权的区别在于，前者存在技术层面上的制造、使用或销售有关专利产品的行为，而后者不存在技术层面上的制造、使用或销售有关专利产品的行为。</w:t>
      </w:r>
    </w:p>
    <w:p>
      <w:pPr>
        <w:ind w:firstLine="482"/>
        <w:rPr>
          <w:b/>
          <w:bCs/>
        </w:rPr>
      </w:pPr>
      <w:r>
        <w:rPr>
          <w:rFonts w:asciiTheme="minorEastAsia" w:hAnsiTheme="minorEastAsia" w:eastAsiaTheme="minorEastAsia"/>
          <w:b/>
          <w:bCs/>
        </w:rPr>
        <w:t>2</w:t>
      </w:r>
      <w:r>
        <w:rPr>
          <w:rFonts w:hint="eastAsia" w:asciiTheme="minorEastAsia" w:hAnsiTheme="minorEastAsia" w:eastAsiaTheme="minorEastAsia"/>
          <w:b/>
          <w:bCs/>
        </w:rPr>
        <w:t>．</w:t>
      </w:r>
      <w:r>
        <w:rPr>
          <w:b/>
          <w:bCs/>
        </w:rPr>
        <w:t>间接侵权的认定</w:t>
      </w:r>
    </w:p>
    <w:p>
      <w:pPr>
        <w:ind w:firstLine="480"/>
      </w:pPr>
      <w:r>
        <w:t>间接侵权与直接侵权在认定方面最大的不同在于，侵权者的主观意图是间接侵权的必要条件。在认定直接侵权方面，无论侵权者主观上是否知道自己的行为侵犯了他人的专利权，也不论他是否有可能知道自己的行为侵犯了他人的专利权，只要有客观的侵权事实存在，就可以判定为侵权。然而在专利侵权的间接侵权认定上，行为人的主观意图却成为侵权成立的要件之一。在引诱侵权中，是行为人故意诱导或者协助他人侵犯专利权，在帮助侵权场合，则是行为人故意销售、许诺销售或进口他人发明专利的重要组成部分，并由此而帮助实现了对专利权的侵犯。美国专利法第271条使用了“积极引诱”、“知道”等字眼。如果没有这种积极的主观意图，则不存在间接侵权。</w:t>
      </w:r>
    </w:p>
    <w:p>
      <w:pPr>
        <w:ind w:firstLine="480"/>
      </w:pPr>
      <w:r>
        <w:t>在认定间接侵权方面，除了需要侵权者具有积极的主观意图之外，直接侵权行为的发生也是一个必要条件。如果不存在直接侵权行为，无论相关当事人的主观意图如何均不得认定间接侵权的存在。在前述“爱若”案中，被告同时向通用公司和福特公司的用户出售了可供更换的纺织物。美国最高法院裁定，通用公司获得了制造和销售可折叠汽车顶部的专利授权，通用汽车的用户更换顶部纺织物的行为属于“修理”而非“制造”，没有发生直接侵权，因此间接侵权行为也没有发生。而福特公司没有获得制造和销售该可折叠汽车顶部的授权，福特公司的用户更换顶部纺织物的行为属于"制造"，直接侵犯了原告的专利权。与此相应，被告向福特汽车所有人出售可更换纺织物的行为也构成间接侵权。可以说，此案非常鲜明地说明了直接侵权和间接侵权的联系，也具体的说明了认定间接侵权的所有要件。</w:t>
      </w:r>
    </w:p>
    <w:p>
      <w:pPr>
        <w:ind w:firstLine="562"/>
        <w:outlineLvl w:val="2"/>
        <w:rPr>
          <w:rFonts w:ascii="黑体" w:hAnsi="黑体" w:eastAsia="黑体" w:cs="Helvetica"/>
          <w:b/>
          <w:color w:val="000000" w:themeColor="text1"/>
          <w:kern w:val="0"/>
          <w:sz w:val="28"/>
          <w:szCs w:val="28"/>
        </w:rPr>
      </w:pPr>
      <w:bookmarkStart w:id="71" w:name="_Toc121146305"/>
      <w:bookmarkStart w:id="72" w:name="_Toc203057576"/>
      <w:r>
        <w:rPr>
          <w:rFonts w:ascii="黑体" w:hAnsi="黑体" w:eastAsia="黑体" w:cs="Helvetica"/>
          <w:b/>
          <w:color w:val="000000" w:themeColor="text1"/>
          <w:kern w:val="0"/>
          <w:sz w:val="28"/>
          <w:szCs w:val="28"/>
        </w:rPr>
        <w:t xml:space="preserve">4.2.2 </w:t>
      </w:r>
      <w:bookmarkEnd w:id="71"/>
      <w:r>
        <w:rPr>
          <w:rFonts w:hint="eastAsia" w:ascii="黑体" w:hAnsi="黑体" w:eastAsia="黑体" w:cs="Helvetica"/>
          <w:b/>
          <w:color w:val="000000" w:themeColor="text1"/>
          <w:kern w:val="0"/>
          <w:sz w:val="28"/>
          <w:szCs w:val="28"/>
        </w:rPr>
        <w:t>“3</w:t>
      </w:r>
      <w:r>
        <w:rPr>
          <w:rFonts w:ascii="黑体" w:hAnsi="黑体" w:eastAsia="黑体" w:cs="Helvetica"/>
          <w:b/>
          <w:color w:val="000000" w:themeColor="text1"/>
          <w:kern w:val="0"/>
          <w:sz w:val="28"/>
          <w:szCs w:val="28"/>
        </w:rPr>
        <w:t>37</w:t>
      </w:r>
      <w:r>
        <w:rPr>
          <w:rFonts w:hint="eastAsia" w:ascii="黑体" w:hAnsi="黑体" w:eastAsia="黑体" w:cs="Helvetica"/>
          <w:b/>
          <w:color w:val="000000" w:themeColor="text1"/>
          <w:kern w:val="0"/>
          <w:sz w:val="28"/>
          <w:szCs w:val="28"/>
        </w:rPr>
        <w:t>调查”及常规应对策略</w:t>
      </w:r>
      <w:bookmarkEnd w:id="72"/>
    </w:p>
    <w:p>
      <w:pPr>
        <w:ind w:firstLine="480"/>
        <w:rPr>
          <w:rFonts w:hAnsi="宋体" w:cs="Times New Roman"/>
        </w:rPr>
      </w:pPr>
      <w:r>
        <w:rPr>
          <w:rFonts w:cs="Times New Roman"/>
        </w:rPr>
        <w:t>“337</w:t>
      </w:r>
      <w:r>
        <w:rPr>
          <w:rFonts w:hAnsi="宋体" w:cs="Times New Roman"/>
        </w:rPr>
        <w:t>调查</w:t>
      </w:r>
      <w:r>
        <w:rPr>
          <w:rFonts w:cs="Times New Roman"/>
        </w:rPr>
        <w:t>”</w:t>
      </w:r>
      <w:r>
        <w:rPr>
          <w:rFonts w:hAnsi="宋体" w:cs="Times New Roman"/>
        </w:rPr>
        <w:t>制度：根据美国《</w:t>
      </w:r>
      <w:r>
        <w:rPr>
          <w:rFonts w:cs="Times New Roman"/>
        </w:rPr>
        <w:t>1930</w:t>
      </w:r>
      <w:r>
        <w:rPr>
          <w:rFonts w:hAnsi="宋体" w:cs="Times New Roman"/>
        </w:rPr>
        <w:t>年关税法》第</w:t>
      </w:r>
      <w:r>
        <w:rPr>
          <w:rFonts w:cs="Times New Roman"/>
        </w:rPr>
        <w:t>337</w:t>
      </w:r>
      <w:r>
        <w:rPr>
          <w:rFonts w:hAnsi="宋体" w:cs="Times New Roman"/>
        </w:rPr>
        <w:t>节（现被汇编在《美国法典》第</w:t>
      </w:r>
      <w:r>
        <w:rPr>
          <w:rFonts w:cs="Times New Roman"/>
        </w:rPr>
        <w:t>19</w:t>
      </w:r>
      <w:r>
        <w:rPr>
          <w:rFonts w:hAnsi="宋体" w:cs="Times New Roman"/>
        </w:rPr>
        <w:t>卷第</w:t>
      </w:r>
      <w:r>
        <w:rPr>
          <w:rFonts w:cs="Times New Roman"/>
        </w:rPr>
        <w:t>337</w:t>
      </w:r>
      <w:r>
        <w:rPr>
          <w:rFonts w:hAnsi="宋体" w:cs="Times New Roman"/>
        </w:rPr>
        <w:t>节）的规定，如果任何进口贸易中存在侵犯知识产权或其他不正当竞争的行为，美国国际贸易委员会（</w:t>
      </w:r>
      <w:r>
        <w:rPr>
          <w:rFonts w:cs="Times New Roman"/>
        </w:rPr>
        <w:t>ITC</w:t>
      </w:r>
      <w:r>
        <w:rPr>
          <w:rFonts w:hAnsi="宋体" w:cs="Times New Roman"/>
        </w:rPr>
        <w:t>）都可以进行行政调查。如果</w:t>
      </w:r>
      <w:r>
        <w:rPr>
          <w:rFonts w:cs="Times New Roman"/>
        </w:rPr>
        <w:t>ITC</w:t>
      </w:r>
      <w:r>
        <w:rPr>
          <w:rFonts w:hAnsi="宋体" w:cs="Times New Roman"/>
        </w:rPr>
        <w:t>认定某项进口产品侵犯了美国国内知识产权，或虽未侵犯知识产权但其效果却破坏或实质上损害美国某一产业，或阻碍该产业的建立，或对美国商业或贸易造成限制或垄断，则</w:t>
      </w:r>
      <w:r>
        <w:rPr>
          <w:rFonts w:cs="Times New Roman"/>
        </w:rPr>
        <w:t>ITC</w:t>
      </w:r>
      <w:r>
        <w:rPr>
          <w:rFonts w:hAnsi="宋体" w:cs="Times New Roman"/>
        </w:rPr>
        <w:t>有权采取制裁措施。</w:t>
      </w:r>
    </w:p>
    <w:p>
      <w:pPr>
        <w:ind w:firstLine="482"/>
        <w:rPr>
          <w:rFonts w:cs="Times New Roman"/>
          <w:b/>
          <w:bCs/>
        </w:rPr>
      </w:pPr>
      <w:r>
        <w:rPr>
          <w:rFonts w:hint="eastAsia" w:cs="Times New Roman"/>
          <w:b/>
          <w:bCs/>
        </w:rPr>
        <w:t>一、</w:t>
      </w:r>
      <w:r>
        <w:rPr>
          <w:rFonts w:cs="Times New Roman"/>
          <w:b/>
          <w:bCs/>
        </w:rPr>
        <w:t>“337</w:t>
      </w:r>
      <w:r>
        <w:rPr>
          <w:rFonts w:hAnsi="宋体" w:cs="Times New Roman"/>
          <w:b/>
          <w:bCs/>
        </w:rPr>
        <w:t>调查</w:t>
      </w:r>
      <w:r>
        <w:rPr>
          <w:rFonts w:cs="Times New Roman"/>
          <w:b/>
          <w:bCs/>
        </w:rPr>
        <w:t>”</w:t>
      </w:r>
      <w:r>
        <w:rPr>
          <w:rFonts w:hAnsi="宋体" w:cs="Times New Roman"/>
          <w:b/>
          <w:bCs/>
        </w:rPr>
        <w:t>的主要特点</w:t>
      </w:r>
    </w:p>
    <w:p>
      <w:pPr>
        <w:ind w:firstLine="480"/>
        <w:rPr>
          <w:rFonts w:cs="Times New Roman"/>
        </w:rPr>
      </w:pPr>
      <w:r>
        <w:rPr>
          <w:rFonts w:hint="eastAsia" w:cs="Times New Roman"/>
        </w:rPr>
        <w:t>（</w:t>
      </w:r>
      <w:r>
        <w:rPr>
          <w:rFonts w:cs="Times New Roman"/>
        </w:rPr>
        <w:t>1</w:t>
      </w:r>
      <w:r>
        <w:rPr>
          <w:rFonts w:hAnsi="宋体" w:cs="Times New Roman"/>
        </w:rPr>
        <w:t>）立案容易，发起</w:t>
      </w:r>
      <w:r>
        <w:rPr>
          <w:rFonts w:cs="Times New Roman"/>
        </w:rPr>
        <w:t>“337</w:t>
      </w:r>
      <w:r>
        <w:rPr>
          <w:rFonts w:hAnsi="宋体" w:cs="Times New Roman"/>
        </w:rPr>
        <w:t>调查</w:t>
      </w:r>
      <w:r>
        <w:rPr>
          <w:rFonts w:cs="Times New Roman"/>
        </w:rPr>
        <w:t>”</w:t>
      </w:r>
      <w:r>
        <w:rPr>
          <w:rFonts w:hAnsi="宋体" w:cs="Times New Roman"/>
        </w:rPr>
        <w:t>的申请人只需证明在美国存在与申请人主张的知识产权相关的产业，不需证明有损害；</w:t>
      </w:r>
    </w:p>
    <w:p>
      <w:pPr>
        <w:ind w:firstLine="480"/>
        <w:rPr>
          <w:rFonts w:cs="Times New Roman"/>
        </w:rPr>
      </w:pPr>
      <w:r>
        <w:rPr>
          <w:rFonts w:hint="eastAsia" w:cs="Times New Roman"/>
        </w:rPr>
        <w:t>（2）</w:t>
      </w:r>
      <w:r>
        <w:rPr>
          <w:rFonts w:hAnsi="宋体" w:cs="Times New Roman"/>
        </w:rPr>
        <w:t>处罚严厉，一旦被认定侵权，非但被申请人的相关产品，其他同类的产品也有可能被禁止进入美国；</w:t>
      </w:r>
    </w:p>
    <w:p>
      <w:pPr>
        <w:ind w:firstLine="480"/>
        <w:rPr>
          <w:rFonts w:hAnsi="宋体" w:cs="Times New Roman"/>
        </w:rPr>
      </w:pPr>
      <w:r>
        <w:rPr>
          <w:rFonts w:hint="eastAsia" w:cs="Times New Roman"/>
        </w:rPr>
        <w:t>（3）</w:t>
      </w:r>
      <w:r>
        <w:rPr>
          <w:rFonts w:hAnsi="宋体" w:cs="Times New Roman"/>
        </w:rPr>
        <w:t>周期短，大多数情况下，</w:t>
      </w:r>
      <w:r>
        <w:rPr>
          <w:rFonts w:cs="Times New Roman"/>
        </w:rPr>
        <w:t>ITC</w:t>
      </w:r>
      <w:r>
        <w:rPr>
          <w:rFonts w:hAnsi="宋体" w:cs="Times New Roman"/>
        </w:rPr>
        <w:t>的调查期限为</w:t>
      </w:r>
      <w:r>
        <w:rPr>
          <w:rFonts w:cs="Times New Roman"/>
        </w:rPr>
        <w:t>12-16</w:t>
      </w:r>
      <w:r>
        <w:rPr>
          <w:rFonts w:hAnsi="宋体" w:cs="Times New Roman"/>
        </w:rPr>
        <w:t>个月，复杂案件可能会延长至</w:t>
      </w:r>
      <w:r>
        <w:rPr>
          <w:rFonts w:cs="Times New Roman"/>
        </w:rPr>
        <w:t>18</w:t>
      </w:r>
      <w:r>
        <w:rPr>
          <w:rFonts w:hAnsi="宋体" w:cs="Times New Roman"/>
        </w:rPr>
        <w:t>个月（而联邦地区法院的专利诉讼案件审理周期长达两年甚至更长）。</w:t>
      </w:r>
    </w:p>
    <w:p>
      <w:pPr>
        <w:ind w:firstLine="482"/>
        <w:rPr>
          <w:rFonts w:cs="Times New Roman"/>
          <w:b/>
          <w:bCs/>
        </w:rPr>
      </w:pPr>
      <w:r>
        <w:rPr>
          <w:rFonts w:hint="eastAsia" w:cs="Times New Roman"/>
          <w:b/>
          <w:bCs/>
        </w:rPr>
        <w:t>二、</w:t>
      </w:r>
      <w:r>
        <w:rPr>
          <w:rFonts w:cs="Times New Roman"/>
          <w:b/>
          <w:bCs/>
        </w:rPr>
        <w:t>“337</w:t>
      </w:r>
      <w:r>
        <w:rPr>
          <w:rFonts w:hAnsi="宋体" w:cs="Times New Roman"/>
          <w:b/>
          <w:bCs/>
        </w:rPr>
        <w:t>调查</w:t>
      </w:r>
      <w:r>
        <w:rPr>
          <w:rFonts w:cs="Times New Roman"/>
          <w:b/>
          <w:bCs/>
        </w:rPr>
        <w:t>”</w:t>
      </w:r>
      <w:r>
        <w:rPr>
          <w:rFonts w:hAnsi="宋体" w:cs="Times New Roman"/>
          <w:b/>
          <w:bCs/>
        </w:rPr>
        <w:t>可能的处罚结果</w:t>
      </w:r>
    </w:p>
    <w:p>
      <w:pPr>
        <w:ind w:firstLine="480"/>
        <w:rPr>
          <w:rFonts w:cs="Times New Roman"/>
          <w:color w:val="006CDF"/>
          <w:kern w:val="0"/>
        </w:rPr>
      </w:pPr>
      <w:r>
        <w:rPr>
          <w:rFonts w:hint="eastAsia" w:cs="Times New Roman"/>
        </w:rPr>
        <w:t>（1）</w:t>
      </w:r>
      <w:r>
        <w:rPr>
          <w:rFonts w:hAnsi="宋体" w:cs="Times New Roman"/>
        </w:rPr>
        <w:t>普遍排除令</w:t>
      </w:r>
      <w:r>
        <w:rPr>
          <w:rFonts w:cs="Times New Roman"/>
        </w:rPr>
        <w:t>:</w:t>
      </w:r>
      <w:r>
        <w:rPr>
          <w:rFonts w:hAnsi="宋体" w:cs="Times New Roman"/>
        </w:rPr>
        <w:t>不仅针对被申请人的产品，还禁止所有同类侵权产品进入美国市场；</w:t>
      </w:r>
    </w:p>
    <w:p>
      <w:pPr>
        <w:ind w:firstLine="480"/>
        <w:rPr>
          <w:rFonts w:cs="Times New Roman"/>
        </w:rPr>
      </w:pPr>
      <w:r>
        <w:rPr>
          <w:rFonts w:hint="eastAsia" w:cs="Times New Roman"/>
        </w:rPr>
        <w:t>（2）</w:t>
      </w:r>
      <w:r>
        <w:rPr>
          <w:rFonts w:hAnsi="宋体" w:cs="Times New Roman"/>
        </w:rPr>
        <w:t>有限排除令</w:t>
      </w:r>
      <w:r>
        <w:rPr>
          <w:rFonts w:cs="Times New Roman"/>
        </w:rPr>
        <w:t>:</w:t>
      </w:r>
      <w:r>
        <w:rPr>
          <w:rFonts w:hAnsi="宋体" w:cs="Times New Roman"/>
        </w:rPr>
        <w:t>禁止被申请人的侵权产品进入美国，可适用于被申请人现在和今后生产的、存在侵权行为的所有类型的产品，效力可扩大到包含侵权物品的上游零部件产品，以及下游或下级产品；</w:t>
      </w:r>
    </w:p>
    <w:p>
      <w:pPr>
        <w:ind w:firstLine="480"/>
        <w:rPr>
          <w:rFonts w:cs="Times New Roman"/>
          <w:color w:val="006CDF"/>
          <w:kern w:val="0"/>
        </w:rPr>
      </w:pPr>
      <w:r>
        <w:rPr>
          <w:rFonts w:hint="eastAsia" w:cs="Times New Roman"/>
        </w:rPr>
        <w:t>（3）</w:t>
      </w:r>
      <w:r>
        <w:rPr>
          <w:rFonts w:hAnsi="宋体" w:cs="Times New Roman"/>
        </w:rPr>
        <w:t>禁止令</w:t>
      </w:r>
      <w:r>
        <w:rPr>
          <w:rFonts w:cs="Times New Roman"/>
        </w:rPr>
        <w:t>:</w:t>
      </w:r>
      <w:r>
        <w:rPr>
          <w:rFonts w:hAnsi="宋体" w:cs="Times New Roman"/>
        </w:rPr>
        <w:t>禁止令是为了禁止继续销售、库存、宣传、广告等已经进口到美国的侵权产品</w:t>
      </w:r>
      <w:r>
        <w:rPr>
          <w:rFonts w:cs="Times New Roman"/>
        </w:rPr>
        <w:t>;</w:t>
      </w:r>
    </w:p>
    <w:p>
      <w:pPr>
        <w:ind w:firstLine="480"/>
        <w:rPr>
          <w:rFonts w:cs="Times New Roman"/>
          <w:color w:val="006CDF"/>
          <w:kern w:val="0"/>
        </w:rPr>
      </w:pPr>
      <w:r>
        <w:rPr>
          <w:rFonts w:hint="eastAsia" w:cs="Times New Roman"/>
        </w:rPr>
        <w:t>（4）</w:t>
      </w:r>
      <w:r>
        <w:rPr>
          <w:rFonts w:hAnsi="宋体" w:cs="Times New Roman"/>
        </w:rPr>
        <w:t>扣押和没收令</w:t>
      </w:r>
      <w:r>
        <w:rPr>
          <w:rFonts w:cs="Times New Roman"/>
        </w:rPr>
        <w:t>:</w:t>
      </w:r>
      <w:r>
        <w:rPr>
          <w:rFonts w:hAnsi="宋体" w:cs="Times New Roman"/>
        </w:rPr>
        <w:t>如果</w:t>
      </w:r>
      <w:r>
        <w:rPr>
          <w:rFonts w:cs="Times New Roman"/>
        </w:rPr>
        <w:t>ITC</w:t>
      </w:r>
      <w:r>
        <w:rPr>
          <w:rFonts w:hAnsi="宋体" w:cs="Times New Roman"/>
        </w:rPr>
        <w:t>曾就某一产品签发过排除令，而有关企业试图再次将其出口到美国市场，</w:t>
      </w:r>
      <w:r>
        <w:rPr>
          <w:rFonts w:cs="Times New Roman"/>
        </w:rPr>
        <w:t>ITC</w:t>
      </w:r>
      <w:r>
        <w:rPr>
          <w:rFonts w:hAnsi="宋体" w:cs="Times New Roman"/>
        </w:rPr>
        <w:t>可以签发扣押和没收令</w:t>
      </w:r>
      <w:r>
        <w:rPr>
          <w:rFonts w:cs="Times New Roman"/>
        </w:rPr>
        <w:t>;</w:t>
      </w:r>
    </w:p>
    <w:p>
      <w:pPr>
        <w:ind w:firstLine="480"/>
        <w:rPr>
          <w:rFonts w:hAnsi="宋体" w:cs="Times New Roman"/>
        </w:rPr>
      </w:pPr>
      <w:r>
        <w:rPr>
          <w:rFonts w:hint="eastAsia" w:cs="Times New Roman"/>
          <w:kern w:val="0"/>
        </w:rPr>
        <w:t>（5）</w:t>
      </w:r>
      <w:r>
        <w:rPr>
          <w:rFonts w:hAnsi="宋体" w:cs="Times New Roman"/>
        </w:rPr>
        <w:t>罚款</w:t>
      </w:r>
      <w:r>
        <w:rPr>
          <w:rFonts w:cs="Times New Roman"/>
        </w:rPr>
        <w:t>:</w:t>
      </w:r>
      <w:r>
        <w:rPr>
          <w:rFonts w:hAnsi="宋体" w:cs="Times New Roman"/>
        </w:rPr>
        <w:t>在签发排除令和禁止令后，有关当事人如果违反</w:t>
      </w:r>
      <w:r>
        <w:rPr>
          <w:rFonts w:cs="Times New Roman"/>
        </w:rPr>
        <w:t>ITC</w:t>
      </w:r>
      <w:r>
        <w:rPr>
          <w:rFonts w:hAnsi="宋体" w:cs="Times New Roman"/>
        </w:rPr>
        <w:t>的命令，将面临</w:t>
      </w:r>
      <w:r>
        <w:rPr>
          <w:rFonts w:cs="Times New Roman"/>
        </w:rPr>
        <w:t>10</w:t>
      </w:r>
      <w:r>
        <w:rPr>
          <w:rFonts w:hAnsi="宋体" w:cs="Times New Roman"/>
        </w:rPr>
        <w:t>万美元</w:t>
      </w:r>
      <w:r>
        <w:rPr>
          <w:rFonts w:cs="Times New Roman"/>
        </w:rPr>
        <w:t>/</w:t>
      </w:r>
      <w:r>
        <w:rPr>
          <w:rFonts w:hAnsi="宋体" w:cs="Times New Roman"/>
        </w:rPr>
        <w:t>日的罚款或相当于其每日违令输入美国产品的美国国内价值</w:t>
      </w:r>
      <w:r>
        <w:rPr>
          <w:rFonts w:cs="Times New Roman"/>
        </w:rPr>
        <w:t>2</w:t>
      </w:r>
      <w:r>
        <w:rPr>
          <w:rFonts w:hAnsi="宋体" w:cs="Times New Roman"/>
        </w:rPr>
        <w:t>倍的民事处罚，两者中取高者。</w:t>
      </w:r>
    </w:p>
    <w:p>
      <w:pPr>
        <w:ind w:firstLine="482"/>
        <w:rPr>
          <w:rFonts w:cs="Times New Roman"/>
          <w:b/>
          <w:bCs/>
        </w:rPr>
      </w:pPr>
      <w:r>
        <w:rPr>
          <w:rFonts w:hint="eastAsia" w:cs="Times New Roman"/>
          <w:b/>
          <w:bCs/>
        </w:rPr>
        <w:t>三、</w:t>
      </w:r>
      <w:r>
        <w:rPr>
          <w:rFonts w:cs="Times New Roman"/>
          <w:b/>
          <w:bCs/>
        </w:rPr>
        <w:t>“337</w:t>
      </w:r>
      <w:r>
        <w:rPr>
          <w:rFonts w:hAnsi="宋体" w:cs="Times New Roman"/>
          <w:b/>
          <w:bCs/>
        </w:rPr>
        <w:t>调查</w:t>
      </w:r>
      <w:r>
        <w:rPr>
          <w:rFonts w:cs="Times New Roman"/>
          <w:b/>
          <w:bCs/>
        </w:rPr>
        <w:t>”</w:t>
      </w:r>
      <w:r>
        <w:rPr>
          <w:rFonts w:hAnsi="宋体" w:cs="Times New Roman"/>
          <w:b/>
          <w:bCs/>
        </w:rPr>
        <w:t>程序</w:t>
      </w:r>
    </w:p>
    <w:p>
      <w:pPr>
        <w:ind w:firstLine="480"/>
        <w:rPr>
          <w:rFonts w:cs="Times New Roman"/>
          <w:b/>
          <w:bCs/>
        </w:rPr>
      </w:pPr>
      <w:r>
        <w:rPr>
          <w:rFonts w:cs="Times New Roman"/>
        </w:rPr>
        <w:t>“337</w:t>
      </w:r>
      <w:r>
        <w:rPr>
          <w:rFonts w:hAnsi="宋体" w:cs="Times New Roman"/>
        </w:rPr>
        <w:t>调查</w:t>
      </w:r>
      <w:r>
        <w:rPr>
          <w:rFonts w:cs="Times New Roman"/>
        </w:rPr>
        <w:t>”</w:t>
      </w:r>
      <w:r>
        <w:rPr>
          <w:rFonts w:hAnsi="宋体" w:cs="Times New Roman"/>
        </w:rPr>
        <w:t>时间程序表如下图</w:t>
      </w:r>
      <w:r>
        <w:rPr>
          <w:rFonts w:cs="Times New Roman"/>
        </w:rPr>
        <w:t>5.1-1</w:t>
      </w:r>
      <w:r>
        <w:rPr>
          <w:rFonts w:hAnsi="宋体" w:cs="Times New Roman"/>
        </w:rPr>
        <w:t>所示。</w:t>
      </w:r>
    </w:p>
    <w:p>
      <w:pPr>
        <w:ind w:firstLine="0" w:firstLineChars="0"/>
        <w:jc w:val="center"/>
        <w:rPr>
          <w:rFonts w:cs="Times New Roman"/>
        </w:rPr>
      </w:pPr>
      <w:r>
        <w:rPr>
          <w:rFonts w:cs="Times New Roman"/>
        </w:rPr>
        <w:drawing>
          <wp:inline distT="0" distB="0" distL="0" distR="0">
            <wp:extent cx="5274310" cy="6176010"/>
            <wp:effectExtent l="0" t="0" r="8890" b="8890"/>
            <wp:docPr id="23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49"/>
                    <pic:cNvPicPr>
                      <a:picLocks noChangeAspect="1" noChangeArrowheads="1"/>
                    </pic:cNvPicPr>
                  </pic:nvPicPr>
                  <pic:blipFill>
                    <a:blip r:embed="rId34"/>
                    <a:srcRect/>
                    <a:stretch>
                      <a:fillRect/>
                    </a:stretch>
                  </pic:blipFill>
                  <pic:spPr>
                    <a:xfrm>
                      <a:off x="0" y="0"/>
                      <a:ext cx="5274310" cy="6176278"/>
                    </a:xfrm>
                    <a:prstGeom prst="rect">
                      <a:avLst/>
                    </a:prstGeom>
                    <a:noFill/>
                    <a:ln w="9525">
                      <a:noFill/>
                      <a:miter lim="800000"/>
                      <a:headEnd/>
                      <a:tailEnd/>
                    </a:ln>
                  </pic:spPr>
                </pic:pic>
              </a:graphicData>
            </a:graphic>
          </wp:inline>
        </w:drawing>
      </w:r>
    </w:p>
    <w:p>
      <w:pPr>
        <w:ind w:firstLine="482"/>
        <w:jc w:val="center"/>
        <w:rPr>
          <w:rFonts w:cs="Times New Roman"/>
          <w:b/>
          <w:bCs/>
        </w:rPr>
      </w:pPr>
      <w:r>
        <w:rPr>
          <w:rFonts w:hAnsi="宋体" w:cs="Times New Roman"/>
          <w:b/>
          <w:bCs/>
        </w:rPr>
        <w:t>图</w:t>
      </w:r>
      <w:r>
        <w:rPr>
          <w:rFonts w:cs="Times New Roman"/>
          <w:b/>
          <w:bCs/>
        </w:rPr>
        <w:t>4.2-1 “337</w:t>
      </w:r>
      <w:r>
        <w:rPr>
          <w:rFonts w:hAnsi="宋体" w:cs="Times New Roman"/>
          <w:b/>
          <w:bCs/>
        </w:rPr>
        <w:t>调查</w:t>
      </w:r>
      <w:r>
        <w:rPr>
          <w:rFonts w:cs="Times New Roman"/>
          <w:b/>
          <w:bCs/>
        </w:rPr>
        <w:t>”</w:t>
      </w:r>
      <w:r>
        <w:rPr>
          <w:rFonts w:hAnsi="宋体" w:cs="Times New Roman"/>
          <w:b/>
          <w:bCs/>
        </w:rPr>
        <w:t>时间程序表</w:t>
      </w:r>
    </w:p>
    <w:p>
      <w:pPr>
        <w:ind w:firstLine="482"/>
        <w:rPr>
          <w:rFonts w:cs="Times New Roman"/>
          <w:b/>
          <w:bCs/>
        </w:rPr>
      </w:pPr>
      <w:r>
        <w:rPr>
          <w:rFonts w:hint="eastAsia" w:cs="Times New Roman"/>
          <w:b/>
          <w:bCs/>
        </w:rPr>
        <w:t>四、</w:t>
      </w:r>
      <w:r>
        <w:rPr>
          <w:rFonts w:cs="Times New Roman"/>
          <w:b/>
          <w:bCs/>
        </w:rPr>
        <w:t>“337</w:t>
      </w:r>
      <w:r>
        <w:rPr>
          <w:rFonts w:hAnsi="宋体" w:cs="Times New Roman"/>
          <w:b/>
          <w:bCs/>
        </w:rPr>
        <w:t>调查</w:t>
      </w:r>
      <w:r>
        <w:rPr>
          <w:rFonts w:cs="Times New Roman"/>
          <w:b/>
          <w:bCs/>
        </w:rPr>
        <w:t>”</w:t>
      </w:r>
      <w:r>
        <w:rPr>
          <w:rFonts w:hAnsi="宋体" w:cs="Times New Roman"/>
          <w:b/>
          <w:bCs/>
        </w:rPr>
        <w:t>的应对策略：</w:t>
      </w:r>
    </w:p>
    <w:p>
      <w:pPr>
        <w:ind w:firstLine="482"/>
        <w:rPr>
          <w:rFonts w:cs="Times New Roman"/>
          <w:b/>
          <w:bCs/>
        </w:rPr>
      </w:pPr>
      <w:r>
        <w:rPr>
          <w:rFonts w:hAnsi="宋体" w:cs="Times New Roman"/>
          <w:b/>
          <w:bCs/>
        </w:rPr>
        <w:t>事前：</w:t>
      </w:r>
    </w:p>
    <w:p>
      <w:pPr>
        <w:ind w:firstLine="480"/>
        <w:rPr>
          <w:rFonts w:cs="Times New Roman"/>
        </w:rPr>
      </w:pPr>
      <w:r>
        <w:rPr>
          <w:rFonts w:hAnsi="宋体" w:cs="Times New Roman"/>
        </w:rPr>
        <w:t>（</w:t>
      </w:r>
      <w:r>
        <w:rPr>
          <w:rFonts w:cs="Times New Roman"/>
        </w:rPr>
        <w:t>1</w:t>
      </w:r>
      <w:r>
        <w:rPr>
          <w:rFonts w:hAnsi="宋体" w:cs="Times New Roman"/>
        </w:rPr>
        <w:t>）针对可能的侵权，及时对产品进行规避设计；</w:t>
      </w:r>
    </w:p>
    <w:p>
      <w:pPr>
        <w:ind w:firstLine="480"/>
        <w:rPr>
          <w:rFonts w:cs="Times New Roman"/>
        </w:rPr>
      </w:pPr>
      <w:r>
        <w:rPr>
          <w:rFonts w:hAnsi="宋体" w:cs="Times New Roman"/>
        </w:rPr>
        <w:t>（</w:t>
      </w:r>
      <w:r>
        <w:rPr>
          <w:rFonts w:cs="Times New Roman"/>
        </w:rPr>
        <w:t>2</w:t>
      </w:r>
      <w:r>
        <w:rPr>
          <w:rFonts w:hAnsi="宋体" w:cs="Times New Roman"/>
        </w:rPr>
        <w:t>）对于无法规避而又必须使用的核心专利技术（如液晶膜），可以积极准备谈判，探索采取支付许可费、购买专利或合资、合作等措施的可行性，尽量避免因</w:t>
      </w:r>
      <w:r>
        <w:rPr>
          <w:rFonts w:cs="Times New Roman"/>
        </w:rPr>
        <w:t>“337</w:t>
      </w:r>
      <w:r>
        <w:rPr>
          <w:rFonts w:hAnsi="宋体" w:cs="Times New Roman"/>
        </w:rPr>
        <w:t>调查</w:t>
      </w:r>
      <w:r>
        <w:rPr>
          <w:rFonts w:cs="Times New Roman"/>
        </w:rPr>
        <w:t>”</w:t>
      </w:r>
      <w:r>
        <w:rPr>
          <w:rFonts w:hAnsi="宋体" w:cs="Times New Roman"/>
        </w:rPr>
        <w:t>而失去美国市场；</w:t>
      </w:r>
    </w:p>
    <w:p>
      <w:pPr>
        <w:ind w:firstLine="480"/>
        <w:rPr>
          <w:rFonts w:cs="Times New Roman"/>
        </w:rPr>
      </w:pPr>
      <w:r>
        <w:rPr>
          <w:rFonts w:hAnsi="宋体" w:cs="Times New Roman"/>
        </w:rPr>
        <w:t>（</w:t>
      </w:r>
      <w:r>
        <w:rPr>
          <w:rFonts w:cs="Times New Roman"/>
        </w:rPr>
        <w:t>3</w:t>
      </w:r>
      <w:r>
        <w:rPr>
          <w:rFonts w:hAnsi="宋体" w:cs="Times New Roman"/>
        </w:rPr>
        <w:t>）尝试主动在美进行合理知识产权布局，拥有一定数量的美国专利权，对申请人也是一种对抗和威慑，同时设计可能的替代方案，减少侵权可能性；</w:t>
      </w:r>
    </w:p>
    <w:p>
      <w:pPr>
        <w:ind w:firstLine="480"/>
        <w:rPr>
          <w:rFonts w:cs="Times New Roman"/>
        </w:rPr>
      </w:pPr>
      <w:r>
        <w:rPr>
          <w:rFonts w:hAnsi="宋体" w:cs="Times New Roman"/>
        </w:rPr>
        <w:t>（</w:t>
      </w:r>
      <w:r>
        <w:rPr>
          <w:rFonts w:cs="Times New Roman"/>
        </w:rPr>
        <w:t>4</w:t>
      </w:r>
      <w:r>
        <w:rPr>
          <w:rFonts w:hAnsi="宋体" w:cs="Times New Roman"/>
        </w:rPr>
        <w:t>）委托律师出具出口产品不构成知识产权侵权的法律意见书，避免在</w:t>
      </w:r>
      <w:r>
        <w:rPr>
          <w:rFonts w:cs="Times New Roman"/>
        </w:rPr>
        <w:t>“337</w:t>
      </w:r>
      <w:r>
        <w:rPr>
          <w:rFonts w:hAnsi="宋体" w:cs="Times New Roman"/>
        </w:rPr>
        <w:t>调查</w:t>
      </w:r>
      <w:r>
        <w:rPr>
          <w:rFonts w:cs="Times New Roman"/>
        </w:rPr>
        <w:t>”</w:t>
      </w:r>
      <w:r>
        <w:rPr>
          <w:rFonts w:hAnsi="宋体" w:cs="Times New Roman"/>
        </w:rPr>
        <w:t>中被判故意侵权，并承担</w:t>
      </w:r>
      <w:r>
        <w:rPr>
          <w:rFonts w:cs="Times New Roman"/>
        </w:rPr>
        <w:t>3</w:t>
      </w:r>
      <w:r>
        <w:rPr>
          <w:rFonts w:hAnsi="宋体" w:cs="Times New Roman"/>
        </w:rPr>
        <w:t>倍赔偿金的处罚。</w:t>
      </w:r>
    </w:p>
    <w:p>
      <w:pPr>
        <w:ind w:firstLine="482"/>
        <w:rPr>
          <w:rFonts w:cs="Times New Roman"/>
        </w:rPr>
      </w:pPr>
      <w:r>
        <w:rPr>
          <w:rFonts w:hAnsi="宋体" w:cs="Times New Roman"/>
          <w:b/>
          <w:bCs/>
        </w:rPr>
        <w:t>事中：</w:t>
      </w:r>
    </w:p>
    <w:p>
      <w:pPr>
        <w:ind w:firstLine="480"/>
        <w:rPr>
          <w:rFonts w:cs="Times New Roman"/>
        </w:rPr>
      </w:pPr>
      <w:r>
        <w:rPr>
          <w:rFonts w:hAnsi="宋体" w:cs="Times New Roman"/>
        </w:rPr>
        <w:t>若发生</w:t>
      </w:r>
      <w:r>
        <w:rPr>
          <w:rFonts w:cs="Times New Roman"/>
        </w:rPr>
        <w:t>337</w:t>
      </w:r>
      <w:r>
        <w:rPr>
          <w:rFonts w:hAnsi="宋体" w:cs="Times New Roman"/>
        </w:rPr>
        <w:t>调查，可以采取如下措施加以应对：</w:t>
      </w:r>
    </w:p>
    <w:p>
      <w:pPr>
        <w:ind w:firstLine="480"/>
        <w:rPr>
          <w:rFonts w:cs="Times New Roman"/>
        </w:rPr>
      </w:pPr>
      <w:r>
        <w:rPr>
          <w:rFonts w:hAnsi="宋体" w:cs="Times New Roman"/>
        </w:rPr>
        <w:t>（</w:t>
      </w:r>
      <w:r>
        <w:rPr>
          <w:rFonts w:cs="Times New Roman"/>
        </w:rPr>
        <w:t>1</w:t>
      </w:r>
      <w:r>
        <w:rPr>
          <w:rFonts w:hAnsi="宋体" w:cs="Times New Roman"/>
        </w:rPr>
        <w:t>）权衡是否应诉：</w:t>
      </w:r>
      <w:r>
        <w:rPr>
          <w:rFonts w:cs="Times New Roman"/>
        </w:rPr>
        <w:t>“337</w:t>
      </w:r>
      <w:r>
        <w:rPr>
          <w:rFonts w:hAnsi="宋体" w:cs="Times New Roman"/>
        </w:rPr>
        <w:t>调查</w:t>
      </w:r>
      <w:r>
        <w:rPr>
          <w:rFonts w:cs="Times New Roman"/>
        </w:rPr>
        <w:t>”</w:t>
      </w:r>
      <w:r>
        <w:rPr>
          <w:rFonts w:hAnsi="宋体" w:cs="Times New Roman"/>
        </w:rPr>
        <w:t>的应诉费用根据情况不同通常为几万至上百万美元不等，企业要从成本收益的角度考虑应诉是否值得；</w:t>
      </w:r>
    </w:p>
    <w:p>
      <w:pPr>
        <w:ind w:firstLine="480"/>
        <w:rPr>
          <w:rFonts w:cs="Times New Roman"/>
        </w:rPr>
      </w:pPr>
      <w:r>
        <w:rPr>
          <w:rFonts w:hAnsi="宋体" w:cs="Times New Roman"/>
        </w:rPr>
        <w:t>（</w:t>
      </w:r>
      <w:r>
        <w:rPr>
          <w:rFonts w:cs="Times New Roman"/>
        </w:rPr>
        <w:t>2</w:t>
      </w:r>
      <w:r>
        <w:rPr>
          <w:rFonts w:hAnsi="宋体" w:cs="Times New Roman"/>
        </w:rPr>
        <w:t>）应诉团队：企业决定应诉</w:t>
      </w:r>
      <w:r>
        <w:rPr>
          <w:rFonts w:cs="Times New Roman"/>
        </w:rPr>
        <w:t>“337</w:t>
      </w:r>
      <w:r>
        <w:rPr>
          <w:rFonts w:hAnsi="宋体" w:cs="Times New Roman"/>
        </w:rPr>
        <w:t>调查</w:t>
      </w:r>
      <w:r>
        <w:rPr>
          <w:rFonts w:cs="Times New Roman"/>
        </w:rPr>
        <w:t>”</w:t>
      </w:r>
      <w:r>
        <w:rPr>
          <w:rFonts w:hAnsi="宋体" w:cs="Times New Roman"/>
        </w:rPr>
        <w:t>后，应立即着手组建应诉团队，包括内部团队与律师团队，企业内部团队：领导人员</w:t>
      </w:r>
      <w:r>
        <w:rPr>
          <w:rFonts w:cs="Times New Roman"/>
        </w:rPr>
        <w:t>+</w:t>
      </w:r>
      <w:r>
        <w:rPr>
          <w:rFonts w:hAnsi="宋体" w:cs="Times New Roman"/>
        </w:rPr>
        <w:t>技术人员</w:t>
      </w:r>
      <w:r>
        <w:rPr>
          <w:rFonts w:cs="Times New Roman"/>
        </w:rPr>
        <w:t>+</w:t>
      </w:r>
      <w:r>
        <w:rPr>
          <w:rFonts w:hAnsi="宋体" w:cs="Times New Roman"/>
        </w:rPr>
        <w:t>市场人员</w:t>
      </w:r>
      <w:r>
        <w:rPr>
          <w:rFonts w:cs="Times New Roman"/>
        </w:rPr>
        <w:t>+</w:t>
      </w:r>
      <w:r>
        <w:rPr>
          <w:rFonts w:hAnsi="宋体" w:cs="Times New Roman"/>
        </w:rPr>
        <w:t>行政人员，律师团队：中美关于知识产权保护的立法规定存在差异，聘请既懂得</w:t>
      </w:r>
      <w:r>
        <w:rPr>
          <w:rFonts w:cs="Times New Roman"/>
        </w:rPr>
        <w:t>“337</w:t>
      </w:r>
      <w:r>
        <w:rPr>
          <w:rFonts w:hAnsi="宋体" w:cs="Times New Roman"/>
        </w:rPr>
        <w:t>调查</w:t>
      </w:r>
      <w:r>
        <w:rPr>
          <w:rFonts w:cs="Times New Roman"/>
        </w:rPr>
        <w:t>”</w:t>
      </w:r>
      <w:r>
        <w:rPr>
          <w:rFonts w:hAnsi="宋体" w:cs="Times New Roman"/>
        </w:rPr>
        <w:t>程序，又熟悉中美知识产权差异的专业律师代理企业参与案件应诉工作，可以帮助确定有效的应诉策略，全面保护企业的合法权益；</w:t>
      </w:r>
    </w:p>
    <w:p>
      <w:pPr>
        <w:ind w:firstLine="480"/>
        <w:rPr>
          <w:rFonts w:cs="Times New Roman"/>
        </w:rPr>
      </w:pPr>
      <w:r>
        <w:rPr>
          <w:rFonts w:hAnsi="宋体" w:cs="Times New Roman"/>
        </w:rPr>
        <w:t>（</w:t>
      </w:r>
      <w:r>
        <w:rPr>
          <w:rFonts w:cs="Times New Roman"/>
        </w:rPr>
        <w:t>3</w:t>
      </w:r>
      <w:r>
        <w:rPr>
          <w:rFonts w:hAnsi="宋体" w:cs="Times New Roman"/>
        </w:rPr>
        <w:t>）证据收集与保全过程：收集相关不侵权证据、现有技术证据等；</w:t>
      </w:r>
    </w:p>
    <w:p>
      <w:pPr>
        <w:ind w:firstLine="480"/>
        <w:rPr>
          <w:rFonts w:cs="Times New Roman"/>
        </w:rPr>
      </w:pPr>
      <w:r>
        <w:rPr>
          <w:rFonts w:hAnsi="宋体" w:cs="Times New Roman"/>
        </w:rPr>
        <w:t>（</w:t>
      </w:r>
      <w:r>
        <w:rPr>
          <w:rFonts w:cs="Times New Roman"/>
        </w:rPr>
        <w:t>4</w:t>
      </w:r>
      <w:r>
        <w:rPr>
          <w:rFonts w:hAnsi="宋体" w:cs="Times New Roman"/>
        </w:rPr>
        <w:t>）抗辩理由：被申请人一般可从涉案产品不侵权、对方专利无效、专利不可实施等三方面抗辩，其中专利不可实施是美国专利法中的特殊制度，被判定为不可实施的专利继续有效但不能实施，权利人无法据此专利行使权利，可以从授权过程中存在不正当行为或专利权的滥用角度证明相应的专利不具备可实施性；</w:t>
      </w:r>
    </w:p>
    <w:p>
      <w:pPr>
        <w:ind w:firstLine="480"/>
        <w:rPr>
          <w:rFonts w:cs="Times New Roman"/>
        </w:rPr>
      </w:pPr>
      <w:r>
        <w:rPr>
          <w:rFonts w:hAnsi="宋体" w:cs="Times New Roman"/>
        </w:rPr>
        <w:t>（</w:t>
      </w:r>
      <w:r>
        <w:rPr>
          <w:rFonts w:cs="Times New Roman"/>
        </w:rPr>
        <w:t>5</w:t>
      </w:r>
      <w:r>
        <w:rPr>
          <w:rFonts w:hAnsi="宋体" w:cs="Times New Roman"/>
        </w:rPr>
        <w:t>）联合应诉：多家涉案企业选择联合应诉，可以整合资源、共享信息、分担应诉工作，一定程度上分摊应诉费用，降低单个企业的应诉负担；</w:t>
      </w:r>
    </w:p>
    <w:p>
      <w:pPr>
        <w:ind w:firstLine="480"/>
        <w:rPr>
          <w:rFonts w:cs="Times New Roman"/>
        </w:rPr>
      </w:pPr>
      <w:r>
        <w:rPr>
          <w:rFonts w:hAnsi="宋体" w:cs="Times New Roman"/>
        </w:rPr>
        <w:t>（</w:t>
      </w:r>
      <w:r>
        <w:rPr>
          <w:rFonts w:cs="Times New Roman"/>
        </w:rPr>
        <w:t>6</w:t>
      </w:r>
      <w:r>
        <w:rPr>
          <w:rFonts w:hAnsi="宋体" w:cs="Times New Roman"/>
        </w:rPr>
        <w:t>）和解：双方当事人可以通过签订和解协议解决争议，终止</w:t>
      </w:r>
      <w:r>
        <w:rPr>
          <w:rFonts w:cs="Times New Roman"/>
        </w:rPr>
        <w:t>“337</w:t>
      </w:r>
      <w:r>
        <w:rPr>
          <w:rFonts w:hAnsi="宋体" w:cs="Times New Roman"/>
        </w:rPr>
        <w:t>调查</w:t>
      </w:r>
      <w:r>
        <w:rPr>
          <w:rFonts w:cs="Times New Roman"/>
        </w:rPr>
        <w:t>”</w:t>
      </w:r>
      <w:r>
        <w:rPr>
          <w:rFonts w:hAnsi="宋体" w:cs="Times New Roman"/>
        </w:rPr>
        <w:t>。和解协议一般可包括：被申请人停止进口或销售侵权产品；申请人放弃对被申请人的指控；允许被申请人在一定时间内处理库存的侵权产品；申请人授权被申请人使用专利或者进口涉案产品等。</w:t>
      </w:r>
    </w:p>
    <w:p>
      <w:pPr>
        <w:ind w:firstLine="480"/>
        <w:rPr>
          <w:rFonts w:cs="Times New Roman"/>
        </w:rPr>
      </w:pPr>
      <w:r>
        <w:rPr>
          <w:rFonts w:hAnsi="宋体" w:cs="Times New Roman"/>
        </w:rPr>
        <w:t>（</w:t>
      </w:r>
      <w:r>
        <w:rPr>
          <w:rFonts w:cs="Times New Roman"/>
        </w:rPr>
        <w:t>7</w:t>
      </w:r>
      <w:r>
        <w:rPr>
          <w:rFonts w:hAnsi="宋体" w:cs="Times New Roman"/>
        </w:rPr>
        <w:t>）规避设计，如果被申请人侵权可能性比较大，可以通过研究设计不同于涉案产品的新产品来规避申请人的专利权。在行政法官作出初裁和委员会作出终裁前，将规避设计后的产品提交其审阅，一旦获得</w:t>
      </w:r>
      <w:r>
        <w:rPr>
          <w:rFonts w:cs="Times New Roman"/>
        </w:rPr>
        <w:t>ITC</w:t>
      </w:r>
      <w:r>
        <w:rPr>
          <w:rFonts w:hAnsi="宋体" w:cs="Times New Roman"/>
        </w:rPr>
        <w:t>的认可，将不受</w:t>
      </w:r>
      <w:r>
        <w:rPr>
          <w:rFonts w:cs="Times New Roman"/>
        </w:rPr>
        <w:t>ITC</w:t>
      </w:r>
      <w:r>
        <w:rPr>
          <w:rFonts w:hAnsi="宋体" w:cs="Times New Roman"/>
        </w:rPr>
        <w:t>最终签发的排除令等救济措施的影响。</w:t>
      </w:r>
    </w:p>
    <w:p>
      <w:pPr>
        <w:ind w:firstLine="482"/>
        <w:rPr>
          <w:rFonts w:hAnsi="宋体" w:cs="Times New Roman"/>
          <w:b/>
          <w:bCs/>
        </w:rPr>
      </w:pPr>
      <w:r>
        <w:rPr>
          <w:rFonts w:hAnsi="宋体" w:cs="Times New Roman"/>
          <w:b/>
          <w:bCs/>
        </w:rPr>
        <w:t>事后</w:t>
      </w:r>
    </w:p>
    <w:p>
      <w:pPr>
        <w:ind w:firstLine="480"/>
        <w:rPr>
          <w:rFonts w:cs="Times New Roman"/>
        </w:rPr>
      </w:pPr>
      <w:r>
        <w:rPr>
          <w:rFonts w:hAnsi="宋体" w:cs="Times New Roman"/>
        </w:rPr>
        <w:t>如果经过分析，被申请人可能败诉，或是经过抗辩被认定侵权而败诉，应迅速采取相应措施以减少损失，可以采取如下措施：</w:t>
      </w:r>
    </w:p>
    <w:p>
      <w:pPr>
        <w:ind w:firstLine="480"/>
        <w:rPr>
          <w:rFonts w:cs="Times New Roman"/>
        </w:rPr>
      </w:pPr>
      <w:r>
        <w:rPr>
          <w:rFonts w:hAnsi="宋体" w:cs="Times New Roman"/>
        </w:rPr>
        <w:t>（</w:t>
      </w:r>
      <w:r>
        <w:rPr>
          <w:rFonts w:cs="Times New Roman"/>
        </w:rPr>
        <w:t>1</w:t>
      </w:r>
      <w:r>
        <w:rPr>
          <w:rFonts w:hAnsi="宋体" w:cs="Times New Roman"/>
        </w:rPr>
        <w:t>）规避设计：企业即使在应诉中错过了规避设计的最佳时机，也可以在签发排除令后，采取措施重新获得进口资格。</w:t>
      </w:r>
      <w:r>
        <w:rPr>
          <w:rFonts w:cs="Times New Roman"/>
        </w:rPr>
        <w:t>“337</w:t>
      </w:r>
      <w:r>
        <w:rPr>
          <w:rFonts w:hAnsi="宋体" w:cs="Times New Roman"/>
        </w:rPr>
        <w:t>调查</w:t>
      </w:r>
      <w:r>
        <w:rPr>
          <w:rFonts w:cs="Times New Roman"/>
        </w:rPr>
        <w:t>”</w:t>
      </w:r>
      <w:r>
        <w:rPr>
          <w:rFonts w:hAnsi="宋体" w:cs="Times New Roman"/>
        </w:rPr>
        <w:t>的排除令由美国海关执行，由其判断相关进口产品是否落入</w:t>
      </w:r>
      <w:r>
        <w:rPr>
          <w:rFonts w:cs="Times New Roman"/>
        </w:rPr>
        <w:t>ITC</w:t>
      </w:r>
      <w:r>
        <w:rPr>
          <w:rFonts w:hAnsi="宋体" w:cs="Times New Roman"/>
        </w:rPr>
        <w:t>裁决中的侵权产品范围。如果企业的产品被</w:t>
      </w:r>
      <w:r>
        <w:rPr>
          <w:rFonts w:cs="Times New Roman"/>
        </w:rPr>
        <w:t>ITC</w:t>
      </w:r>
      <w:r>
        <w:rPr>
          <w:rFonts w:hAnsi="宋体" w:cs="Times New Roman"/>
        </w:rPr>
        <w:t>签发了排除令，企业或其进口商可以就经过规避设计的产品请求美国海关发表意见。如果海关认为规避设计产品不落入</w:t>
      </w:r>
      <w:r>
        <w:rPr>
          <w:rFonts w:cs="Times New Roman"/>
        </w:rPr>
        <w:t>ITC</w:t>
      </w:r>
      <w:r>
        <w:rPr>
          <w:rFonts w:hAnsi="宋体" w:cs="Times New Roman"/>
        </w:rPr>
        <w:t>裁决侵权产品的范围，则相关产品可以进入美国市场。企业也可以请求</w:t>
      </w:r>
      <w:r>
        <w:rPr>
          <w:rFonts w:cs="Times New Roman"/>
        </w:rPr>
        <w:t>ITC</w:t>
      </w:r>
      <w:r>
        <w:rPr>
          <w:rFonts w:hAnsi="宋体" w:cs="Times New Roman"/>
        </w:rPr>
        <w:t>启动咨询意见程序，由其对规避设计产品是否侵权发表意见。</w:t>
      </w:r>
    </w:p>
    <w:p>
      <w:pPr>
        <w:ind w:firstLine="480"/>
        <w:rPr>
          <w:rFonts w:cs="Times New Roman"/>
        </w:rPr>
      </w:pPr>
      <w:r>
        <w:rPr>
          <w:rFonts w:hAnsi="宋体" w:cs="Times New Roman"/>
        </w:rPr>
        <w:t>（</w:t>
      </w:r>
      <w:r>
        <w:rPr>
          <w:rFonts w:cs="Times New Roman"/>
        </w:rPr>
        <w:t>2</w:t>
      </w:r>
      <w:r>
        <w:rPr>
          <w:rFonts w:hAnsi="宋体" w:cs="Times New Roman"/>
        </w:rPr>
        <w:t>）专利许可：被申请人可以与申请人谈判获得使用专利的许可，并交纳合理的许可费。专利许可费可以用被许可方的利润为基数，从利润中支付。如果专利权人坚持要用销售额为基数，被许可方应当通过谈判，争取不以整个产品，而仅以涉及专利的零部件的价值为基数，尽量降低专利许可费。</w:t>
      </w:r>
    </w:p>
    <w:p>
      <w:pPr>
        <w:ind w:firstLine="480"/>
        <w:rPr>
          <w:rFonts w:hAnsi="宋体" w:cs="Times New Roman"/>
        </w:rPr>
      </w:pPr>
      <w:r>
        <w:rPr>
          <w:rFonts w:hAnsi="宋体" w:cs="Times New Roman"/>
        </w:rPr>
        <w:t>（</w:t>
      </w:r>
      <w:r>
        <w:rPr>
          <w:rFonts w:cs="Times New Roman"/>
        </w:rPr>
        <w:t>3</w:t>
      </w:r>
      <w:r>
        <w:rPr>
          <w:rFonts w:hAnsi="宋体" w:cs="Times New Roman"/>
        </w:rPr>
        <w:t>）战略合作：被申请人可以与申请人商讨开展战略合作。例如，谈判探讨成立合资企业等。</w:t>
      </w:r>
    </w:p>
    <w:p>
      <w:pPr>
        <w:ind w:firstLine="562"/>
        <w:outlineLvl w:val="2"/>
        <w:rPr>
          <w:rFonts w:ascii="黑体" w:hAnsi="黑体" w:eastAsia="黑体" w:cs="Helvetica"/>
          <w:b/>
          <w:color w:val="000000" w:themeColor="text1"/>
          <w:kern w:val="0"/>
          <w:sz w:val="28"/>
          <w:szCs w:val="28"/>
        </w:rPr>
      </w:pPr>
      <w:bookmarkStart w:id="73" w:name="_Toc203057577"/>
      <w:bookmarkStart w:id="74" w:name="_Toc121146307"/>
      <w:r>
        <w:rPr>
          <w:rFonts w:ascii="黑体" w:hAnsi="黑体" w:eastAsia="黑体" w:cs="Helvetica"/>
          <w:b/>
          <w:color w:val="000000" w:themeColor="text1"/>
          <w:kern w:val="0"/>
          <w:sz w:val="28"/>
          <w:szCs w:val="28"/>
        </w:rPr>
        <w:t xml:space="preserve">4.2.3 </w:t>
      </w:r>
      <w:r>
        <w:rPr>
          <w:rFonts w:hint="eastAsia" w:ascii="黑体" w:hAnsi="黑体" w:eastAsia="黑体" w:cs="Helvetica"/>
          <w:b/>
          <w:color w:val="000000" w:themeColor="text1"/>
          <w:kern w:val="0"/>
          <w:sz w:val="28"/>
          <w:szCs w:val="28"/>
        </w:rPr>
        <w:t>美国专利诉讼及常规应对策略</w:t>
      </w:r>
      <w:bookmarkEnd w:id="73"/>
      <w:bookmarkEnd w:id="74"/>
    </w:p>
    <w:p>
      <w:pPr>
        <w:ind w:firstLine="480"/>
        <w:rPr>
          <w:rFonts w:cs="Times New Roman"/>
        </w:rPr>
      </w:pPr>
      <w:r>
        <w:rPr>
          <w:rFonts w:hAnsi="宋体" w:cs="Times New Roman"/>
        </w:rPr>
        <w:t>美国专利诉讼的司法体系：美国联邦地区法院是专利侵权纠纷的初审管辖法院，受理案件的第一审法院为被告居住地、被告公司主要营业机构所在地或侵权行为发生地的联邦地区法院（涉及到外贸的专利侵权纠纷，也可以向美国准司法机构国际贸易委员会提起</w:t>
      </w:r>
      <w:r>
        <w:rPr>
          <w:rFonts w:cs="Times New Roman"/>
        </w:rPr>
        <w:t>“337</w:t>
      </w:r>
      <w:r>
        <w:rPr>
          <w:rFonts w:hAnsi="宋体" w:cs="Times New Roman"/>
        </w:rPr>
        <w:t>调查</w:t>
      </w:r>
      <w:r>
        <w:rPr>
          <w:rFonts w:cs="Times New Roman"/>
        </w:rPr>
        <w:t>”</w:t>
      </w:r>
      <w:r>
        <w:rPr>
          <w:rFonts w:hAnsi="宋体" w:cs="Times New Roman"/>
        </w:rPr>
        <w:t>）。美国共有</w:t>
      </w:r>
      <w:r>
        <w:rPr>
          <w:rFonts w:cs="Times New Roman"/>
        </w:rPr>
        <w:t>94</w:t>
      </w:r>
      <w:r>
        <w:rPr>
          <w:rFonts w:hAnsi="宋体" w:cs="Times New Roman"/>
        </w:rPr>
        <w:t>个联邦地区法院。对联邦地区法院裁决不服的任何一方当事人可以上诉至美国联邦巡回上诉法院。当事人对联邦巡回上诉法院裁决不服的，可以向美国最高法院提出复审请求。</w:t>
      </w:r>
    </w:p>
    <w:p>
      <w:pPr>
        <w:ind w:firstLine="482"/>
        <w:rPr>
          <w:rFonts w:cs="Times New Roman"/>
          <w:b/>
          <w:bCs/>
        </w:rPr>
      </w:pPr>
      <w:r>
        <w:rPr>
          <w:rFonts w:hint="eastAsia" w:hAnsi="宋体" w:cs="Times New Roman"/>
          <w:b/>
          <w:bCs/>
        </w:rPr>
        <w:t>一、</w:t>
      </w:r>
      <w:r>
        <w:rPr>
          <w:rFonts w:hAnsi="宋体" w:cs="Times New Roman"/>
          <w:b/>
          <w:bCs/>
        </w:rPr>
        <w:t>美国专利诉讼特点及风险</w:t>
      </w:r>
    </w:p>
    <w:p>
      <w:pPr>
        <w:ind w:firstLine="480"/>
        <w:rPr>
          <w:rFonts w:cs="Times New Roman"/>
        </w:rPr>
      </w:pPr>
      <w:r>
        <w:rPr>
          <w:rFonts w:hint="eastAsia" w:cs="Times New Roman"/>
        </w:rPr>
        <w:t>（1）</w:t>
      </w:r>
      <w:r>
        <w:rPr>
          <w:rFonts w:hAnsi="宋体" w:cs="Times New Roman"/>
        </w:rPr>
        <w:t>时间长，诉讼时间一般在</w:t>
      </w:r>
      <w:r>
        <w:rPr>
          <w:rFonts w:cs="Times New Roman"/>
        </w:rPr>
        <w:t>2~6</w:t>
      </w:r>
      <w:r>
        <w:rPr>
          <w:rFonts w:hAnsi="宋体" w:cs="Times New Roman"/>
        </w:rPr>
        <w:t>年间；</w:t>
      </w:r>
    </w:p>
    <w:p>
      <w:pPr>
        <w:ind w:firstLine="480"/>
        <w:rPr>
          <w:rFonts w:cs="Times New Roman"/>
        </w:rPr>
      </w:pPr>
      <w:r>
        <w:rPr>
          <w:rFonts w:hint="eastAsia" w:cs="Times New Roman"/>
        </w:rPr>
        <w:t>（2）</w:t>
      </w:r>
      <w:r>
        <w:rPr>
          <w:rFonts w:hAnsi="宋体" w:cs="Times New Roman"/>
        </w:rPr>
        <w:t>侵权赔偿，美国对专利侵权以强救济著称，侵权赔偿数额往往较大，另外，如果被裁定故意侵权，企业可能面临高达三倍的侵权赔偿，以及在特定情节下负担对方律师费用的代价；</w:t>
      </w:r>
    </w:p>
    <w:p>
      <w:pPr>
        <w:ind w:firstLine="480"/>
        <w:rPr>
          <w:rFonts w:cs="Times New Roman"/>
        </w:rPr>
      </w:pPr>
      <w:r>
        <w:rPr>
          <w:rFonts w:hint="eastAsia" w:cs="Times New Roman"/>
        </w:rPr>
        <w:t>（3）</w:t>
      </w:r>
      <w:r>
        <w:rPr>
          <w:rFonts w:hAnsi="宋体" w:cs="Times New Roman"/>
        </w:rPr>
        <w:t>丧失市场，如果法院还发出了永久禁令，则被告将被禁止在美国生产或销售被诉侵权产品，这将极大影响企业的市场与长期发展；</w:t>
      </w:r>
    </w:p>
    <w:p>
      <w:pPr>
        <w:ind w:firstLine="480"/>
        <w:rPr>
          <w:rFonts w:cs="Times New Roman"/>
        </w:rPr>
      </w:pPr>
      <w:r>
        <w:rPr>
          <w:rFonts w:hint="eastAsia" w:cs="Times New Roman"/>
        </w:rPr>
        <w:t>（4）</w:t>
      </w:r>
      <w:r>
        <w:rPr>
          <w:rFonts w:hAnsi="宋体" w:cs="Times New Roman"/>
        </w:rPr>
        <w:t>诉讼成本，除了损害赔偿金外，潜在的诉讼成本十分昂贵，其中包括律师费用（几十万到几百万美元），以及聘用专家、差旅等费用（一般为律师费用的</w:t>
      </w:r>
      <w:r>
        <w:rPr>
          <w:rFonts w:cs="Times New Roman"/>
        </w:rPr>
        <w:t>25%</w:t>
      </w:r>
      <w:r>
        <w:rPr>
          <w:rFonts w:hAnsi="宋体" w:cs="Times New Roman"/>
        </w:rPr>
        <w:t>）等，近年来更有逐年增高之势；</w:t>
      </w:r>
    </w:p>
    <w:p>
      <w:pPr>
        <w:ind w:firstLine="480"/>
        <w:rPr>
          <w:rFonts w:cs="Times New Roman"/>
        </w:rPr>
      </w:pPr>
      <w:r>
        <w:rPr>
          <w:rFonts w:hint="eastAsia" w:cs="Times New Roman"/>
        </w:rPr>
        <w:t>（5）</w:t>
      </w:r>
      <w:r>
        <w:rPr>
          <w:rFonts w:hAnsi="宋体" w:cs="Times New Roman"/>
        </w:rPr>
        <w:t>企业形象与业务机会损失，专利诉讼还会耗费企业主要管理、技术、财务人员的大量时间，影响企业的正常经营，伤害企业商誉而流失客户，造成业务机会损失等。</w:t>
      </w:r>
    </w:p>
    <w:p>
      <w:pPr>
        <w:ind w:firstLine="480"/>
        <w:rPr>
          <w:rFonts w:cs="Times New Roman"/>
        </w:rPr>
      </w:pPr>
      <w:r>
        <w:rPr>
          <w:rFonts w:hAnsi="宋体" w:cs="Times New Roman"/>
        </w:rPr>
        <w:t>美国专利诉讼的基本程序</w:t>
      </w:r>
    </w:p>
    <w:p>
      <w:pPr>
        <w:ind w:firstLine="480"/>
        <w:rPr>
          <w:rFonts w:cs="Times New Roman"/>
        </w:rPr>
      </w:pPr>
      <w:r>
        <w:rPr>
          <w:rFonts w:hAnsi="宋体" w:cs="Times New Roman"/>
        </w:rPr>
        <w:t>美国专利诉讼主要包括诉前警告、提起诉讼请求、调查取证、马克曼听证（权利要求解释听证）、审前动议、审理等主要程序，如下图</w:t>
      </w:r>
      <w:r>
        <w:rPr>
          <w:rFonts w:cs="Times New Roman"/>
        </w:rPr>
        <w:t>5.1-2</w:t>
      </w:r>
      <w:r>
        <w:rPr>
          <w:rFonts w:hAnsi="宋体" w:cs="Times New Roman"/>
        </w:rPr>
        <w:t>所示。</w:t>
      </w:r>
    </w:p>
    <w:p>
      <w:pPr>
        <w:ind w:firstLine="0" w:firstLineChars="0"/>
        <w:rPr>
          <w:rFonts w:cs="Times New Roman"/>
        </w:rPr>
      </w:pPr>
      <w:r>
        <w:rPr>
          <w:rFonts w:cs="Times New Roman"/>
        </w:rPr>
        <w:drawing>
          <wp:inline distT="0" distB="0" distL="0" distR="0">
            <wp:extent cx="5274310" cy="2433955"/>
            <wp:effectExtent l="0" t="0" r="8890" b="4445"/>
            <wp:docPr id="23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3"/>
                    <pic:cNvPicPr>
                      <a:picLocks noChangeAspect="1" noChangeArrowheads="1"/>
                    </pic:cNvPicPr>
                  </pic:nvPicPr>
                  <pic:blipFill>
                    <a:blip r:embed="rId35"/>
                    <a:srcRect/>
                    <a:stretch>
                      <a:fillRect/>
                    </a:stretch>
                  </pic:blipFill>
                  <pic:spPr>
                    <a:xfrm>
                      <a:off x="0" y="0"/>
                      <a:ext cx="5274310" cy="2434530"/>
                    </a:xfrm>
                    <a:prstGeom prst="rect">
                      <a:avLst/>
                    </a:prstGeom>
                    <a:noFill/>
                    <a:ln w="9525">
                      <a:noFill/>
                      <a:miter lim="800000"/>
                      <a:headEnd/>
                      <a:tailEnd/>
                    </a:ln>
                  </pic:spPr>
                </pic:pic>
              </a:graphicData>
            </a:graphic>
          </wp:inline>
        </w:drawing>
      </w:r>
    </w:p>
    <w:p>
      <w:pPr>
        <w:ind w:firstLine="482"/>
        <w:jc w:val="center"/>
        <w:rPr>
          <w:rFonts w:cs="Times New Roman"/>
          <w:b/>
          <w:bCs/>
        </w:rPr>
      </w:pPr>
      <w:r>
        <w:rPr>
          <w:rFonts w:hAnsi="宋体" w:cs="Times New Roman"/>
          <w:b/>
          <w:bCs/>
        </w:rPr>
        <w:t>图</w:t>
      </w:r>
      <w:r>
        <w:rPr>
          <w:rFonts w:cs="Times New Roman"/>
          <w:b/>
          <w:bCs/>
        </w:rPr>
        <w:t>4.2</w:t>
      </w:r>
      <w:r>
        <w:rPr>
          <w:rFonts w:hint="eastAsia" w:cs="Times New Roman"/>
          <w:b/>
          <w:bCs/>
        </w:rPr>
        <w:t>-</w:t>
      </w:r>
      <w:r>
        <w:rPr>
          <w:rFonts w:cs="Times New Roman"/>
          <w:b/>
          <w:bCs/>
        </w:rPr>
        <w:t xml:space="preserve">2 </w:t>
      </w:r>
      <w:r>
        <w:rPr>
          <w:rFonts w:hAnsi="宋体" w:cs="Times New Roman"/>
          <w:b/>
          <w:bCs/>
        </w:rPr>
        <w:t>美国专利诉讼程序</w:t>
      </w:r>
    </w:p>
    <w:p>
      <w:pPr>
        <w:ind w:firstLine="482"/>
        <w:rPr>
          <w:rFonts w:hAnsi="宋体" w:cs="Times New Roman"/>
          <w:b/>
          <w:bCs/>
        </w:rPr>
      </w:pPr>
      <w:r>
        <w:rPr>
          <w:rFonts w:hint="eastAsia" w:hAnsi="宋体" w:cs="Times New Roman"/>
          <w:b/>
          <w:bCs/>
        </w:rPr>
        <w:t>二、</w:t>
      </w:r>
      <w:r>
        <w:rPr>
          <w:rFonts w:hAnsi="宋体" w:cs="Times New Roman"/>
          <w:b/>
          <w:bCs/>
        </w:rPr>
        <w:t>美国专利诉讼的应对策略</w:t>
      </w:r>
    </w:p>
    <w:p>
      <w:pPr>
        <w:ind w:firstLine="480"/>
        <w:rPr>
          <w:rFonts w:cs="Times New Roman"/>
        </w:rPr>
      </w:pPr>
      <w:r>
        <w:rPr>
          <w:rFonts w:hAnsi="宋体" w:cs="Times New Roman"/>
        </w:rPr>
        <w:t>（</w:t>
      </w:r>
      <w:r>
        <w:rPr>
          <w:rFonts w:cs="Times New Roman"/>
        </w:rPr>
        <w:t>1</w:t>
      </w:r>
      <w:r>
        <w:rPr>
          <w:rFonts w:hAnsi="宋体" w:cs="Times New Roman"/>
        </w:rPr>
        <w:t>）重视警告信，评估侵权风险</w:t>
      </w:r>
    </w:p>
    <w:p>
      <w:pPr>
        <w:ind w:firstLine="480"/>
        <w:rPr>
          <w:rFonts w:cs="Times New Roman"/>
        </w:rPr>
      </w:pPr>
      <w:r>
        <w:rPr>
          <w:rFonts w:hAnsi="宋体" w:cs="Times New Roman"/>
        </w:rPr>
        <w:t>美国专利权人发出的警告信是诉讼风险的强烈信号，当收到警告信后，不能不理不睬。急于答复对方往往会在谈判中处于不利地位，但迟迟不答复，可能使企业面临因故意侵权处以</w:t>
      </w:r>
      <w:r>
        <w:rPr>
          <w:rFonts w:cs="Times New Roman"/>
        </w:rPr>
        <w:t>2~3</w:t>
      </w:r>
      <w:r>
        <w:rPr>
          <w:rFonts w:hAnsi="宋体" w:cs="Times New Roman"/>
        </w:rPr>
        <w:t>倍的惩罚性赔偿。对产品是否侵权及专利权是否有效做出分析评议；如需要，聘请具有技术背景和执业经验的美国专利律师出具法律意见书。</w:t>
      </w:r>
    </w:p>
    <w:p>
      <w:pPr>
        <w:ind w:firstLine="480"/>
        <w:rPr>
          <w:rFonts w:cs="Times New Roman"/>
        </w:rPr>
      </w:pPr>
      <w:r>
        <w:rPr>
          <w:rFonts w:hAnsi="宋体" w:cs="Times New Roman"/>
        </w:rPr>
        <w:t>（</w:t>
      </w:r>
      <w:r>
        <w:rPr>
          <w:rFonts w:cs="Times New Roman"/>
        </w:rPr>
        <w:t>2</w:t>
      </w:r>
      <w:r>
        <w:rPr>
          <w:rFonts w:hAnsi="宋体" w:cs="Times New Roman"/>
        </w:rPr>
        <w:t>）挑战专利权有效性</w:t>
      </w:r>
    </w:p>
    <w:p>
      <w:pPr>
        <w:ind w:firstLine="480"/>
        <w:rPr>
          <w:rFonts w:cs="Times New Roman"/>
        </w:rPr>
      </w:pPr>
      <w:r>
        <w:rPr>
          <w:rFonts w:hAnsi="宋体" w:cs="Times New Roman"/>
        </w:rPr>
        <w:t>在美国司法</w:t>
      </w:r>
      <w:r>
        <w:rPr>
          <w:rFonts w:cs="Times New Roman"/>
        </w:rPr>
        <w:t>/</w:t>
      </w:r>
      <w:r>
        <w:rPr>
          <w:rFonts w:hAnsi="宋体" w:cs="Times New Roman"/>
        </w:rPr>
        <w:t>行政体系，挑战专利权的有效性有两个途径：可以向美国专利商标局提起专利无效请求，也可以向法院提起诉讼。企业可结合现实情况、证据类型以及需求，选择合适的方式。</w:t>
      </w:r>
    </w:p>
    <w:p>
      <w:pPr>
        <w:ind w:firstLine="480"/>
        <w:rPr>
          <w:rFonts w:cs="Times New Roman"/>
        </w:rPr>
      </w:pPr>
      <w:r>
        <w:rPr>
          <w:rFonts w:hAnsi="宋体" w:cs="Times New Roman"/>
        </w:rPr>
        <w:t>（</w:t>
      </w:r>
      <w:r>
        <w:rPr>
          <w:rFonts w:cs="Times New Roman"/>
        </w:rPr>
        <w:t>3</w:t>
      </w:r>
      <w:r>
        <w:rPr>
          <w:rFonts w:hAnsi="宋体" w:cs="Times New Roman"/>
        </w:rPr>
        <w:t>）提交诉状及应答诉状</w:t>
      </w:r>
    </w:p>
    <w:p>
      <w:pPr>
        <w:ind w:firstLine="480"/>
        <w:rPr>
          <w:rFonts w:cs="Times New Roman"/>
        </w:rPr>
      </w:pPr>
      <w:r>
        <w:rPr>
          <w:rFonts w:hAnsi="宋体" w:cs="Times New Roman"/>
        </w:rPr>
        <w:t>在美国打专利侵权官司耗时耗钱，被告的企业可从成本利益和自身发展战略的角度综合考虑是否应诉。如果被告的企业决定应诉，可以选择和委托美国专业律师事务所，分析诉状，研究抗辩理由，考虑可以采取的应对措施，积极应诉。被告在应答诉状中可以考虑的抗辩理由主要包括：</w:t>
      </w:r>
      <w:r>
        <w:rPr>
          <w:rFonts w:cs="Times New Roman"/>
        </w:rPr>
        <w:t>1</w:t>
      </w:r>
      <w:r>
        <w:rPr>
          <w:rFonts w:hAnsi="宋体" w:cs="Times New Roman"/>
        </w:rPr>
        <w:t>）主张没有侵犯专利权，主要包括与专利客体不相同和提出专利权无效两个方面，</w:t>
      </w:r>
      <w:r>
        <w:rPr>
          <w:rFonts w:cs="Times New Roman"/>
        </w:rPr>
        <w:t>2</w:t>
      </w:r>
      <w:r>
        <w:rPr>
          <w:rFonts w:hAnsi="宋体" w:cs="Times New Roman"/>
        </w:rPr>
        <w:t>）不视为侵犯专利权的行为，以不承担侵权责任进行抗辩，包括：已得到专利权人授权，如专利权用尽、明示或默示许可等情况；在先使用（先用权）；科学试验目的的使用；超过损害赔偿主张时效；懈怠和禁止反悔的情形等；</w:t>
      </w:r>
      <w:r>
        <w:rPr>
          <w:rFonts w:cs="Times New Roman"/>
        </w:rPr>
        <w:t>3</w:t>
      </w:r>
      <w:r>
        <w:rPr>
          <w:rFonts w:hAnsi="宋体" w:cs="Times New Roman"/>
        </w:rPr>
        <w:t>）主张专利权不可实施，包括专利权的获取不公正以及专利权滥用和垄断等情况。</w:t>
      </w:r>
    </w:p>
    <w:p>
      <w:pPr>
        <w:ind w:firstLine="480"/>
        <w:rPr>
          <w:rFonts w:cs="Times New Roman"/>
        </w:rPr>
      </w:pPr>
      <w:r>
        <w:rPr>
          <w:rFonts w:hAnsi="宋体" w:cs="Times New Roman"/>
        </w:rPr>
        <w:t>（</w:t>
      </w:r>
      <w:r>
        <w:rPr>
          <w:rFonts w:cs="Times New Roman"/>
        </w:rPr>
        <w:t>4</w:t>
      </w:r>
      <w:r>
        <w:rPr>
          <w:rFonts w:hAnsi="宋体" w:cs="Times New Roman"/>
        </w:rPr>
        <w:t>）和解策略</w:t>
      </w:r>
    </w:p>
    <w:p>
      <w:pPr>
        <w:ind w:firstLine="480"/>
        <w:rPr>
          <w:rFonts w:hAnsi="宋体" w:cs="Times New Roman"/>
        </w:rPr>
      </w:pPr>
      <w:r>
        <w:rPr>
          <w:rFonts w:hAnsi="宋体" w:cs="Times New Roman"/>
        </w:rPr>
        <w:t>企业在选择和解前，需要明确自己的商业目标，当和解条件能够实现商业目标时，可以考虑达成和解。企业需考虑的因素包括：分析产品是否侵权、专利权是否可能被无效，法院发出禁令的可能性，侵权赔偿额度，权利人的诉讼能力，诉讼成本，双方市场份额，可以制约对方的知识产权，是否拥有与对方相同产品线或互补性产品的技术，产品赢利性，有无第三方的侵权补偿义务，有无商业替代方案及技术替代方案，技术更新的可能性，权利人的商业目的或需求等。企业需要构建和解战略，确定可接受的许可使用费，制定谈判计划，选择谈判团队和地点。</w:t>
      </w:r>
    </w:p>
    <w:p>
      <w:pPr>
        <w:ind w:firstLine="562"/>
        <w:outlineLvl w:val="2"/>
        <w:rPr>
          <w:rFonts w:ascii="黑体" w:hAnsi="黑体" w:eastAsia="黑体" w:cs="Helvetica"/>
          <w:b/>
          <w:color w:val="000000" w:themeColor="text1"/>
          <w:kern w:val="0"/>
          <w:sz w:val="28"/>
          <w:szCs w:val="28"/>
        </w:rPr>
      </w:pPr>
      <w:bookmarkStart w:id="75" w:name="_Toc121146308"/>
      <w:bookmarkStart w:id="76" w:name="_Toc203057578"/>
      <w:r>
        <w:rPr>
          <w:rFonts w:ascii="黑体" w:hAnsi="黑体" w:eastAsia="黑体" w:cs="Helvetica"/>
          <w:b/>
          <w:color w:val="000000" w:themeColor="text1"/>
          <w:kern w:val="0"/>
          <w:sz w:val="28"/>
          <w:szCs w:val="28"/>
        </w:rPr>
        <w:t xml:space="preserve">4.2.4 </w:t>
      </w:r>
      <w:r>
        <w:rPr>
          <w:rFonts w:hint="eastAsia" w:ascii="黑体" w:hAnsi="黑体" w:eastAsia="黑体" w:cs="Helvetica"/>
          <w:b/>
          <w:color w:val="000000" w:themeColor="text1"/>
          <w:kern w:val="0"/>
          <w:sz w:val="28"/>
          <w:szCs w:val="28"/>
        </w:rPr>
        <w:t>美国侵权诉讼中的反诉及抗辩</w:t>
      </w:r>
      <w:bookmarkEnd w:id="75"/>
      <w:bookmarkEnd w:id="76"/>
    </w:p>
    <w:p>
      <w:pPr>
        <w:ind w:firstLine="480"/>
      </w:pPr>
      <w:r>
        <w:t>在受到专利侵权的指控时，被告也可以依据法律的规定，采取一系列的反诉或者抗辩手段，以证明自身的行为实质不侵权或者尽管侵权但可以不承担或者少承担法律责任。</w:t>
      </w:r>
    </w:p>
    <w:p>
      <w:pPr>
        <w:ind w:firstLine="482"/>
        <w:rPr>
          <w:b/>
          <w:bCs/>
        </w:rPr>
      </w:pPr>
      <w:r>
        <w:rPr>
          <w:rFonts w:asciiTheme="minorEastAsia" w:hAnsiTheme="minorEastAsia" w:eastAsiaTheme="minorEastAsia"/>
          <w:b/>
          <w:bCs/>
        </w:rPr>
        <w:t>1</w:t>
      </w:r>
      <w:r>
        <w:rPr>
          <w:rFonts w:hint="eastAsia" w:asciiTheme="minorEastAsia" w:hAnsiTheme="minorEastAsia" w:eastAsiaTheme="minorEastAsia"/>
          <w:b/>
          <w:bCs/>
        </w:rPr>
        <w:t>．</w:t>
      </w:r>
      <w:r>
        <w:rPr>
          <w:b/>
          <w:bCs/>
        </w:rPr>
        <w:t>反诉专利权无效</w:t>
      </w:r>
    </w:p>
    <w:p>
      <w:pPr>
        <w:ind w:firstLine="480"/>
      </w:pPr>
      <w:r>
        <w:t>专利权无效是指有关专利不符合新颖性、非显而易见性、实用性或者未能充分披露技术方案等法定要件，而导致专利权被判定为无效。根据美国的法律，美国专利商标局的专利授权只是初步假定专利为有效，而其最终的效力由法院来决定。在专利侵权诉讼中，反诉专利权人专利无效是最常见的未侵权抗辩手段。几乎所有的被告在面临侵权指控时首先考虑和提出的辩解就是专利权无效。</w:t>
      </w:r>
      <w:r>
        <w:br w:type="textWrapping"/>
      </w:r>
      <w:r>
        <w:t>在美国除了被指控侵权者之外，任何人都可以挑战专利权的有效性，但其中是否包括与专利权人签订许可协议的被许可人则是一个需要仔细讨论的问题。是否允许被许可人挑战专利权的效力，实际上涉及两种法律传统的冲突，即合同法上的不得反悔理论和专利法上不保护公有领域发明创造的传统。传统上，合同法上的禁止反悔原则曾经占据上风，专利的被许可人不得对有关专利权的效力提出挑战，尤其禁止为了逃避专利许可费而挑战专利权的有效性。但在著名的“利尔”案中，美国联邦最高法院以美国专利法不保护公有领域的发明这一基本原则为出发点，详细讨论了以两种不同的观点来判断是否允许被许可人挑战专利权有效性对专利制度以及市场竞争的影响，认为所有在公众中流传的思想观念应当由公众自由享有，如果不允许被许可人挑战专利权的效力，可能产生公众向可能的垄断者支付不必要的代价等不利于竞争的后果。</w:t>
      </w:r>
    </w:p>
    <w:p>
      <w:pPr>
        <w:ind w:firstLine="482"/>
        <w:rPr>
          <w:b/>
          <w:bCs/>
        </w:rPr>
      </w:pPr>
      <w:r>
        <w:rPr>
          <w:rFonts w:hint="eastAsia" w:asciiTheme="minorEastAsia" w:hAnsiTheme="minorEastAsia" w:eastAsiaTheme="minorEastAsia"/>
          <w:b/>
          <w:bCs/>
        </w:rPr>
        <w:t>2．</w:t>
      </w:r>
      <w:r>
        <w:rPr>
          <w:b/>
          <w:bCs/>
        </w:rPr>
        <w:t>反诉专利权不可实施</w:t>
      </w:r>
    </w:p>
    <w:p>
      <w:pPr>
        <w:ind w:firstLine="480"/>
      </w:pPr>
      <w:r>
        <w:t>专利权不可实施通常是由专利权人在获得专利授权时采取了不正当手段而导致的。专利权不可实施理论和实践由衡平法中的“不干净之手”发展而来。按照美国专利法的规定，在申请获得专利授权时，申请人应当向专利局如实提供有关申请案的新颖性、非显而易见性和实用性的信息，包括完全披露有关发明。如果申请人在专利审批过程中提供了虚假信息，尤其是在答复专利审查员的询问时提供了虚假的证明，则很可能在未来的诉讼中导致专利权不可实施。</w:t>
      </w:r>
    </w:p>
    <w:p>
      <w:pPr>
        <w:ind w:firstLine="480"/>
      </w:pPr>
      <w:r>
        <w:t>在侵权诉讼中，如果被告需要证明对方专利系不可实施，需要提供清楚而且具有说服力的证据，说明申请人确实在申请专利的过程中向专利审查员作出过误导性陈述或者隐瞒了某些重要信息。这些情况均会导致相关的专利不可实施。即使申请人的错误仅仅与专利权的一项权利要求相关，也会导致整个专利权的不可实施。而且，权利人在申请专利过程中在某一项专利申请上的不正当行为，有时甚至会导致与这项专利相关的其他专利的不可实施。</w:t>
      </w:r>
    </w:p>
    <w:p>
      <w:pPr>
        <w:ind w:firstLine="482"/>
        <w:rPr>
          <w:b/>
          <w:bCs/>
        </w:rPr>
      </w:pPr>
      <w:r>
        <w:rPr>
          <w:rFonts w:hint="eastAsia" w:asciiTheme="minorEastAsia" w:hAnsiTheme="minorEastAsia" w:eastAsiaTheme="minorEastAsia"/>
          <w:b/>
          <w:bCs/>
        </w:rPr>
        <w:t>3.</w:t>
      </w:r>
      <w:r>
        <w:rPr>
          <w:b/>
          <w:bCs/>
        </w:rPr>
        <w:t>反诉专利权人滥用专利权</w:t>
      </w:r>
    </w:p>
    <w:p>
      <w:pPr>
        <w:ind w:firstLine="480"/>
      </w:pPr>
      <w:r>
        <w:t>滥用专利权是指专利权人超出法律允许的范围利用专利权限制市场竞争的行为。传统上，竞争被认为既是经济人的本性也是资本主义自由经济的基石，同时也被认为是经济繁荣的重要保证。但过度竞争与垄断之间常常是一个问题的两个方面，自由放任竞争的结果往往导致垄断的产生。因此世界各国少有从正面鼓励、促进竞争的法律，而把对影响正常竞争的行为进行限制和控制作为维护竞争的主要途径。</w:t>
      </w:r>
    </w:p>
    <w:p>
      <w:pPr>
        <w:ind w:firstLine="480"/>
      </w:pPr>
      <w:r>
        <w:t>在美国滥用是被指控侵权者常用的抗辩手段之一，如果专利权人被裁定滥用专利权，则被告的侵权责任不但得以免除，而且专利权人可能会因为其滥用专利权的行为受到反垄断法的处罚。但由于专利保护涉及促进创新、为社会公众提供更高水平的福利等价值目标，其与反垄断的政策目标和价值取向之间的平衡，常常根据经济形式和市场竞争状态的发展而不断地进行修正。这一点在美国专利法的修订过程中能够鲜明地体现出来。1952年美国大幅修订美国专利法时增加了第271条d款，规定了3种不属于滥用专利权的行为，1988年再次重修美国专利法时，增加了2种不属于滥用专利权的行为。</w:t>
      </w:r>
    </w:p>
    <w:p>
      <w:pPr>
        <w:ind w:firstLine="480"/>
      </w:pPr>
      <w:r>
        <w:t>在美国司法实践中，专利侵权诉讼中的专利权滥用与非滥用，主要是就搭售与发明专利有关的，而又不为专利权所覆盖的产品而言。专利权的滥用多与帮助侵权有关。当法律允许专利权人以搭售的方式行使自己的权利时，他人如果销售专用于实施专利的设备、零部件时即构成帮助侵权，即使该设备、零部件并非专利权保护范围所覆盖；当法律不允许专利权人以搭售的方式行使专利权时，他人销售相关设备很难构成帮助侵权。</w:t>
      </w:r>
    </w:p>
    <w:p>
      <w:pPr>
        <w:ind w:firstLine="482"/>
        <w:rPr>
          <w:b/>
          <w:bCs/>
        </w:rPr>
      </w:pPr>
      <w:r>
        <w:rPr>
          <w:rFonts w:asciiTheme="minorEastAsia" w:hAnsiTheme="minorEastAsia" w:eastAsiaTheme="minorEastAsia"/>
          <w:b/>
          <w:bCs/>
        </w:rPr>
        <w:t>4</w:t>
      </w:r>
      <w:r>
        <w:rPr>
          <w:rFonts w:hint="eastAsia" w:asciiTheme="minorEastAsia" w:hAnsiTheme="minorEastAsia" w:eastAsiaTheme="minorEastAsia"/>
          <w:b/>
          <w:bCs/>
        </w:rPr>
        <w:t>．</w:t>
      </w:r>
      <w:r>
        <w:rPr>
          <w:b/>
          <w:bCs/>
        </w:rPr>
        <w:t>权利用尽的抗辩</w:t>
      </w:r>
    </w:p>
    <w:p>
      <w:pPr>
        <w:ind w:firstLine="480"/>
      </w:pPr>
      <w:r>
        <w:t>权利用尽是指如果专利权人不对专利产品进行限制且将专利产品自行销售或者授权他人销售至市场，则购买人得对产品进行使用或者予以再次销售。购买人的使用或者销售行为不构成对专利的侵权。然而，尽管产品是由专利权人自行销售或者授权销售，通过在专利产品的首次销售契约上所记载的排他性文字也可以对其进行限制。</w:t>
      </w:r>
    </w:p>
    <w:p>
      <w:pPr>
        <w:ind w:firstLine="480"/>
      </w:pPr>
      <w:r>
        <w:t>由销售导致的权利用尽也有例外情况。进口者从专利权人以外的销售者手中于外国购入专利产品，将其于国内进行销售的行为构成侵权。这种自国外合法销售商手中获得专利产品并进口到美国的行为被称为“平行进口”。美国专利法第271条a款和第271条g款将这种平行进口认定为作为侵权行为，但是需要专利权人明确保留该专利权。专利权人可以在销售许可协议中设定地域限制而实现前述所谓权利保留。</w:t>
      </w:r>
    </w:p>
    <w:p>
      <w:pPr>
        <w:ind w:firstLine="482"/>
        <w:rPr>
          <w:b/>
          <w:bCs/>
        </w:rPr>
      </w:pPr>
      <w:r>
        <w:rPr>
          <w:rFonts w:asciiTheme="minorEastAsia" w:hAnsiTheme="minorEastAsia" w:eastAsiaTheme="minorEastAsia"/>
          <w:b/>
          <w:bCs/>
        </w:rPr>
        <w:t>5</w:t>
      </w:r>
      <w:r>
        <w:rPr>
          <w:rFonts w:hint="eastAsia" w:asciiTheme="minorEastAsia" w:hAnsiTheme="minorEastAsia" w:eastAsiaTheme="minorEastAsia"/>
          <w:b/>
          <w:bCs/>
        </w:rPr>
        <w:t>．</w:t>
      </w:r>
      <w:r>
        <w:rPr>
          <w:b/>
          <w:bCs/>
        </w:rPr>
        <w:t>实施许可或者默示实施许可</w:t>
      </w:r>
    </w:p>
    <w:p>
      <w:pPr>
        <w:ind w:firstLine="480"/>
      </w:pPr>
      <w:r>
        <w:t>实施许可是被指控侵权者的一项积极的抗辩形式。如果获得了明确的实施许可，专利权人即应受此约束，被许可人有在协议范围内使用专利权利的自由。实施许可通常通过明示的协议而成立，但也存在默示的情况。</w:t>
      </w:r>
    </w:p>
    <w:p>
      <w:pPr>
        <w:ind w:firstLine="480"/>
      </w:pPr>
      <w:r>
        <w:t>默示实施许诺也是对专利侵权的抗辩。默示实施许诺意味着专利权人放弃了排他权。被指控侵权人具有证明存在默认实施许诺的责任。默示实施许诺通常可以通过默认、行为、基于平衡法或者法定禁止反悔原则而形成。根据美国判例法，由禁止反悔原则而形成的默示实施许诺通常需要满足的条件为专利权人的某种行为使得被指控侵权者产生了专利权人放弃权利或者默示许可其行使侵权行为的误解，并且被指控侵权人对这种误解有着较高程度的信赖。这种行为包括，权利人在得知被指控侵权者销售专利产品但并没有采取维护自身权益的行为等。</w:t>
      </w:r>
    </w:p>
    <w:p>
      <w:pPr>
        <w:ind w:firstLine="482"/>
        <w:rPr>
          <w:b/>
          <w:bCs/>
        </w:rPr>
      </w:pPr>
      <w:r>
        <w:rPr>
          <w:rFonts w:asciiTheme="minorEastAsia" w:hAnsiTheme="minorEastAsia" w:eastAsiaTheme="minorEastAsia"/>
          <w:b/>
          <w:bCs/>
        </w:rPr>
        <w:t>6</w:t>
      </w:r>
      <w:r>
        <w:rPr>
          <w:rFonts w:hint="eastAsia" w:asciiTheme="minorEastAsia" w:hAnsiTheme="minorEastAsia" w:eastAsiaTheme="minorEastAsia"/>
          <w:b/>
          <w:bCs/>
        </w:rPr>
        <w:t>．</w:t>
      </w:r>
      <w:r>
        <w:rPr>
          <w:b/>
          <w:bCs/>
        </w:rPr>
        <w:t>研究实验目的的抗辩和bolar例外</w:t>
      </w:r>
    </w:p>
    <w:p>
      <w:pPr>
        <w:ind w:firstLine="480"/>
      </w:pPr>
      <w:r>
        <w:t>研究实验的抗辩是指为了科学研究和满足个人兴趣而使用他人专利，此类行为不构成专利侵权。在美国法上，为研究实验而使用是一个非常狭窄的概念，仅仅针对科学研究和满足个人兴趣。如果被告是为了商业目的而使用，包括为了开发新产品或作出新发明而使用，即不属于为研究实验的目的。即使被指控侵权者为个人方便而使用专利技术，也不属于为研究实验目的使用。</w:t>
      </w:r>
    </w:p>
    <w:p>
      <w:pPr>
        <w:ind w:firstLine="480"/>
      </w:pPr>
      <w:r>
        <w:t>Bolar例外来源于医药的专利保护领域。在美国，药品的上市需要获得美国联邦食品与药品管理局的批准，为获得这种批准，申请人需要提交大量的实验报告。在专利药品即将过期之前，即有仿制药品生产厂商开始对该药品进行实验，并提交实验报告等待食品与药品管理局的审批。如果此时以专利侵权为由禁止仿制药品生产厂商对专利药品进行以商业目的的实验，即有可能导致实质上延长专利药品的20年保护期。因此，1998年美国修订专利法时，在第271条e款中规定，为了向联邦有关机构提供信息而使用专利药品不构成侵权。</w:t>
      </w:r>
    </w:p>
    <w:p>
      <w:pPr>
        <w:ind w:firstLine="482"/>
        <w:rPr>
          <w:b/>
          <w:bCs/>
        </w:rPr>
      </w:pPr>
      <w:r>
        <w:rPr>
          <w:rFonts w:asciiTheme="minorEastAsia" w:hAnsiTheme="minorEastAsia" w:eastAsiaTheme="minorEastAsia"/>
          <w:b/>
          <w:bCs/>
        </w:rPr>
        <w:t>7</w:t>
      </w:r>
      <w:r>
        <w:rPr>
          <w:rFonts w:hint="eastAsia" w:asciiTheme="minorEastAsia" w:hAnsiTheme="minorEastAsia" w:eastAsiaTheme="minorEastAsia"/>
          <w:b/>
          <w:bCs/>
        </w:rPr>
        <w:t>．</w:t>
      </w:r>
      <w:r>
        <w:rPr>
          <w:b/>
          <w:bCs/>
        </w:rPr>
        <w:t>在先使用的抗辩</w:t>
      </w:r>
    </w:p>
    <w:p>
      <w:pPr>
        <w:ind w:firstLine="480"/>
      </w:pPr>
      <w:r>
        <w:t>美国是先发明制国家，本不存在先申请制国家中所谓先用权问题。但是为了协调商业秘密保护和专利保护制度之间的关系，美国仍然允许以在先使用为条件对专利侵权的指控进行抗辩。根据美国专利法的规定，如果在专利有效申请日至少1年之前，被指控侵权人以诚实的行为自己发明了相关技术方案或者以其他合法方式获得了处于保密状态的技术方案，并且在专利的生效日之前对专利权利要求所述的技术方案进行使用，则不负有侵权的责任。</w:t>
      </w:r>
    </w:p>
    <w:p>
      <w:pPr>
        <w:ind w:firstLine="562"/>
        <w:outlineLvl w:val="1"/>
      </w:pPr>
      <w:bookmarkStart w:id="77" w:name="_Toc203057579"/>
      <w:bookmarkStart w:id="78" w:name="_Toc176955955"/>
      <w:r>
        <w:rPr>
          <w:rFonts w:ascii="黑体" w:hAnsi="黑体" w:eastAsia="黑体"/>
          <w:b/>
          <w:bCs/>
          <w:sz w:val="28"/>
          <w:szCs w:val="28"/>
        </w:rPr>
        <w:t>4</w:t>
      </w:r>
      <w:r>
        <w:rPr>
          <w:rFonts w:hint="eastAsia" w:ascii="黑体" w:hAnsi="黑体" w:eastAsia="黑体"/>
          <w:b/>
          <w:bCs/>
          <w:sz w:val="28"/>
          <w:szCs w:val="28"/>
        </w:rPr>
        <w:t>.</w:t>
      </w:r>
      <w:r>
        <w:rPr>
          <w:rFonts w:ascii="黑体" w:hAnsi="黑体" w:eastAsia="黑体"/>
          <w:b/>
          <w:bCs/>
          <w:sz w:val="28"/>
          <w:szCs w:val="28"/>
        </w:rPr>
        <w:t xml:space="preserve">3 </w:t>
      </w:r>
      <w:r>
        <w:rPr>
          <w:rFonts w:hint="eastAsia" w:ascii="黑体" w:hAnsi="黑体" w:eastAsia="黑体"/>
          <w:b/>
          <w:bCs/>
          <w:sz w:val="28"/>
          <w:szCs w:val="28"/>
        </w:rPr>
        <w:t>韩国知识产权风险防控分析</w:t>
      </w:r>
      <w:bookmarkEnd w:id="77"/>
      <w:bookmarkEnd w:id="78"/>
    </w:p>
    <w:p>
      <w:pPr>
        <w:ind w:firstLine="562"/>
        <w:outlineLvl w:val="2"/>
        <w:rPr>
          <w:rFonts w:ascii="黑体" w:hAnsi="黑体" w:eastAsia="黑体" w:cs="Helvetica"/>
          <w:b/>
          <w:color w:val="000000" w:themeColor="text1"/>
          <w:kern w:val="0"/>
          <w:sz w:val="28"/>
          <w:szCs w:val="28"/>
        </w:rPr>
      </w:pPr>
      <w:bookmarkStart w:id="79" w:name="_Toc176955956"/>
      <w:bookmarkStart w:id="80" w:name="_Toc203057580"/>
      <w:r>
        <w:rPr>
          <w:rFonts w:ascii="黑体" w:hAnsi="黑体" w:eastAsia="黑体" w:cs="Helvetica"/>
          <w:b/>
          <w:color w:val="000000" w:themeColor="text1"/>
          <w:kern w:val="0"/>
          <w:sz w:val="28"/>
          <w:szCs w:val="28"/>
        </w:rPr>
        <w:t xml:space="preserve">4.3.1 </w:t>
      </w:r>
      <w:r>
        <w:rPr>
          <w:rFonts w:hint="eastAsia" w:ascii="黑体" w:hAnsi="黑体" w:eastAsia="黑体" w:cs="Helvetica"/>
          <w:b/>
          <w:color w:val="000000" w:themeColor="text1"/>
          <w:kern w:val="0"/>
          <w:sz w:val="28"/>
          <w:szCs w:val="28"/>
        </w:rPr>
        <w:t>韩国专利侵权行为</w:t>
      </w:r>
      <w:bookmarkEnd w:id="79"/>
      <w:bookmarkEnd w:id="80"/>
    </w:p>
    <w:p>
      <w:pPr>
        <w:ind w:firstLine="480"/>
      </w:pPr>
      <w:r>
        <w:rPr>
          <w:rFonts w:hint="eastAsia"/>
        </w:rPr>
        <w:t>韩国《专利法》</w:t>
      </w:r>
      <w:r>
        <w:t>第</w:t>
      </w:r>
      <w:r>
        <w:rPr>
          <w:rFonts w:hint="eastAsia"/>
        </w:rPr>
        <w:t>1</w:t>
      </w:r>
      <w:r>
        <w:t>27条</w:t>
      </w:r>
      <w:r>
        <w:rPr>
          <w:rFonts w:hint="eastAsia"/>
        </w:rPr>
        <w:t>规定，</w:t>
      </w:r>
      <w:r>
        <w:t>有下列行为之一的,视为侵犯专利权或者独占许可:</w:t>
      </w:r>
      <w:r>
        <w:rPr>
          <w:rFonts w:hint="eastAsia"/>
        </w:rPr>
        <w:t>（1）</w:t>
      </w:r>
      <w:r>
        <w:t>制造、转让、租赁、进口,或者许诺转让或者租赁专用于生产专利产品的物品的行为;</w:t>
      </w:r>
      <w:r>
        <w:rPr>
          <w:rFonts w:hint="eastAsia"/>
        </w:rPr>
        <w:t>（2）</w:t>
      </w:r>
      <w:r>
        <w:t>制造、转让、租赁、进口,或者许诺转让或者租赁专用于实施专利方法的物品的行为</w:t>
      </w:r>
      <w:r>
        <w:rPr>
          <w:rFonts w:hint="eastAsia"/>
        </w:rPr>
        <w:t>。</w:t>
      </w:r>
    </w:p>
    <w:p>
      <w:pPr>
        <w:ind w:firstLine="480"/>
        <w:rPr>
          <w:rFonts w:cs="楷体" w:asciiTheme="minorEastAsia" w:hAnsiTheme="minorEastAsia" w:eastAsiaTheme="minorEastAsia"/>
        </w:rPr>
      </w:pPr>
      <w:r>
        <w:t>韩国虽然没有对专利侵权作出直接定义，但根据韩国《专利法》第94条之规定，“专利权人具有在事业上实施专利发明的独占权利”。同时，根据韩国《专利法》第2条之规定，“实施”是指以下任何一种行为：</w:t>
      </w:r>
      <w:r>
        <w:rPr>
          <w:rFonts w:hint="eastAsia"/>
        </w:rPr>
        <w:t>（1）</w:t>
      </w:r>
      <w:r>
        <w:t>制造、使用、转让、出租、进口或者许诺转让或者出租(包括为转让或者出租而展示)专利产品的行为；</w:t>
      </w:r>
      <w:r>
        <w:rPr>
          <w:rFonts w:hint="eastAsia"/>
        </w:rPr>
        <w:t>（2）</w:t>
      </w:r>
      <w:r>
        <w:t>使用专利方法的行为</w:t>
      </w:r>
      <w:r>
        <w:rPr>
          <w:rFonts w:hint="eastAsia"/>
        </w:rPr>
        <w:t>；（3）</w:t>
      </w:r>
      <w:r>
        <w:t>除第</w:t>
      </w:r>
      <w:r>
        <w:rPr>
          <w:rFonts w:hint="eastAsia"/>
        </w:rPr>
        <w:t>（2）</w:t>
      </w:r>
      <w:r>
        <w:t>项中规定的行为外，使用、转让、出租、进口或者许诺转让或者出租使用专利方法而制造的产品的行为。</w:t>
      </w:r>
    </w:p>
    <w:p>
      <w:pPr>
        <w:ind w:firstLine="480"/>
      </w:pPr>
      <w:r>
        <w:t>可见，根据韩国专利法的规定，如果第三人没有正当权限而实施</w:t>
      </w:r>
      <w:r>
        <w:rPr>
          <w:rFonts w:hint="eastAsia"/>
        </w:rPr>
        <w:t>韩国</w:t>
      </w:r>
      <w:r>
        <w:t>《专利法》第</w:t>
      </w:r>
      <w:r>
        <w:rPr>
          <w:rFonts w:hint="eastAsia"/>
        </w:rPr>
        <w:t>2</w:t>
      </w:r>
      <w:r>
        <w:t>条规定之一种或全部行为，则被认定为对专利权的直接侵害。但根据构成要素完备原则，只有在实施了全部构成要素时，才会构成对专利权的直接侵害。</w:t>
      </w:r>
    </w:p>
    <w:p>
      <w:pPr>
        <w:ind w:firstLine="480"/>
      </w:pPr>
      <w:r>
        <w:t>另一方面，根据韩国《专利法》第127条规定，参与专利侵权的部分行为视为侵权行为。该条规定在韩国1973年修订专利法时作为新设条款被纳入进去，虽然经过了三次修订，但至今并无太大的变动。</w:t>
      </w:r>
    </w:p>
    <w:p>
      <w:pPr>
        <w:ind w:firstLine="480"/>
        <w:rPr>
          <w:rFonts w:cs="楷体" w:asciiTheme="minorEastAsia" w:hAnsiTheme="minorEastAsia" w:eastAsiaTheme="minorEastAsia"/>
        </w:rPr>
      </w:pPr>
      <w:r>
        <w:t>该规定最初由美国判例法加以规定，认为参与或协助他人实施侵权行为的人与侵权人共同承担不法行为责任，这作为“参与侵权”的一种形态。这一规定被日本专利法所借鉴，后又被韩国所采用。虽然这并非法律术语，但在韩国该规定被称为“间接侵权规定”，但是，将它称之为“视为侵权”或许更为贴切。而“间接侵权”这一用语的使用是受到了美国的影响，在美国“间接侵权”是作为“直接侵权”的对比概念而存在</w:t>
      </w:r>
      <w:r>
        <w:rPr>
          <w:rFonts w:hint="eastAsia"/>
        </w:rPr>
        <w:t>。</w:t>
      </w:r>
      <w:r>
        <w:t>但在美国，间接侵权是以直接侵权为前提，但是，虽然没有直接侵害专利权，仍可对间接侵权人追究侵权责任。相反在韩国，间接侵权并不以直接侵权行为为前提，法条上也将其规定为“视为侵权的行为”。所以用“视为侵权的行为”乃至“视为侵权”来概括韩国专利法的有关法条规定应该更为贴切。</w:t>
      </w:r>
    </w:p>
    <w:p>
      <w:pPr>
        <w:ind w:firstLine="480"/>
        <w:rPr>
          <w:rFonts w:cs="楷体" w:asciiTheme="minorEastAsia" w:hAnsiTheme="minorEastAsia" w:eastAsiaTheme="minorEastAsia"/>
        </w:rPr>
      </w:pPr>
      <w:r>
        <w:t>无论是间接侵权还是视为侵权，虽然都不是对专利权的直接侵害，但为了更加有效地保护专利权人的权益，法律特别将其规定为专利侵权。在这一点上各国立法都有所体现，尽管具体的构成要件可能有所差异，但有一点却是相同的，那就是如果满足一定条件，即使未对专利权进行直接侵害，法律也要追究侵权责任。</w:t>
      </w:r>
    </w:p>
    <w:p>
      <w:pPr>
        <w:ind w:firstLine="562"/>
        <w:outlineLvl w:val="2"/>
        <w:rPr>
          <w:rFonts w:ascii="黑体" w:hAnsi="黑体" w:eastAsia="黑体" w:cs="Helvetica"/>
          <w:b/>
          <w:color w:val="000000" w:themeColor="text1"/>
          <w:kern w:val="0"/>
          <w:sz w:val="28"/>
          <w:szCs w:val="28"/>
        </w:rPr>
      </w:pPr>
      <w:bookmarkStart w:id="81" w:name="_Toc121146329"/>
      <w:bookmarkStart w:id="82" w:name="_Toc176955957"/>
      <w:bookmarkStart w:id="83" w:name="_Toc203057581"/>
      <w:r>
        <w:rPr>
          <w:rFonts w:ascii="黑体" w:hAnsi="黑体" w:eastAsia="黑体" w:cs="Helvetica"/>
          <w:b/>
          <w:color w:val="000000" w:themeColor="text1"/>
          <w:kern w:val="0"/>
          <w:sz w:val="28"/>
          <w:szCs w:val="28"/>
        </w:rPr>
        <w:t xml:space="preserve">4.3.2 </w:t>
      </w:r>
      <w:r>
        <w:rPr>
          <w:rFonts w:hint="eastAsia" w:ascii="黑体" w:hAnsi="黑体" w:eastAsia="黑体" w:cs="Helvetica"/>
          <w:b/>
          <w:color w:val="000000" w:themeColor="text1"/>
          <w:kern w:val="0"/>
          <w:sz w:val="28"/>
          <w:szCs w:val="28"/>
        </w:rPr>
        <w:t>韩国专利侵权的反诉及抗辩</w:t>
      </w:r>
      <w:bookmarkEnd w:id="81"/>
      <w:bookmarkEnd w:id="82"/>
      <w:bookmarkEnd w:id="83"/>
    </w:p>
    <w:p>
      <w:pPr>
        <w:ind w:firstLine="480"/>
      </w:pPr>
      <w:r>
        <w:t>掌握起诉方的相关信息</w:t>
      </w:r>
      <w:r>
        <w:rPr>
          <w:rFonts w:hint="eastAsia"/>
        </w:rPr>
        <w:t>。</w:t>
      </w:r>
      <w:r>
        <w:t>企业首先要了解起诉方在该领域或该行业的发展、产品以及知识产权情况，尤其是要了解相关涉嫌侵权产品的专利和/或商标的情况，通过仔细分析对方的专利来寻求突破点。与其他一些国家不同，原则上在韩国专利无效不是对专利侵权诉讼的抗辩。但是，中国企业可以在特许审判院通过一个单独的无效审判来挑战专利的有效性。从而，审判侵权诉讼的法院必须进行专利有效的假定，直至或除非专利无效的决定已经成为最终决定。如果法院发现该授权专利缺乏新颖性或创造性，法院无需判决专利权无效，可以直接否定专利权的行使，并驳回侵权诉讼。</w:t>
      </w:r>
    </w:p>
    <w:p>
      <w:pPr>
        <w:ind w:firstLine="480"/>
        <w:rPr>
          <w:rFonts w:hint="eastAsia"/>
        </w:rPr>
      </w:pPr>
      <w:r>
        <w:t>中国企业应积极证明自己的产品或方法并不构成侵权，例如，提供具有相关技术背景的辩理士（代理人）或大学教授等专家出具的书面意见可以加强上述论证。因此，在发起侵权诉讼之前或之后，中国企业可以向特许审判院提起权利要求范围确认审判（即，确定特定产品或方法是否属于专利范围），以确定产品或方法不属于专利范围。同时，中国企业可以请求法院暂停侵权诉讼程序，直到特许审判院作出权利范围审判决定。</w:t>
      </w:r>
    </w:p>
    <w:bookmarkEnd w:id="57"/>
    <w:bookmarkEnd w:id="58"/>
    <w:p>
      <w:pPr>
        <w:ind w:firstLine="562"/>
        <w:outlineLvl w:val="1"/>
      </w:pPr>
      <w:bookmarkStart w:id="84" w:name="_Toc203057582"/>
      <w:bookmarkStart w:id="85" w:name="_Toc176955958"/>
      <w:r>
        <w:rPr>
          <w:rFonts w:ascii="黑体" w:hAnsi="黑体" w:eastAsia="黑体"/>
          <w:b/>
          <w:bCs/>
          <w:sz w:val="28"/>
          <w:szCs w:val="28"/>
        </w:rPr>
        <w:t>4</w:t>
      </w:r>
      <w:r>
        <w:rPr>
          <w:rFonts w:hint="eastAsia" w:ascii="黑体" w:hAnsi="黑体" w:eastAsia="黑体"/>
          <w:b/>
          <w:bCs/>
          <w:sz w:val="28"/>
          <w:szCs w:val="28"/>
        </w:rPr>
        <w:t>.</w:t>
      </w:r>
      <w:r>
        <w:rPr>
          <w:rFonts w:ascii="黑体" w:hAnsi="黑体" w:eastAsia="黑体"/>
          <w:b/>
          <w:bCs/>
          <w:sz w:val="28"/>
          <w:szCs w:val="28"/>
        </w:rPr>
        <w:t xml:space="preserve">4 </w:t>
      </w:r>
      <w:r>
        <w:rPr>
          <w:rFonts w:hint="eastAsia" w:ascii="黑体" w:hAnsi="黑体" w:eastAsia="黑体"/>
          <w:b/>
          <w:bCs/>
          <w:sz w:val="28"/>
          <w:szCs w:val="28"/>
        </w:rPr>
        <w:t>德国知识产权风险防控分析</w:t>
      </w:r>
      <w:bookmarkEnd w:id="84"/>
      <w:bookmarkEnd w:id="85"/>
    </w:p>
    <w:p>
      <w:pPr>
        <w:ind w:firstLine="562"/>
        <w:outlineLvl w:val="2"/>
        <w:rPr>
          <w:rFonts w:ascii="黑体" w:hAnsi="黑体" w:eastAsia="黑体" w:cs="Helvetica"/>
          <w:b/>
          <w:color w:val="000000" w:themeColor="text1"/>
          <w:kern w:val="0"/>
          <w:sz w:val="28"/>
          <w:szCs w:val="28"/>
        </w:rPr>
      </w:pPr>
      <w:bookmarkStart w:id="86" w:name="_Toc203057583"/>
      <w:bookmarkStart w:id="87" w:name="_Toc176955959"/>
      <w:r>
        <w:rPr>
          <w:rFonts w:ascii="黑体" w:hAnsi="黑体" w:eastAsia="黑体" w:cs="Helvetica"/>
          <w:b/>
          <w:color w:val="000000" w:themeColor="text1"/>
          <w:kern w:val="0"/>
          <w:sz w:val="28"/>
          <w:szCs w:val="28"/>
        </w:rPr>
        <w:t xml:space="preserve">4.4.1 </w:t>
      </w:r>
      <w:r>
        <w:rPr>
          <w:rFonts w:hint="eastAsia" w:ascii="黑体" w:hAnsi="黑体" w:eastAsia="黑体" w:cs="Helvetica"/>
          <w:b/>
          <w:color w:val="000000" w:themeColor="text1"/>
          <w:kern w:val="0"/>
          <w:sz w:val="28"/>
          <w:szCs w:val="28"/>
        </w:rPr>
        <w:t>德国专利侵权行为及其例外</w:t>
      </w:r>
      <w:bookmarkEnd w:id="86"/>
      <w:bookmarkEnd w:id="87"/>
    </w:p>
    <w:p>
      <w:pPr>
        <w:ind w:firstLine="480"/>
      </w:pPr>
      <w:r>
        <w:t>德国专利法第9～14条是关于侵权要件的主要来源。其中第9条规定哪些行为构成直接侵权，第10条规定直接侵权的含义，第11～13条规定在不同情形下专利权行使的某些限制，第14条是关于权利要求解释的条款。</w:t>
      </w:r>
    </w:p>
    <w:p>
      <w:pPr>
        <w:ind w:firstLine="482"/>
        <w:rPr>
          <w:b/>
          <w:bCs/>
        </w:rPr>
      </w:pPr>
      <w:r>
        <w:rPr>
          <w:rFonts w:hint="eastAsia"/>
          <w:b/>
          <w:bCs/>
        </w:rPr>
        <w:t>一、专利侵权的种类和表现</w:t>
      </w:r>
    </w:p>
    <w:p>
      <w:pPr>
        <w:ind w:firstLine="482"/>
        <w:rPr>
          <w:b/>
          <w:bCs/>
        </w:rPr>
      </w:pPr>
      <w:r>
        <w:rPr>
          <w:rFonts w:hint="eastAsia"/>
          <w:b/>
          <w:bCs/>
        </w:rPr>
        <w:t>（一）</w:t>
      </w:r>
      <w:r>
        <w:rPr>
          <w:b/>
          <w:bCs/>
        </w:rPr>
        <w:t>直接侵权</w:t>
      </w:r>
    </w:p>
    <w:p>
      <w:pPr>
        <w:ind w:firstLine="480"/>
      </w:pPr>
      <w:r>
        <w:t>明确了专利或实用新型的保护范围之后，判断产品或方法是否侵权还需要判断当事人是否实施了侵权行为，即判断当事人是否符合德国专利法或实用新型法关于侵权构成的条件</w:t>
      </w:r>
      <w:r>
        <w:rPr>
          <w:rFonts w:hint="eastAsia" w:ascii="宋体" w:hAnsi="宋体" w:cs="宋体"/>
        </w:rPr>
        <w:t>∶</w:t>
      </w:r>
      <w:r>
        <w:t>（1）当事人行为系以营利为目的或从事公开行为；（2）当事人实施了侵权行为。</w:t>
      </w:r>
    </w:p>
    <w:p>
      <w:pPr>
        <w:ind w:firstLine="482"/>
      </w:pPr>
      <w:r>
        <w:rPr>
          <w:rFonts w:asciiTheme="minorEastAsia" w:hAnsiTheme="minorEastAsia" w:eastAsiaTheme="minorEastAsia"/>
          <w:b/>
          <w:bCs/>
        </w:rPr>
        <w:t>1.</w:t>
      </w:r>
      <w:r>
        <w:rPr>
          <w:b/>
          <w:bCs/>
        </w:rPr>
        <w:t>以营利为目的或者公开行为</w:t>
      </w:r>
    </w:p>
    <w:p>
      <w:pPr>
        <w:ind w:firstLine="480"/>
      </w:pPr>
      <w:r>
        <w:t>当事人行为只要具备“以营利为目的”或者“公开方式”二者之一，就满足本条件，这一点与我国专利法上的“为生产经营目的”有着很大差异。“以营利为目”的是指当事人生产相关产品或使用方法非以自己私人享用为目的。关键是需要理解“私人享用”的范围以及含义，家庭主妇利用公开的专利或实用新型文献制造专为家用的厨房工具当然属于“私人享用”的范畴，但是如果该家庭主妇把厨房工具制造出来之后，赠送给邻居或好友使用则不属于私人享用的范畴。因此，“以营利为目的”并非指生产专利产品或使用专利方法以赚钱为目的，一切超出制造人本人或家庭使用范围的行为均属于“以营利为目的”。“公开行为”一般理解为当事人从事相关行为非私人亲力、亲为。还是以上述家庭主妇根据公开的专利或实用新型文献制造厨房用品为例，当事人仅以自己一人之力或者借助于家庭其他成员或亲友的帮助制造专利产品属于“私人行为”，但如果雇用专业技术人员制造相关产品则属于"公开方式"，具备专利或实用新型侵权的条件。</w:t>
      </w:r>
    </w:p>
    <w:p>
      <w:pPr>
        <w:ind w:firstLine="482"/>
      </w:pPr>
      <w:r>
        <w:rPr>
          <w:rFonts w:asciiTheme="minorEastAsia" w:hAnsiTheme="minorEastAsia" w:eastAsiaTheme="minorEastAsia"/>
          <w:b/>
          <w:bCs/>
        </w:rPr>
        <w:t>2.</w:t>
      </w:r>
      <w:r>
        <w:rPr>
          <w:b/>
          <w:bCs/>
        </w:rPr>
        <w:t>直接实施了侵权行为</w:t>
      </w:r>
    </w:p>
    <w:p>
      <w:pPr>
        <w:ind w:firstLine="480"/>
      </w:pPr>
      <w:r>
        <w:t>实施了侵权行为是指当事人从事了专利或实用新型权人有权禁止的行为。德国专利法和实用新型法均授予权利人禁止他人未经许可从事制造、许诺销售、销售、使用或为上述目的而进口或存储、占有专利或实用新型产品的权利；以及使用专利方法或许诺销售、销售、使用或为上述目的而进口或存储、占有以专利方法直接制造的产品。如果当事人直接实施了上述权利人有权禁止的行为即构成专利或实用新型直接侵权。</w:t>
      </w:r>
    </w:p>
    <w:p>
      <w:pPr>
        <w:ind w:firstLine="480"/>
      </w:pPr>
      <w:r>
        <w:t>（1）对产品专利实施了制造、销售、许诺销售等行为。</w:t>
      </w:r>
    </w:p>
    <w:p>
      <w:pPr>
        <w:ind w:firstLine="480"/>
      </w:pPr>
      <w:r>
        <w:t>制造是指任何再现受专利或实用新型保护的产品的行为，包括大规模机器制造和手工制造等各种方式。受保护产品的制造权受到法律的绝对保护，除不以营利为目的的私人行为之外，任何制造专利或实用新型产品的行为均为德国法律所禁止。但是在判断再现专利或实用新型产品行为是否侵权时，需要对制造和修理行为进行区分。消费者购买专利产品之后，有权购买零配件对损坏的产品进行修理，但修理过程中不得在事实上产生一件新的产品。多次购买多种零部件对同一件产品进行维修与生产一件新的产品并无差异，在德国这种行为是被禁止的。</w:t>
      </w:r>
    </w:p>
    <w:p>
      <w:pPr>
        <w:ind w:firstLine="480"/>
      </w:pPr>
      <w:r>
        <w:t>授予专利或实用新型权人“许诺销售权”，是为了尽可能早地制止专利或实用新型产品的交易，使权利人能够在侵权产品扩散之前就有可能制止对其发明创造的侵权使用。在德国专利法和实用新型法上，此项权利被称为“of-fering”。构成许诺销售行为与行为人采取何种行为方式无关，书面形式、口头形式、电话电传、显示、展示以及广告等行为都可以构成“许诺销售”。也就是说，任何在商业意义上的提供受专利或实用新型保护的意思表示，或者导致被提供者获得或享有某种权利的行为，都构成许诺销售意义上的侵权。此外，构成许诺销售与交易由谁提出、产品由谁提供等也没有关系，产品信息发布人或合同要约提出人并不是实际的产品提供者，但仍然需要承担侵权责任。事实上从展会与知识产权保护的关系来说，许诺销售是最值得参展商注意的一项权利，展示侵权商品本身即构成专利或实用新型侵权。当事人未经许可而实施对专利或实用新型产品的许诺销售行为即构成直接侵权，与产品是否实际销售无关。</w:t>
      </w:r>
    </w:p>
    <w:p>
      <w:pPr>
        <w:ind w:firstLine="480"/>
      </w:pPr>
      <w:r>
        <w:t>与我国专利法中规定相对应的是德国专利法和实用新型法中的禁止未经许可的“putting on the market”权利。但德国法上的“putting on the market”较我国专利法上的销售权含义和范围要宽得多。除了完成交割、权利发生转移的交易行为之外，签订合同、尚未完成产品产权交割的行为也属于"put-ting on the market”行为之列。在德国展会上就侵权商品签订的买卖合同、订单等虽然并未立刻导致侵权商品实际进入市场，但仍然将被认为侵犯了专利或实用新型权利。</w:t>
      </w:r>
    </w:p>
    <w:p>
      <w:pPr>
        <w:ind w:firstLine="480"/>
      </w:pPr>
      <w:r>
        <w:t>德国法上产品的“使用权”（using the product）是指权利人有权禁止他人未经允许利用专利或实用新型产品，使专利或实用新型产品的技术功能得到发挥。一般来说，使用者无论是未经许可自己制造专利或实用新型产品，继而予以利用，还是购买他人未经许可而制造并售出的专利或实用新型产品，继而予以利用，都构成侵权。在法律上，当事人使用产品的方式对判定是否侵权一般没有限制，使用者可以直接利用受保护产品以获得其产生的效果，也可以将受保护产品作为生产工具，制造其他产品，还可以将受保护产品作为零部件，生产其他产品。在把受保护产品作为零部件生产其他制成品时，无论该产品在最终制成品中占有核心地位，还是仅仅起到次要作用，都构成使用受保护产品的行为。</w:t>
      </w:r>
    </w:p>
    <w:p>
      <w:pPr>
        <w:ind w:firstLine="480"/>
      </w:pPr>
      <w:r>
        <w:t>为销售、许诺销售、使用目的而进口受保护产品的行为，是指为把受法律保护的产品投放到德国或欧盟市场上，而从国外制造商、销售商进口产品的行为。此外，德国法规定“为销售等目的而占有、存储或者保存受保护产品的行为”是侵权行为，这点与我国不同。展会上的商品如果确实落入德国专利或实用新型的保护范围，即使参展商并未把该产品放上展台，也没有发布该产品的任何销售信息，参展商拥有该产品的事实本身即可构成侵权。</w:t>
      </w:r>
    </w:p>
    <w:p>
      <w:pPr>
        <w:ind w:firstLine="480"/>
      </w:pPr>
      <w:r>
        <w:t>（2）实施了侵犯方法专利的行为。</w:t>
      </w:r>
    </w:p>
    <w:p>
      <w:pPr>
        <w:ind w:firstLine="480"/>
      </w:pPr>
      <w:r>
        <w:t>对于方法专利而言，实施了直接侵权行为是指当事人在商业活动中使用了受专利保护的生产方法、工艺、流程等。一般来说，权利人很难证明嫌疑人是否确实在生产过程中使用了方法专利。但是现行德国专利法确定了方法专利保护延及依方法直接生产的产品的原则。根据该原则，在德国销售、许诺销售、使用以及为前述目的存储和进口依专利方法直接制造的产品的行为得为权利人所禁止，在德国展会上展示了按照方法专利生产的产品因此也被德国法律所禁止。适用方法专利延伸保护至直接生产产品的原则，需要理解两个问题，以明确方法专利保护的边界</w:t>
      </w:r>
      <w:r>
        <w:rPr>
          <w:rFonts w:hint="eastAsia" w:ascii="宋体" w:hAnsi="宋体" w:cs="宋体"/>
        </w:rPr>
        <w:t>∶</w:t>
      </w:r>
    </w:p>
    <w:p>
      <w:pPr>
        <w:ind w:firstLine="480"/>
      </w:pPr>
      <w:r>
        <w:t>一是何谓依方法专利所获得或生产的产品。方法专利从技术内容上划分，至少可以包括三种类型</w:t>
      </w:r>
      <w:r>
        <w:rPr>
          <w:rFonts w:hint="eastAsia" w:ascii="宋体" w:hAnsi="宋体" w:cs="宋体"/>
        </w:rPr>
        <w:t>∶</w:t>
      </w:r>
      <w:r>
        <w:t>第一种是制造方法，通常是指改变原材料物品的结构、形状或者化学性质，产生新产品的方法；第二种是作业方法，如测量、检验、采掘、运输等不以改变物品本身结构、特性或功能为目的的方法；第三种是使用方法，是指对某种已知物品的新的应用方式，其目的是产生某种新的技术效果，不改变物品本身。对于这三种类型的方法来说，第一种方法因为改变了物品的外形结构或化学性质，所以一般会涉及方法专利延伸保护产品的问题；第三种方法则因为仅仅是新的用途，物品本身的物理结构和化学性质均不发生改变，所以一般不会涉及方法专利延伸保护的问题。对于作业方法来说，在德国判例司法实践中，一般认为方法专利延伸保护至作业后，产品需要满足两个条件</w:t>
      </w:r>
      <w:r>
        <w:rPr>
          <w:rFonts w:hint="eastAsia" w:ascii="宋体" w:hAnsi="宋体" w:cs="宋体"/>
        </w:rPr>
        <w:t>∶</w:t>
      </w:r>
      <w:r>
        <w:t>第一，这样的产品应当限于物质产品，能量等不属于延伸保护的范畴；第二，标的物经过专利方法的加工之后，应当在结构或物理化学特性上产生足够大的变化，使之从公众的眼光看来已经成为一种与处理之前的物品不相同的物品。</w:t>
      </w:r>
    </w:p>
    <w:p>
      <w:pPr>
        <w:ind w:firstLine="480"/>
      </w:pPr>
      <w:r>
        <w:t>二是如何理解产品是否“直接”经方法专利获得，也就是说需要明确方法专利延伸保护的范围和程度。德国的司法实践对“直接”的含义采取的是广义的理解方式，即所谓“直接”获得，不仅包括实施方法专利获得的最初产品，而且在满足一定条件的情况下，还包括对最初产品作进一步加工、处理后获得的产品。前述所提到的“一定条件”，按照德国法院的解释，是指最终获得的产品的价值或主要特点，系由专利方法所处理的最初产品所决定。也就是说根据德国经验，一项最终产品经过专利方法处理之后，无论再经过多少项其他方法的处理，只要其主要价值或特点系由最初专利方法处理之后产生的产品所决定，该最终产品即受方法专利所延伸保护。</w:t>
      </w:r>
    </w:p>
    <w:p>
      <w:pPr>
        <w:ind w:firstLine="482"/>
      </w:pPr>
      <w:r>
        <w:rPr>
          <w:rFonts w:asciiTheme="majorEastAsia" w:hAnsiTheme="majorEastAsia" w:eastAsiaTheme="majorEastAsia"/>
          <w:b/>
          <w:bCs/>
        </w:rPr>
        <w:t>3</w:t>
      </w:r>
      <w:r>
        <w:rPr>
          <w:rFonts w:hint="eastAsia" w:asciiTheme="majorEastAsia" w:hAnsiTheme="majorEastAsia" w:eastAsiaTheme="majorEastAsia"/>
          <w:b/>
          <w:bCs/>
        </w:rPr>
        <w:t>．</w:t>
      </w:r>
      <w:r>
        <w:rPr>
          <w:b/>
          <w:bCs/>
        </w:rPr>
        <w:t>落入了专利或实用新型权利要求的保护范围</w:t>
      </w:r>
    </w:p>
    <w:p>
      <w:pPr>
        <w:ind w:firstLine="480"/>
      </w:pPr>
      <w:r>
        <w:t>判定参展商品是否侵犯德国专利或实用新型权，关键的一点是了解产品以及生产产品的方法是否落入德国专利或实用新型权利要求的保护范围。一般是判断被控侵权的产品或方法中能否找出与专利或实用新型权利要求中记载的每一个技术特征相同或等同的对应技术特征。</w:t>
      </w:r>
    </w:p>
    <w:p>
      <w:pPr>
        <w:ind w:firstLine="482"/>
        <w:rPr>
          <w:b/>
          <w:bCs/>
        </w:rPr>
      </w:pPr>
      <w:r>
        <w:rPr>
          <w:rFonts w:hint="eastAsia"/>
          <w:b/>
          <w:bCs/>
        </w:rPr>
        <w:t>（二）</w:t>
      </w:r>
      <w:r>
        <w:rPr>
          <w:b/>
          <w:bCs/>
        </w:rPr>
        <w:t>其他类型的侵权</w:t>
      </w:r>
    </w:p>
    <w:p>
      <w:pPr>
        <w:ind w:firstLine="482"/>
        <w:rPr>
          <w:b/>
          <w:bCs/>
        </w:rPr>
      </w:pPr>
      <w:r>
        <w:rPr>
          <w:rFonts w:hint="eastAsia" w:asciiTheme="majorEastAsia" w:hAnsiTheme="majorEastAsia" w:eastAsiaTheme="majorEastAsia"/>
          <w:b/>
          <w:bCs/>
        </w:rPr>
        <w:t>1．</w:t>
      </w:r>
      <w:r>
        <w:rPr>
          <w:b/>
          <w:bCs/>
        </w:rPr>
        <w:t>帮助侵权</w:t>
      </w:r>
    </w:p>
    <w:p>
      <w:pPr>
        <w:ind w:firstLine="480"/>
      </w:pPr>
      <w:r>
        <w:t>德国专利法第10条涉及帮助侵权问题。设置帮助侵权条款的目的在于，如果无权使用专利发明的人使用了专利发明，专利权人可以有效维护自身的利益。根据德国专利法的规定，任何第三人知道或者显然应当知道涉及专利发明基本要素的手段适于并且专门用于实施发明专利，那么该第三人在德国专利法的有效地域范围内向他人提供该手段的行为构成帮助侵权。因而，构成德国法上专利帮助侵权需要满足如下要求</w:t>
      </w:r>
      <w:r>
        <w:rPr>
          <w:rFonts w:hint="eastAsia" w:ascii="宋体" w:hAnsi="宋体" w:cs="宋体"/>
        </w:rPr>
        <w:t>∶</w:t>
      </w:r>
      <w:r>
        <w:t>（1）第三人知道或者应当知道，其向侵权人提供的是适于或者专门用于实施发明专利的技术手段；（2）该技术手段在公开市场上无法得到；（3）在德国国内进行“提出或者提供"，向无权限人提出或者提供。</w:t>
      </w:r>
    </w:p>
    <w:p>
      <w:pPr>
        <w:ind w:firstLine="480"/>
      </w:pPr>
      <w:r>
        <w:t>对于德国专利法上的帮助侵权需要说明的是，第三人向他人提供的技术手段原则上是没有授予专利的技术方案，该技术手段对专利发明的实施是基本的，且位于包括等同范围在内的保护范围之外。无权使用的他人必须知道，或者至少显然应当知道其是以侵权的形式使用上述基本技术手段。需要注意的是，即使实际上不存在最终的直接侵权行为，帮助侵权行为也有可能成立，但是至少必须有要实施发明的意图。</w:t>
      </w:r>
    </w:p>
    <w:p>
      <w:pPr>
        <w:ind w:firstLine="482"/>
        <w:rPr>
          <w:b/>
          <w:bCs/>
        </w:rPr>
      </w:pPr>
      <w:r>
        <w:rPr>
          <w:rFonts w:asciiTheme="majorEastAsia" w:hAnsiTheme="majorEastAsia" w:eastAsiaTheme="majorEastAsia"/>
          <w:b/>
          <w:bCs/>
        </w:rPr>
        <w:t>2</w:t>
      </w:r>
      <w:r>
        <w:rPr>
          <w:rFonts w:hint="eastAsia" w:asciiTheme="majorEastAsia" w:hAnsiTheme="majorEastAsia" w:eastAsiaTheme="majorEastAsia"/>
          <w:b/>
          <w:bCs/>
        </w:rPr>
        <w:t>．</w:t>
      </w:r>
      <w:r>
        <w:rPr>
          <w:b/>
          <w:bCs/>
        </w:rPr>
        <w:t>诱导侵权</w:t>
      </w:r>
    </w:p>
    <w:p>
      <w:pPr>
        <w:ind w:firstLine="480"/>
      </w:pPr>
      <w:r>
        <w:t>诱导侵权是指向他人提供制造受专利保护的装置的部件，该部件具有专利发明的基本特征，并且起初便打算与其他的（常规）部件组合以生产成品装置。构成诱导侵权必须是提供部件的人在主观上存在故意，且被提供人实施了直接侵权行为。</w:t>
      </w:r>
    </w:p>
    <w:p>
      <w:pPr>
        <w:ind w:firstLine="482"/>
        <w:rPr>
          <w:b/>
          <w:bCs/>
        </w:rPr>
      </w:pPr>
      <w:r>
        <w:rPr>
          <w:rFonts w:asciiTheme="majorEastAsia" w:hAnsiTheme="majorEastAsia" w:eastAsiaTheme="majorEastAsia"/>
          <w:b/>
          <w:bCs/>
        </w:rPr>
        <w:t>3</w:t>
      </w:r>
      <w:r>
        <w:rPr>
          <w:rFonts w:hint="eastAsia" w:asciiTheme="majorEastAsia" w:hAnsiTheme="majorEastAsia" w:eastAsiaTheme="majorEastAsia"/>
          <w:b/>
          <w:bCs/>
        </w:rPr>
        <w:t>．</w:t>
      </w:r>
      <w:r>
        <w:rPr>
          <w:b/>
          <w:bCs/>
        </w:rPr>
        <w:t>间接侵权</w:t>
      </w:r>
    </w:p>
    <w:p>
      <w:pPr>
        <w:ind w:firstLine="480"/>
      </w:pPr>
      <w:r>
        <w:t>1981年德国专利法第10条规定了对间接使用即间接侵权的禁止。设定间接侵权的目的是给予权利人充分的权利防止他人未经许可的使用行为，禁止购买者对第三者请求和/或提供违法使用专利发明的具有本质意义的技术手段。根据德国法律，构成间接侵权的条件为</w:t>
      </w:r>
      <w:r>
        <w:rPr>
          <w:rFonts w:hint="eastAsia" w:ascii="宋体" w:hAnsi="宋体" w:cs="宋体"/>
        </w:rPr>
        <w:t>∶</w:t>
      </w:r>
      <w:r>
        <w:t>（1）侵权行为的发生与受保护发明的本质要素相关；（2）第三者（间接侵权人）知晓该技术手段可用于专利的实施，并知晓为实施专利而使用该技术手段的意图，或者上述事实是显而易见的。</w:t>
      </w:r>
    </w:p>
    <w:p>
      <w:pPr>
        <w:ind w:firstLine="482"/>
        <w:rPr>
          <w:b/>
          <w:bCs/>
        </w:rPr>
      </w:pPr>
      <w:r>
        <w:rPr>
          <w:rFonts w:hint="eastAsia"/>
          <w:b/>
          <w:bCs/>
        </w:rPr>
        <w:t>二、专利侵权的例外</w:t>
      </w:r>
    </w:p>
    <w:p>
      <w:pPr>
        <w:ind w:firstLine="480"/>
        <w:rPr>
          <w:rFonts w:cs="楷体" w:asciiTheme="minorEastAsia" w:hAnsiTheme="minorEastAsia" w:eastAsiaTheme="minorEastAsia"/>
        </w:rPr>
      </w:pPr>
      <w:r>
        <w:t>德国专利侵权的例外是指虽然实施了专利，但是因为存在合法的实施理由，则认为这种专利实施行为不属于侵权的范围。</w:t>
      </w:r>
    </w:p>
    <w:p>
      <w:pPr>
        <w:ind w:firstLine="482"/>
        <w:rPr>
          <w:b/>
          <w:bCs/>
        </w:rPr>
      </w:pPr>
      <w:r>
        <w:rPr>
          <w:rFonts w:asciiTheme="majorEastAsia" w:hAnsiTheme="majorEastAsia" w:eastAsiaTheme="majorEastAsia"/>
          <w:b/>
          <w:bCs/>
        </w:rPr>
        <w:t>1</w:t>
      </w:r>
      <w:r>
        <w:rPr>
          <w:rFonts w:hint="eastAsia" w:asciiTheme="majorEastAsia" w:hAnsiTheme="majorEastAsia" w:eastAsiaTheme="majorEastAsia"/>
          <w:b/>
          <w:bCs/>
        </w:rPr>
        <w:t>．</w:t>
      </w:r>
      <w:r>
        <w:rPr>
          <w:b/>
          <w:bCs/>
        </w:rPr>
        <w:t>获得专利实施的许可证</w:t>
      </w:r>
    </w:p>
    <w:p>
      <w:pPr>
        <w:ind w:firstLine="480"/>
      </w:pPr>
      <w:r>
        <w:t>根据德国专利法第9条的规定，专利的禁止效力仅涉及在未经持有人同意的情况下第三人的行为。因此，如果被告能够证明存在实施专利行为的许可证则可以拒绝权利人的侵权主张。根据德国专利法第24条取得的强制许可，相同的结论也成立。</w:t>
      </w:r>
    </w:p>
    <w:p>
      <w:pPr>
        <w:ind w:firstLine="480"/>
      </w:pPr>
      <w:r>
        <w:t>如果专利权人以书面形式向德国专利局提出声明，表明他人在支付合理的使用费情况下可以使用专利，任何第三人均可以在支付权利人要求的使用费的情况下，使用专利。</w:t>
      </w:r>
    </w:p>
    <w:p>
      <w:pPr>
        <w:ind w:firstLine="482"/>
        <w:rPr>
          <w:b/>
          <w:bCs/>
        </w:rPr>
      </w:pPr>
      <w:r>
        <w:rPr>
          <w:rFonts w:asciiTheme="majorEastAsia" w:hAnsiTheme="majorEastAsia" w:eastAsiaTheme="majorEastAsia"/>
          <w:b/>
          <w:bCs/>
        </w:rPr>
        <w:t>2</w:t>
      </w:r>
      <w:r>
        <w:rPr>
          <w:rFonts w:hint="eastAsia" w:asciiTheme="majorEastAsia" w:hAnsiTheme="majorEastAsia" w:eastAsiaTheme="majorEastAsia"/>
          <w:b/>
          <w:bCs/>
        </w:rPr>
        <w:t>．</w:t>
      </w:r>
      <w:r>
        <w:rPr>
          <w:b/>
          <w:bCs/>
        </w:rPr>
        <w:t>先用权</w:t>
      </w:r>
    </w:p>
    <w:p>
      <w:pPr>
        <w:ind w:firstLine="480"/>
      </w:pPr>
      <w:r>
        <w:t>先用权是指在专利优先权日之前，第三人已经在德国专利法有效地域内使用相同的技术方案或者已经为这种使用作出了必要的准备，则该第三人享有继续使用的权利。法律承认先用权的意义在于保护首先作出发明但未能递交专利申请的自然人或者法人，使其产业上或者经济上的资产不受专利权人的侵扰。</w:t>
      </w:r>
    </w:p>
    <w:p>
      <w:pPr>
        <w:ind w:firstLine="480"/>
      </w:pPr>
      <w:r>
        <w:t>根据德国专利法的规定，主张优先使用权的人必须"已经使用发明"，判例法对上述法律文字进行了拓展，使其成为拥有优先使用权的权利持有人还必须具备发明的概念。因此，先使用人在优先权（申请）日之时，必须理解发明的概念，必须在现实中使用发明或者至少进行了发明的使用准备工作。例如，为了检查新产品在治疗上的有用性在动物身上对发明进行试验，仅仅表示了产业使用等使用意图，则不满足这一要件。取得先使用权必须满足的另一个必要前提条件是在该专利的申请日或者优先权日之前必须已经正在德国国内使用该专利发明。</w:t>
      </w:r>
    </w:p>
    <w:p>
      <w:pPr>
        <w:ind w:firstLine="480"/>
      </w:pPr>
      <w:r>
        <w:t>先使用权并不局限于对发生先使用权之时的事业必要的范围。先使用人可以继续实施与在申请日前已实施的该发明相同的技术课题有关的发明，对其生产数量没有限制。但是，先使用权应和先使用人的事业相结合。因此，允许进行工厂和设备的扩张和增产。然而，对于与先使用权无直接关系的其他工厂的生产，仅当拥有先使用权的人仍然对该工厂的生产种类和范围负有责任时，才可包含在先使用权的范围中。除此之外，先使用权不能转让。</w:t>
      </w:r>
    </w:p>
    <w:p>
      <w:pPr>
        <w:ind w:firstLine="482"/>
        <w:rPr>
          <w:b/>
          <w:bCs/>
        </w:rPr>
      </w:pPr>
      <w:r>
        <w:rPr>
          <w:rFonts w:asciiTheme="majorEastAsia" w:hAnsiTheme="majorEastAsia" w:eastAsiaTheme="majorEastAsia"/>
          <w:b/>
          <w:bCs/>
        </w:rPr>
        <w:t>3</w:t>
      </w:r>
      <w:r>
        <w:rPr>
          <w:rFonts w:hint="eastAsia" w:asciiTheme="majorEastAsia" w:hAnsiTheme="majorEastAsia" w:eastAsiaTheme="majorEastAsia"/>
          <w:b/>
          <w:bCs/>
        </w:rPr>
        <w:t>．</w:t>
      </w:r>
      <w:r>
        <w:rPr>
          <w:rFonts w:asciiTheme="majorEastAsia" w:hAnsiTheme="majorEastAsia" w:eastAsiaTheme="majorEastAsia"/>
          <w:b/>
          <w:bCs/>
        </w:rPr>
        <w:t>专</w:t>
      </w:r>
      <w:r>
        <w:rPr>
          <w:b/>
          <w:bCs/>
        </w:rPr>
        <w:t>利权的用尽和平行输入</w:t>
      </w:r>
    </w:p>
    <w:p>
      <w:pPr>
        <w:ind w:firstLine="480"/>
      </w:pPr>
      <w:r>
        <w:t>专利权人无法再对使用受保护发明的第三人主张自己的专利权利，称为专利权利用尽。这是因为专利权人或者得到其许可的第三人已经将专利产品（或者专利保护的过程的直接产品）销售到市场，如果任由专利权人再次对产品进行控制不利于商品市场的流通。这种权利用尽通常仅在一个国家内发生。例如，产品在德国投放市场时，仅在德国国内权利用尽。除此之外，根据某种要件，专利权人（或者得到其许可的第三人）将受保护的产品销售至欧洲联盟加盟国的市场时也会发生权利用尽。</w:t>
      </w:r>
    </w:p>
    <w:p>
      <w:pPr>
        <w:ind w:firstLine="480"/>
      </w:pPr>
      <w:r>
        <w:t>关于专利权利用尽有所谓的国际用尽问题。根据德国的判例法，目前只承认在欧盟市场上的国际用尽，对于其他国家尚不存在这个问题。也就是说，自欧盟以外的其他国家的平行进口仍然构成对德国专利权的侵犯。</w:t>
      </w:r>
    </w:p>
    <w:p>
      <w:pPr>
        <w:ind w:firstLine="480"/>
      </w:pPr>
      <w:r>
        <w:t>直到出现了日本最高法院著名的BBS铝制车轮判决，专利界才开始实际考虑国际用尽的问题。该判决虽然引起了轩然大波，但默默无闻的许可证概念在一些国家长期以来一直存在。</w:t>
      </w:r>
    </w:p>
    <w:p>
      <w:pPr>
        <w:ind w:firstLine="482"/>
        <w:rPr>
          <w:b/>
          <w:bCs/>
        </w:rPr>
      </w:pPr>
      <w:r>
        <w:rPr>
          <w:rFonts w:asciiTheme="majorEastAsia" w:hAnsiTheme="majorEastAsia" w:eastAsiaTheme="majorEastAsia"/>
          <w:b/>
          <w:bCs/>
        </w:rPr>
        <w:t>4</w:t>
      </w:r>
      <w:r>
        <w:rPr>
          <w:rFonts w:hint="eastAsia" w:asciiTheme="majorEastAsia" w:hAnsiTheme="majorEastAsia" w:eastAsiaTheme="majorEastAsia"/>
          <w:b/>
          <w:bCs/>
        </w:rPr>
        <w:t>．</w:t>
      </w:r>
      <w:r>
        <w:rPr>
          <w:rFonts w:asciiTheme="majorEastAsia" w:hAnsiTheme="majorEastAsia" w:eastAsiaTheme="majorEastAsia"/>
          <w:b/>
          <w:bCs/>
        </w:rPr>
        <w:t>实</w:t>
      </w:r>
      <w:r>
        <w:rPr>
          <w:b/>
          <w:bCs/>
        </w:rPr>
        <w:t>验和临床试验</w:t>
      </w:r>
    </w:p>
    <w:p>
      <w:pPr>
        <w:ind w:firstLine="480"/>
      </w:pPr>
      <w:r>
        <w:t>在医药和植物保护药品的领域内，新的活性成分在得到销售许可之前，必须进行广泛的临床试验和实地试验，并且必须向当局提出请求。这会产生一个问题，即什么试验构成专利侵权，什么试验不构成专利侵权?根据1981 年德国专利法的规定，专利的效力不能涵盖与专利发明主题有关的以实验目的实施的行为。为了判断取得医药专利的活性物质是否适于治疗或者减轻人类疾病，在临床试验中以任何形式使用活性物质，属于围绕发明主题以试验目的实施的行为，因此可以明确地认为是合法行为。德国联邦最高法院还强调，德国专利法第11条第2款规定的实验包括以获得知识为目的的（计划的）所有试验。为了确立这一概念，法律规定要求试验必须符合发明专利的主题。专利效力的这种免除超出了试验的纯粹研究性质，与试验背后是否有销售方面的考虑（无论什么情况下均不会参考这一点）无关。即使进行该试验的目的是获取用于医药合成物的销售许可的数据，也是允许的。试验在商业上的定位和试验所得结果的商业使用意图本身不会使试验行为成为非法的专利侵权。但是，如果此类临床试验的范围过于广泛，以至于超出了正当范围，或者此类试验妨碍了专利权人的产品的销售或者以这种妨碍为意图进行此类试验，则情况会有所不同。</w:t>
      </w:r>
    </w:p>
    <w:p>
      <w:pPr>
        <w:ind w:firstLine="482"/>
        <w:rPr>
          <w:b/>
          <w:bCs/>
        </w:rPr>
      </w:pPr>
      <w:r>
        <w:rPr>
          <w:rFonts w:asciiTheme="majorEastAsia" w:hAnsiTheme="majorEastAsia" w:eastAsiaTheme="majorEastAsia"/>
          <w:b/>
          <w:bCs/>
        </w:rPr>
        <w:t>5</w:t>
      </w:r>
      <w:r>
        <w:rPr>
          <w:rFonts w:hint="eastAsia" w:asciiTheme="majorEastAsia" w:hAnsiTheme="majorEastAsia" w:eastAsiaTheme="majorEastAsia"/>
          <w:b/>
          <w:bCs/>
        </w:rPr>
        <w:t>．</w:t>
      </w:r>
      <w:r>
        <w:rPr>
          <w:rFonts w:asciiTheme="majorEastAsia" w:hAnsiTheme="majorEastAsia" w:eastAsiaTheme="majorEastAsia"/>
          <w:b/>
          <w:bCs/>
        </w:rPr>
        <w:t>专</w:t>
      </w:r>
      <w:r>
        <w:rPr>
          <w:b/>
          <w:bCs/>
        </w:rPr>
        <w:t>利权的限制</w:t>
      </w:r>
    </w:p>
    <w:p>
      <w:pPr>
        <w:ind w:firstLine="480"/>
      </w:pPr>
      <w:r>
        <w:t>德国专利法第11条记载了一些专利效力无法涵盖的行为。首先，最需要注意的是，该条款规定专利权的效力无法涵盖出于个人的或者非商业的目的而实施的行为（德国专利法第11条第1款）。这里的“非商业的”是指仅在纯粹个人的私人范围内进行使用。同样，对于得到专利授权的装置，只要不是以销售为目的展示装置，在公开展览会上进行演示不被认为是商业性的。</w:t>
      </w:r>
    </w:p>
    <w:p>
      <w:pPr>
        <w:ind w:firstLine="480"/>
      </w:pPr>
      <w:r>
        <w:t>其次，专利的效果无法涵盖与专利发明的主题有关的出于实验目的而实施的行为（德国专利法第11条第2款）。这种情况并不要求以个人或者非商业为目的进行实验。因此，允许对发明进行实验性使用，即使这种实验性使用具有商业目的也是如此，例如工业研究所为了开发发明进行的可用性和可能性试验。</w:t>
      </w:r>
    </w:p>
    <w:p>
      <w:pPr>
        <w:ind w:firstLine="480"/>
        <w:rPr>
          <w:rFonts w:cs="楷体" w:asciiTheme="minorEastAsia" w:hAnsiTheme="minorEastAsia" w:eastAsiaTheme="minorEastAsia"/>
        </w:rPr>
      </w:pPr>
      <w:r>
        <w:t>最后，专利无法禁止药房按照处方对个别药品进行实时配方和与该配方医药有关的行为（德国专利法第11条第3款）。</w:t>
      </w:r>
    </w:p>
    <w:p>
      <w:pPr>
        <w:ind w:firstLine="562"/>
        <w:outlineLvl w:val="2"/>
        <w:rPr>
          <w:rFonts w:ascii="黑体" w:hAnsi="黑体" w:eastAsia="黑体" w:cs="Helvetica"/>
          <w:b/>
          <w:color w:val="000000" w:themeColor="text1"/>
          <w:kern w:val="0"/>
          <w:sz w:val="28"/>
          <w:szCs w:val="28"/>
        </w:rPr>
      </w:pPr>
      <w:bookmarkStart w:id="88" w:name="_Toc176955960"/>
      <w:bookmarkStart w:id="89" w:name="_Toc203057584"/>
      <w:r>
        <w:rPr>
          <w:rFonts w:ascii="黑体" w:hAnsi="黑体" w:eastAsia="黑体" w:cs="Helvetica"/>
          <w:b/>
          <w:color w:val="000000" w:themeColor="text1"/>
          <w:kern w:val="0"/>
          <w:sz w:val="28"/>
          <w:szCs w:val="28"/>
        </w:rPr>
        <w:t xml:space="preserve">4.4.2 </w:t>
      </w:r>
      <w:r>
        <w:rPr>
          <w:rFonts w:hint="eastAsia" w:ascii="黑体" w:hAnsi="黑体" w:eastAsia="黑体" w:cs="Helvetica"/>
          <w:b/>
          <w:color w:val="000000" w:themeColor="text1"/>
          <w:kern w:val="0"/>
          <w:sz w:val="28"/>
          <w:szCs w:val="28"/>
        </w:rPr>
        <w:t>德国侵权诉讼的反诉及抗辩</w:t>
      </w:r>
      <w:bookmarkEnd w:id="88"/>
      <w:bookmarkEnd w:id="89"/>
    </w:p>
    <w:p>
      <w:pPr>
        <w:ind w:firstLine="480"/>
      </w:pPr>
      <w:r>
        <w:rPr>
          <w:rFonts w:hint="eastAsia" w:cs="Times New Roman"/>
        </w:rPr>
        <w:t>在侵权诉讼中，针对专利权人的侵权主张，被告也存着着诸多的抗辩手段，</w:t>
      </w:r>
      <w:r>
        <w:t>比如可以从根本上起诉对方权利无效；主张不侵权或者主张对方权利虽然有效，自己也使用了对方的专利技术方案，但是自己的使用存在合理的理由等等。对对方的侵权损害赔偿也可以提出自己的不同意见。本节仅介绍其中最为重要的几项。</w:t>
      </w:r>
    </w:p>
    <w:p>
      <w:pPr>
        <w:ind w:firstLine="482"/>
        <w:rPr>
          <w:b/>
          <w:bCs/>
        </w:rPr>
      </w:pPr>
      <w:r>
        <w:rPr>
          <w:rFonts w:hint="eastAsia"/>
          <w:b/>
          <w:bCs/>
        </w:rPr>
        <w:t>一、</w:t>
      </w:r>
      <w:r>
        <w:rPr>
          <w:b/>
          <w:bCs/>
        </w:rPr>
        <w:t>诉原告专利无效</w:t>
      </w:r>
    </w:p>
    <w:p>
      <w:pPr>
        <w:ind w:firstLine="480"/>
      </w:pPr>
      <w:r>
        <w:t>根据德国专利法的规定，被告可以基于如下理由诉原告专利权无效</w:t>
      </w:r>
      <w:r>
        <w:rPr>
          <w:rFonts w:hint="eastAsia" w:ascii="宋体" w:hAnsi="宋体" w:cs="宋体"/>
        </w:rPr>
        <w:t>∶</w:t>
      </w:r>
      <w:r>
        <w:t>（1）专利不具有新颖性或者创造性；（2）专利权利要求中记载的技术方案不属于发明的范畴（如属于发现、科学理论、美学上的创作作品等）；（3）专利发明的技术方案属于法律上的禁止范围（例如，违反道德的发明、植物或者动物品种、生产植物或者动物的本质上的生物学过程）；（4）专利缺乏实用性（例如疾病的治疗方法等）；（5）说明书未充分公开发明内容，以至于非经创造性劳动无法实施；（6）专利的内容超出了申请时最初记载的内容；（7）专利的保护范围与登记时的范围相比有所扩大；（8）专利权人不具备行使权利的能力。诉原告专利无效不仅可针对德国专利局签发的德国专利，而且可以就欧洲专利局签发并在德国生效的欧洲专利提出。受理专利无效诉讼的法院是总部设在慕尼黑的德国专利法院，不服专利法院判决书的，当事人可以向德国联邦最高法院提起上诉。与侵权诉讼的上诉不同，联邦最高法院不仅就法律问题进行审查还对该案件的实体内容作出决定。根据德国法律，在超过了专利异议期的任何时间内（包括专利有效期已结束），当事人均可以向德国专利法院提起专利无效的诉讼。</w:t>
      </w:r>
    </w:p>
    <w:p>
      <w:pPr>
        <w:ind w:firstLine="482"/>
        <w:rPr>
          <w:b/>
          <w:bCs/>
        </w:rPr>
      </w:pPr>
      <w:r>
        <w:rPr>
          <w:rFonts w:hint="eastAsia"/>
          <w:b/>
          <w:bCs/>
        </w:rPr>
        <w:t>二、</w:t>
      </w:r>
      <w:r>
        <w:rPr>
          <w:b/>
          <w:bCs/>
        </w:rPr>
        <w:t>诉原告专利不能行使</w:t>
      </w:r>
    </w:p>
    <w:p>
      <w:pPr>
        <w:ind w:firstLine="480"/>
      </w:pPr>
      <w:r>
        <w:t>除了专利无效，被告还可以在侵权诉讼中提出证据证明对方专利不能行使。专利权利不能行使是指专利权虽然在表面具备法律上的效力，但是由于存在法律上障碍，导致该专利权不能对被告产生实质性的禁止使用效力。产生专利权利不能行使的情形有包括</w:t>
      </w:r>
      <w:r>
        <w:rPr>
          <w:rFonts w:hint="eastAsia" w:ascii="宋体" w:hAnsi="宋体" w:cs="宋体"/>
        </w:rPr>
        <w:t>∶</w:t>
      </w:r>
      <w:r>
        <w:t>（1）专利权人未能及时支付专利年费；（2）该专利属于双重专利；（3）专利权人存在滥用专利的行为；（4）由于专利权人的懈怠，导致被告有理由相信其继续使用专利也不会被追诉赔偿。</w:t>
      </w:r>
    </w:p>
    <w:p>
      <w:pPr>
        <w:ind w:firstLine="482"/>
        <w:rPr>
          <w:b/>
          <w:bCs/>
        </w:rPr>
      </w:pPr>
      <w:r>
        <w:rPr>
          <w:rFonts w:hint="eastAsia"/>
          <w:b/>
          <w:bCs/>
        </w:rPr>
        <w:t>三、</w:t>
      </w:r>
      <w:r>
        <w:rPr>
          <w:b/>
          <w:bCs/>
        </w:rPr>
        <w:t>其他抗辩方式</w:t>
      </w:r>
    </w:p>
    <w:p>
      <w:pPr>
        <w:ind w:firstLine="480"/>
        <w:rPr>
          <w:rFonts w:cs="Times New Roman"/>
        </w:rPr>
      </w:pPr>
      <w:r>
        <w:t>事实上，对专利侵权的抗辩还包括前述侵权例外中的内容。只要属于侵权例外中的实施方式，均属于被告可自由使用的范围。因此，被告当然可以在侵权诉讼中主张先用权、存在实施协议或者默许的实施等</w:t>
      </w:r>
      <w:r>
        <w:rPr>
          <w:rFonts w:cs="楷体" w:asciiTheme="minorEastAsia" w:hAnsiTheme="minorEastAsia" w:eastAsiaTheme="minorEastAsia"/>
        </w:rPr>
        <w:t>。</w:t>
      </w:r>
    </w:p>
    <w:p>
      <w:pPr>
        <w:pStyle w:val="2"/>
        <w:ind w:firstLine="480"/>
      </w:pPr>
      <w:r>
        <w:br w:type="page"/>
      </w:r>
    </w:p>
    <w:p>
      <w:pPr>
        <w:pStyle w:val="3"/>
        <w:spacing w:before="312" w:after="312"/>
      </w:pPr>
      <w:bookmarkStart w:id="90" w:name="_Toc24515"/>
      <w:bookmarkStart w:id="91" w:name="_Toc199407985"/>
      <w:bookmarkStart w:id="92" w:name="_Toc203057585"/>
      <w:r>
        <w:rPr>
          <w:rFonts w:hint="eastAsia"/>
        </w:rPr>
        <w:t>第五章 应对措施</w:t>
      </w:r>
      <w:bookmarkEnd w:id="90"/>
      <w:bookmarkEnd w:id="91"/>
      <w:bookmarkEnd w:id="92"/>
    </w:p>
    <w:p>
      <w:pPr>
        <w:ind w:firstLine="562"/>
        <w:outlineLvl w:val="1"/>
        <w:rPr>
          <w:rFonts w:ascii="黑体" w:hAnsi="黑体" w:eastAsia="黑体"/>
          <w:b/>
          <w:bCs/>
          <w:sz w:val="28"/>
          <w:szCs w:val="28"/>
        </w:rPr>
      </w:pPr>
      <w:bookmarkStart w:id="93" w:name="OLE_LINK36"/>
      <w:bookmarkStart w:id="94" w:name="_Toc199407986"/>
      <w:bookmarkStart w:id="95" w:name="_Toc203057586"/>
      <w:r>
        <w:rPr>
          <w:rFonts w:hint="eastAsia" w:ascii="黑体" w:hAnsi="黑体" w:eastAsia="黑体"/>
          <w:b/>
          <w:bCs/>
          <w:sz w:val="28"/>
          <w:szCs w:val="28"/>
        </w:rPr>
        <w:t>5.1</w:t>
      </w:r>
      <w:r>
        <w:rPr>
          <w:rFonts w:ascii="黑体" w:hAnsi="黑体" w:eastAsia="黑体"/>
          <w:b/>
          <w:bCs/>
          <w:sz w:val="28"/>
          <w:szCs w:val="28"/>
        </w:rPr>
        <w:t xml:space="preserve"> </w:t>
      </w:r>
      <w:bookmarkEnd w:id="93"/>
      <w:r>
        <w:rPr>
          <w:rFonts w:hint="eastAsia" w:ascii="黑体" w:hAnsi="黑体" w:eastAsia="黑体"/>
          <w:b/>
          <w:bCs/>
          <w:sz w:val="28"/>
          <w:szCs w:val="28"/>
        </w:rPr>
        <w:t>产业现状与海外知识产权风险研判</w:t>
      </w:r>
      <w:bookmarkEnd w:id="94"/>
      <w:bookmarkEnd w:id="95"/>
    </w:p>
    <w:p>
      <w:pPr>
        <w:ind w:firstLine="480"/>
      </w:pPr>
      <w:r>
        <w:t>聊城市绿色化工产业作为支柱产业，近年来发展成效显著。2022 年，预计实现利润 90 亿元，占全市规上工业利润的 57%。目前，聊城市形成了以 3 个化工园区（聊城化工产业园、莘县化工产业园、茌平化工产业园）和 4 个重点监控点（如阳谷华泰化工股份有限公司等）为核心的产业布局。其中，聊城化工产业园以煤化工、盐化工为基础，年产各类化工产品 1000 万吨左右；莘县化工产业园主导产业为盐化工、石油化工、精细化工，产品涵盖 50 余种；茌平化工产业园依托信发集团循环经济产业链，具备一定规模的烧碱和电石生产能力。这 3 个园区化工产业产值占全市化工产业产值的 80% 左右，而 4 个重点监控点产值占全市化工产业产值的 15% 左右。</w:t>
      </w:r>
    </w:p>
    <w:p>
      <w:pPr>
        <w:pStyle w:val="2"/>
        <w:ind w:firstLine="480"/>
        <w:rPr>
          <w:rFonts w:hint="eastAsia"/>
        </w:rPr>
      </w:pPr>
      <w:r>
        <w:rPr>
          <w:rFonts w:hint="eastAsia"/>
        </w:rPr>
        <w:t>随着经济全球化的深入发展，聊城市石油化工企业积极拓展海外市场，参与国际竞争。然而，在</w:t>
      </w:r>
      <w:r>
        <w:t xml:space="preserve"> “</w:t>
      </w:r>
      <w:r>
        <w:rPr>
          <w:rFonts w:hint="eastAsia"/>
        </w:rPr>
        <w:t>走出去</w:t>
      </w:r>
      <w:r>
        <w:t xml:space="preserve">” </w:t>
      </w:r>
      <w:r>
        <w:rPr>
          <w:rFonts w:hint="eastAsia"/>
        </w:rPr>
        <w:t>的过程中，海外知识产权纠纷频发，成为企业国际化进程中的重大阻碍。石油化工产业作为技术密集型产业，知识产权是企业核心竞争力的重要组成部分。面对海外知识产权侵权风险，提出以下具体应付措施供聊城市政府和相关企业参考。</w:t>
      </w:r>
    </w:p>
    <w:p>
      <w:pPr>
        <w:ind w:firstLine="562"/>
        <w:outlineLvl w:val="1"/>
        <w:rPr>
          <w:rFonts w:ascii="黑体" w:hAnsi="黑体" w:eastAsia="黑体"/>
          <w:b/>
          <w:bCs/>
          <w:sz w:val="28"/>
          <w:szCs w:val="28"/>
        </w:rPr>
      </w:pPr>
      <w:bookmarkStart w:id="96" w:name="_Toc203057587"/>
      <w:r>
        <w:rPr>
          <w:rFonts w:ascii="黑体" w:hAnsi="黑体" w:eastAsia="黑体"/>
          <w:b/>
          <w:bCs/>
          <w:sz w:val="28"/>
          <w:szCs w:val="28"/>
        </w:rPr>
        <w:t>5.2 建立健全知识产权管理体系</w:t>
      </w:r>
      <w:bookmarkEnd w:id="96"/>
    </w:p>
    <w:p>
      <w:pPr>
        <w:ind w:firstLine="480"/>
      </w:pPr>
      <w:r>
        <w:t>设立专门的知识产权管理部门或岗位，配备专业人员，负责企业知识产权的申请、维护、监测和风险管理。制定完善的知识产权管理制度，明确研发、生产、销售等各环节的知识产权管理流程和责任。例如，在产品研发前进行全面的专利检索和分析，避免重复研发和侵权风险；在技术合作、人才引进等过程中，签订严格的知识产权保护协议。</w:t>
      </w:r>
    </w:p>
    <w:p>
      <w:pPr>
        <w:ind w:firstLine="562"/>
        <w:outlineLvl w:val="1"/>
        <w:rPr>
          <w:rFonts w:ascii="黑体" w:hAnsi="黑体" w:eastAsia="黑体"/>
          <w:b/>
          <w:bCs/>
          <w:sz w:val="28"/>
          <w:szCs w:val="28"/>
        </w:rPr>
      </w:pPr>
      <w:bookmarkStart w:id="97" w:name="_Toc203057588"/>
      <w:r>
        <w:rPr>
          <w:rFonts w:hint="eastAsia" w:ascii="黑体" w:hAnsi="黑体" w:eastAsia="黑体"/>
          <w:b/>
          <w:bCs/>
          <w:sz w:val="28"/>
          <w:szCs w:val="28"/>
        </w:rPr>
        <w:t>5</w:t>
      </w:r>
      <w:r>
        <w:rPr>
          <w:rFonts w:ascii="黑体" w:hAnsi="黑体" w:eastAsia="黑体"/>
          <w:b/>
          <w:bCs/>
          <w:sz w:val="28"/>
          <w:szCs w:val="28"/>
        </w:rPr>
        <w:t>.3 加强海外知识产权布局</w:t>
      </w:r>
      <w:bookmarkEnd w:id="97"/>
    </w:p>
    <w:p>
      <w:pPr>
        <w:ind w:firstLine="480"/>
      </w:pPr>
      <w:r>
        <w:t>在进入海外市场前，企业应深入研究目标市场的知识产权法律法规，结合自身技术和产品特点，制定合理的知识产权布局策略。及时在目标市场申请专利、商标注册，构建完善的知识产权保护网。对于核心技术，可通过 PCT（专利合作条约）途径进行国际专利申请，争取在多个国家和地区获得专利保护。同时，注重商标国际注册，通过马德里体系等方式，提高商标在海外市场的保护范围。</w:t>
      </w:r>
    </w:p>
    <w:p>
      <w:pPr>
        <w:ind w:firstLine="562"/>
        <w:outlineLvl w:val="1"/>
        <w:rPr>
          <w:rFonts w:ascii="黑体" w:hAnsi="黑体" w:eastAsia="黑体"/>
          <w:b/>
          <w:bCs/>
          <w:sz w:val="28"/>
          <w:szCs w:val="28"/>
        </w:rPr>
      </w:pPr>
      <w:bookmarkStart w:id="98" w:name="_Toc203057589"/>
      <w:r>
        <w:rPr>
          <w:rFonts w:hint="eastAsia" w:ascii="黑体" w:hAnsi="黑体" w:eastAsia="黑体"/>
          <w:b/>
          <w:bCs/>
          <w:sz w:val="28"/>
          <w:szCs w:val="28"/>
        </w:rPr>
        <w:t>5</w:t>
      </w:r>
      <w:r>
        <w:rPr>
          <w:rFonts w:ascii="黑体" w:hAnsi="黑体" w:eastAsia="黑体"/>
          <w:b/>
          <w:bCs/>
          <w:sz w:val="28"/>
          <w:szCs w:val="28"/>
        </w:rPr>
        <w:t>.4 提升纠纷应对能力</w:t>
      </w:r>
      <w:bookmarkEnd w:id="98"/>
    </w:p>
    <w:p>
      <w:pPr>
        <w:ind w:firstLine="480"/>
      </w:pPr>
      <w:r>
        <w:t>当遭遇海外知识产权纠纷时，企业应保持冷静，积极应对。立即组建由企业内部法务人员、外部专业律师、技术专家等组成的应对团队，制定合理的应对策略。迅速收集和整理相关证据，包括研发记录、专利文件、产品销售记录、合同协议等，证明自身行为的合法性和不侵权性。必要时，积极寻求和解，在保障自身利益的前提下，通过协商、调解等方式解决纠纷，降低诉讼成本和负面影响。若无法和解，则应坚定应诉，维护企业合法权益。</w:t>
      </w:r>
    </w:p>
    <w:p>
      <w:pPr>
        <w:ind w:firstLine="562"/>
        <w:outlineLvl w:val="1"/>
        <w:rPr>
          <w:rFonts w:ascii="黑体" w:hAnsi="黑体" w:eastAsia="黑体"/>
          <w:b/>
          <w:bCs/>
          <w:sz w:val="28"/>
          <w:szCs w:val="28"/>
        </w:rPr>
      </w:pPr>
      <w:bookmarkStart w:id="99" w:name="_Toc203057590"/>
      <w:r>
        <w:rPr>
          <w:rFonts w:hint="eastAsia" w:ascii="黑体" w:hAnsi="黑体" w:eastAsia="黑体"/>
          <w:b/>
          <w:bCs/>
          <w:sz w:val="28"/>
          <w:szCs w:val="28"/>
        </w:rPr>
        <w:t>5</w:t>
      </w:r>
      <w:r>
        <w:rPr>
          <w:rFonts w:ascii="黑体" w:hAnsi="黑体" w:eastAsia="黑体"/>
          <w:b/>
          <w:bCs/>
          <w:sz w:val="28"/>
          <w:szCs w:val="28"/>
        </w:rPr>
        <w:t>.5 加强人才培养和引进</w:t>
      </w:r>
      <w:bookmarkEnd w:id="99"/>
    </w:p>
    <w:p>
      <w:pPr>
        <w:ind w:firstLine="480"/>
      </w:pPr>
      <w:r>
        <w:t>知识产权管理和纠纷应对需要专业的人才队伍。企业应加强内部知识产权培训，提高员工的知识产权意识和风险防范能力，特别是研发人员、销售人员和管理人员。同时，积极引进具有海外知识产权工作经验、熟悉国际知识产权法律法规和诉讼程序的专业人才，充实企业知识产权管理和应对团队。</w:t>
      </w:r>
    </w:p>
    <w:p>
      <w:pPr>
        <w:ind w:firstLine="562"/>
        <w:outlineLvl w:val="1"/>
        <w:rPr>
          <w:rFonts w:ascii="黑体" w:hAnsi="黑体" w:eastAsia="黑体"/>
          <w:b/>
          <w:bCs/>
          <w:sz w:val="28"/>
          <w:szCs w:val="28"/>
        </w:rPr>
      </w:pPr>
      <w:bookmarkStart w:id="100" w:name="_Toc203057591"/>
      <w:r>
        <w:rPr>
          <w:rFonts w:hint="eastAsia" w:ascii="黑体" w:hAnsi="黑体" w:eastAsia="黑体"/>
          <w:b/>
          <w:bCs/>
          <w:sz w:val="28"/>
          <w:szCs w:val="28"/>
        </w:rPr>
        <w:t>5</w:t>
      </w:r>
      <w:r>
        <w:rPr>
          <w:rFonts w:ascii="黑体" w:hAnsi="黑体" w:eastAsia="黑体"/>
          <w:b/>
          <w:bCs/>
          <w:sz w:val="28"/>
          <w:szCs w:val="28"/>
        </w:rPr>
        <w:t>.6 完善政策支持体系</w:t>
      </w:r>
      <w:bookmarkEnd w:id="100"/>
    </w:p>
    <w:p>
      <w:pPr>
        <w:ind w:firstLine="480"/>
      </w:pPr>
      <w:r>
        <w:t>政府应出台鼓励企业加强海外知识产权保护的政策措施，如设立海外知识产权维权专项资金，对遭遇知识产权纠纷的企业给予资金支持，包括律师费、诉讼费等费用补贴；对积极进行海外知识产权布局的企业给予税收优惠、财政奖励等政策扶持，降低企业海外维权和布局成本。</w:t>
      </w:r>
    </w:p>
    <w:p>
      <w:pPr>
        <w:ind w:firstLine="562"/>
        <w:outlineLvl w:val="1"/>
        <w:rPr>
          <w:rFonts w:ascii="黑体" w:hAnsi="黑体" w:eastAsia="黑体"/>
          <w:b/>
          <w:bCs/>
          <w:sz w:val="28"/>
          <w:szCs w:val="28"/>
        </w:rPr>
      </w:pPr>
      <w:bookmarkStart w:id="101" w:name="_Toc203057592"/>
      <w:r>
        <w:rPr>
          <w:rFonts w:hint="eastAsia" w:ascii="黑体" w:hAnsi="黑体" w:eastAsia="黑体"/>
          <w:b/>
          <w:bCs/>
          <w:sz w:val="28"/>
          <w:szCs w:val="28"/>
        </w:rPr>
        <w:t>5</w:t>
      </w:r>
      <w:r>
        <w:rPr>
          <w:rFonts w:ascii="黑体" w:hAnsi="黑体" w:eastAsia="黑体"/>
          <w:b/>
          <w:bCs/>
          <w:sz w:val="28"/>
          <w:szCs w:val="28"/>
        </w:rPr>
        <w:t>.7 加强公共服务平台建设</w:t>
      </w:r>
      <w:bookmarkEnd w:id="101"/>
    </w:p>
    <w:p>
      <w:pPr>
        <w:ind w:firstLine="480"/>
      </w:pPr>
      <w:r>
        <w:t>进一步发挥国家海外知识产权纠纷应对指导中心聊城分中心的作用，充分利用各级专家和数据资源，为企业提供海外知识产权信息发布、风险监测、纠纷应对方案、国外参展维权指导等服务。搭建海外知识产权交流合作平台，组织企业与国外知识产权服务机构、律师事务所等开展交流活动，帮助企业了解国际知识产权规则和实践经验。加强与驻外使领馆、商务机构等的沟通协作，及时为企业提供海外知识产权纠纷预警信息和法律援助。</w:t>
      </w:r>
    </w:p>
    <w:p>
      <w:pPr>
        <w:ind w:firstLine="562"/>
        <w:outlineLvl w:val="1"/>
        <w:rPr>
          <w:rFonts w:ascii="黑体" w:hAnsi="黑体" w:eastAsia="黑体"/>
          <w:b/>
          <w:bCs/>
          <w:sz w:val="28"/>
          <w:szCs w:val="28"/>
        </w:rPr>
      </w:pPr>
      <w:bookmarkStart w:id="102" w:name="_Toc203057593"/>
      <w:r>
        <w:rPr>
          <w:rFonts w:hint="eastAsia" w:ascii="黑体" w:hAnsi="黑体" w:eastAsia="黑体"/>
          <w:b/>
          <w:bCs/>
          <w:sz w:val="28"/>
          <w:szCs w:val="28"/>
        </w:rPr>
        <w:t>5</w:t>
      </w:r>
      <w:r>
        <w:rPr>
          <w:rFonts w:ascii="黑体" w:hAnsi="黑体" w:eastAsia="黑体"/>
          <w:b/>
          <w:bCs/>
          <w:sz w:val="28"/>
          <w:szCs w:val="28"/>
        </w:rPr>
        <w:t>.8 强化知识产权宣传培训</w:t>
      </w:r>
      <w:bookmarkEnd w:id="102"/>
    </w:p>
    <w:p>
      <w:pPr>
        <w:ind w:firstLine="480"/>
      </w:pPr>
      <w:r>
        <w:t>组织开展形式多样的海外知识产权宣传培训活动，面向石油化工企业普及国际知识产权法律法规、海外维权策略和案例分析等知识。定期举办专题讲座、研讨会、培训班等，邀请国内外知识产权专家、律师进行授课和指导，提高企业知识产权管理人员和相关工作人员的业务水平。利用政府网站、微信公众号等媒体平台，发布海外知识产权动态、政策解读和风险提示等信息，营造良好的知识产权保护氛围。</w:t>
      </w:r>
    </w:p>
    <w:p>
      <w:pPr>
        <w:ind w:firstLine="562"/>
        <w:outlineLvl w:val="1"/>
        <w:rPr>
          <w:rFonts w:ascii="黑体" w:hAnsi="黑体" w:eastAsia="黑体"/>
          <w:b/>
          <w:bCs/>
          <w:sz w:val="28"/>
          <w:szCs w:val="28"/>
        </w:rPr>
      </w:pPr>
      <w:bookmarkStart w:id="103" w:name="_Toc203057594"/>
      <w:r>
        <w:rPr>
          <w:rFonts w:hint="eastAsia" w:ascii="黑体" w:hAnsi="黑体" w:eastAsia="黑体"/>
          <w:b/>
          <w:bCs/>
          <w:sz w:val="28"/>
          <w:szCs w:val="28"/>
        </w:rPr>
        <w:t>5</w:t>
      </w:r>
      <w:r>
        <w:rPr>
          <w:rFonts w:ascii="黑体" w:hAnsi="黑体" w:eastAsia="黑体"/>
          <w:b/>
          <w:bCs/>
          <w:sz w:val="28"/>
          <w:szCs w:val="28"/>
        </w:rPr>
        <w:t>.9 推动行业协会发挥作用</w:t>
      </w:r>
      <w:bookmarkEnd w:id="103"/>
    </w:p>
    <w:p>
      <w:pPr>
        <w:ind w:firstLine="480"/>
        <w:rPr>
          <w:rFonts w:hint="eastAsia"/>
        </w:rPr>
      </w:pPr>
      <w:r>
        <w:t>引导和支持石油化工行业协会在海外知识产权保护方面发挥积极作用。行业协会可组织企业开展联合维权行动，整合行业资源，提高企业应对海外知识产权纠纷的能力和话语权。加强行业自律，规范企业市场行为，避免行业内恶性竞争引发知识产权纠纷。同时，行业协会可代表企业与政府部门、国外相关机构进行沟通协调，反映企业诉求，维护行业整体利益。</w:t>
      </w:r>
    </w:p>
    <w:p>
      <w:pPr>
        <w:pStyle w:val="2"/>
        <w:ind w:firstLine="480"/>
      </w:pPr>
      <w:r>
        <w:br w:type="page"/>
      </w:r>
    </w:p>
    <w:p>
      <w:pPr>
        <w:ind w:firstLine="0" w:firstLineChars="0"/>
        <w:jc w:val="center"/>
        <w:outlineLvl w:val="0"/>
        <w:rPr>
          <w:rFonts w:ascii="宋体" w:hAnsi="宋体"/>
          <w:b/>
          <w:bCs/>
          <w:sz w:val="30"/>
          <w:szCs w:val="30"/>
        </w:rPr>
      </w:pPr>
      <w:bookmarkStart w:id="104" w:name="_Toc199407992"/>
      <w:bookmarkStart w:id="105" w:name="_Toc203057595"/>
      <w:r>
        <w:rPr>
          <w:rFonts w:hint="eastAsia" w:ascii="宋体" w:hAnsi="宋体"/>
          <w:b/>
          <w:bCs/>
          <w:sz w:val="30"/>
          <w:szCs w:val="30"/>
        </w:rPr>
        <w:t>附件1：</w:t>
      </w:r>
      <w:r>
        <w:rPr>
          <w:rFonts w:ascii="宋体" w:hAnsi="宋体"/>
          <w:b/>
          <w:bCs/>
          <w:sz w:val="30"/>
          <w:szCs w:val="30"/>
        </w:rPr>
        <w:t>海外知识产权侵权风险防控标准化流程</w:t>
      </w:r>
      <w:bookmarkEnd w:id="104"/>
      <w:bookmarkEnd w:id="105"/>
    </w:p>
    <w:p>
      <w:pPr>
        <w:ind w:firstLine="482"/>
        <w:rPr>
          <w:rFonts w:ascii="宋体" w:hAnsi="宋体"/>
          <w:b/>
          <w:bCs/>
        </w:rPr>
      </w:pPr>
      <w:r>
        <w:rPr>
          <w:rFonts w:ascii="宋体" w:hAnsi="宋体"/>
          <w:b/>
          <w:bCs/>
        </w:rPr>
        <w:t>一、前期调研与风险识别</w:t>
      </w:r>
    </w:p>
    <w:p>
      <w:pPr>
        <w:ind w:firstLine="482"/>
        <w:rPr>
          <w:rFonts w:ascii="宋体" w:hAnsi="宋体"/>
          <w:b/>
          <w:bCs/>
        </w:rPr>
      </w:pPr>
      <w:r>
        <w:rPr>
          <w:rFonts w:ascii="宋体" w:hAnsi="宋体"/>
          <w:b/>
          <w:bCs/>
        </w:rPr>
        <w:t>1.明确目标市场知识产权法律体系</w:t>
      </w:r>
    </w:p>
    <w:p>
      <w:pPr>
        <w:ind w:firstLine="480"/>
        <w:rPr>
          <w:rFonts w:ascii="宋体" w:hAnsi="宋体"/>
        </w:rPr>
      </w:pPr>
      <w:r>
        <w:rPr>
          <w:rFonts w:ascii="宋体" w:hAnsi="宋体"/>
        </w:rPr>
        <w:t>调研内容：</w:t>
      </w:r>
    </w:p>
    <w:p>
      <w:pPr>
        <w:ind w:firstLine="480"/>
        <w:rPr>
          <w:rFonts w:ascii="宋体" w:hAnsi="宋体"/>
        </w:rPr>
      </w:pPr>
      <w:r>
        <w:rPr>
          <w:rFonts w:ascii="宋体" w:hAnsi="宋体"/>
        </w:rPr>
        <w:t>目标国家/地区的知识产权法律类型（如大陆法系、普通法系）、专利/商标/版权的保护范围及期限。</w:t>
      </w:r>
    </w:p>
    <w:p>
      <w:pPr>
        <w:ind w:firstLine="480"/>
        <w:rPr>
          <w:rFonts w:ascii="宋体" w:hAnsi="宋体"/>
        </w:rPr>
      </w:pPr>
      <w:r>
        <w:rPr>
          <w:rFonts w:ascii="宋体" w:hAnsi="宋体"/>
        </w:rPr>
        <w:t>特殊法律要求：例如欧盟对药品专利的补充保护证书（SPC）、美国对外观设计专利的“实质相似”判定标准等。</w:t>
      </w:r>
    </w:p>
    <w:p>
      <w:pPr>
        <w:ind w:firstLine="480"/>
        <w:rPr>
          <w:rFonts w:ascii="宋体" w:hAnsi="宋体"/>
        </w:rPr>
      </w:pPr>
      <w:r>
        <w:rPr>
          <w:rFonts w:ascii="宋体" w:hAnsi="宋体"/>
        </w:rPr>
        <w:t>工具与渠道：</w:t>
      </w:r>
    </w:p>
    <w:p>
      <w:pPr>
        <w:ind w:firstLine="480"/>
        <w:rPr>
          <w:rFonts w:ascii="宋体" w:hAnsi="宋体"/>
        </w:rPr>
      </w:pPr>
      <w:r>
        <w:rPr>
          <w:rFonts w:ascii="宋体" w:hAnsi="宋体"/>
        </w:rPr>
        <w:t>官方数据库：美国专利商标局（USPTO）、欧洲知识产权局（EPO）、世界知识产权组织（WIPO）等。</w:t>
      </w:r>
    </w:p>
    <w:p>
      <w:pPr>
        <w:ind w:firstLine="480"/>
        <w:rPr>
          <w:rFonts w:ascii="宋体" w:hAnsi="宋体"/>
        </w:rPr>
      </w:pPr>
      <w:r>
        <w:rPr>
          <w:rFonts w:ascii="宋体" w:hAnsi="宋体"/>
        </w:rPr>
        <w:t>专业机构：委托当地律所或知识产权代理机构提供法律合规报告。</w:t>
      </w:r>
    </w:p>
    <w:p>
      <w:pPr>
        <w:ind w:firstLine="482"/>
        <w:rPr>
          <w:rFonts w:ascii="宋体" w:hAnsi="宋体"/>
          <w:b/>
          <w:bCs/>
        </w:rPr>
      </w:pPr>
      <w:r>
        <w:rPr>
          <w:rFonts w:ascii="宋体" w:hAnsi="宋体"/>
          <w:b/>
          <w:bCs/>
        </w:rPr>
        <w:t>2.全面排查自身知识产权状态</w:t>
      </w:r>
    </w:p>
    <w:p>
      <w:pPr>
        <w:ind w:firstLine="480"/>
        <w:rPr>
          <w:rFonts w:ascii="宋体" w:hAnsi="宋体"/>
        </w:rPr>
      </w:pPr>
      <w:r>
        <w:rPr>
          <w:rFonts w:ascii="宋体" w:hAnsi="宋体"/>
        </w:rPr>
        <w:t>内部资产盘点：</w:t>
      </w:r>
    </w:p>
    <w:p>
      <w:pPr>
        <w:ind w:firstLine="480"/>
        <w:rPr>
          <w:rFonts w:ascii="宋体" w:hAnsi="宋体"/>
        </w:rPr>
      </w:pPr>
      <w:r>
        <w:rPr>
          <w:rFonts w:ascii="宋体" w:hAnsi="宋体"/>
        </w:rPr>
        <w:t>梳理核心技术、产品设计、品牌标识等，明确是否已在目标市场申请专利、商标或版权登记。</w:t>
      </w:r>
    </w:p>
    <w:p>
      <w:pPr>
        <w:ind w:firstLine="480"/>
        <w:rPr>
          <w:rFonts w:ascii="宋体" w:hAnsi="宋体"/>
        </w:rPr>
      </w:pPr>
      <w:r>
        <w:rPr>
          <w:rFonts w:ascii="宋体" w:hAnsi="宋体"/>
        </w:rPr>
        <w:t>示例：某消费电子企业需确认其产品的外观设计、芯片技术是否在欧盟申请外观专利或发明专利。</w:t>
      </w:r>
    </w:p>
    <w:p>
      <w:pPr>
        <w:ind w:firstLine="480"/>
        <w:rPr>
          <w:rFonts w:ascii="宋体" w:hAnsi="宋体"/>
        </w:rPr>
      </w:pPr>
      <w:r>
        <w:rPr>
          <w:rFonts w:ascii="宋体" w:hAnsi="宋体"/>
        </w:rPr>
        <w:t>权利稳定性审查：</w:t>
      </w:r>
    </w:p>
    <w:p>
      <w:pPr>
        <w:ind w:firstLine="480"/>
        <w:rPr>
          <w:rFonts w:ascii="宋体" w:hAnsi="宋体"/>
        </w:rPr>
      </w:pPr>
      <w:r>
        <w:rPr>
          <w:rFonts w:ascii="宋体" w:hAnsi="宋体"/>
        </w:rPr>
        <w:t>对已获授权的知识产权，核查是否存在权利瑕疵（如专利新颖性缺陷、商标显著性不足），避免因权利不稳定引发侵权指控。</w:t>
      </w:r>
    </w:p>
    <w:p>
      <w:pPr>
        <w:ind w:firstLine="482"/>
        <w:rPr>
          <w:rFonts w:ascii="宋体" w:hAnsi="宋体"/>
          <w:b/>
          <w:bCs/>
        </w:rPr>
      </w:pPr>
      <w:r>
        <w:rPr>
          <w:rFonts w:ascii="宋体" w:hAnsi="宋体"/>
          <w:b/>
          <w:bCs/>
        </w:rPr>
        <w:t>3.竞品与核心技术的侵权预警</w:t>
      </w:r>
    </w:p>
    <w:p>
      <w:pPr>
        <w:ind w:firstLine="480"/>
        <w:rPr>
          <w:rFonts w:ascii="宋体" w:hAnsi="宋体"/>
        </w:rPr>
      </w:pPr>
      <w:r>
        <w:rPr>
          <w:rFonts w:ascii="宋体" w:hAnsi="宋体"/>
        </w:rPr>
        <w:t>FTO（自由实施）调查：</w:t>
      </w:r>
    </w:p>
    <w:p>
      <w:pPr>
        <w:ind w:firstLine="480"/>
        <w:rPr>
          <w:rFonts w:ascii="宋体" w:hAnsi="宋体"/>
        </w:rPr>
      </w:pPr>
      <w:r>
        <w:rPr>
          <w:rFonts w:ascii="宋体" w:hAnsi="宋体"/>
        </w:rPr>
        <w:t>针对核心产品或技术，检索目标市场的现有专利、商标注册信息，分析是否落入他人权利保护范围。</w:t>
      </w:r>
    </w:p>
    <w:p>
      <w:pPr>
        <w:ind w:firstLine="480"/>
        <w:rPr>
          <w:rFonts w:ascii="宋体" w:hAnsi="宋体"/>
        </w:rPr>
      </w:pPr>
      <w:r>
        <w:rPr>
          <w:rFonts w:ascii="宋体" w:hAnsi="宋体"/>
        </w:rPr>
        <w:t>案例：某新能源企业出口电池组件前，通过FTO检索发现其电池热管理技术与美国某公司专利的权利要求高度重叠，及时调整技术路线避免侵权。</w:t>
      </w:r>
    </w:p>
    <w:p>
      <w:pPr>
        <w:ind w:firstLine="480"/>
        <w:rPr>
          <w:rFonts w:ascii="宋体" w:hAnsi="宋体"/>
        </w:rPr>
      </w:pPr>
      <w:r>
        <w:rPr>
          <w:rFonts w:ascii="宋体" w:hAnsi="宋体"/>
        </w:rPr>
        <w:t>商标clearance搜索：</w:t>
      </w:r>
    </w:p>
    <w:p>
      <w:pPr>
        <w:ind w:firstLine="480"/>
        <w:rPr>
          <w:rFonts w:ascii="宋体" w:hAnsi="宋体"/>
        </w:rPr>
      </w:pPr>
      <w:r>
        <w:rPr>
          <w:rFonts w:ascii="宋体" w:hAnsi="宋体"/>
        </w:rPr>
        <w:t>确认企业品牌、产品名称、Logo等是否与目标市场已注册商标构成近似或相同，尤其注意跨类别近似（如服装类商标与箱包类的关联）。</w:t>
      </w:r>
    </w:p>
    <w:p>
      <w:pPr>
        <w:ind w:firstLine="482"/>
        <w:rPr>
          <w:rFonts w:ascii="宋体" w:hAnsi="宋体"/>
          <w:b/>
          <w:bCs/>
        </w:rPr>
      </w:pPr>
      <w:r>
        <w:rPr>
          <w:rFonts w:ascii="宋体" w:hAnsi="宋体"/>
          <w:b/>
          <w:bCs/>
        </w:rPr>
        <w:t>二、风险评估与分级管理</w:t>
      </w:r>
    </w:p>
    <w:p>
      <w:pPr>
        <w:ind w:firstLine="482"/>
        <w:rPr>
          <w:rFonts w:ascii="宋体" w:hAnsi="宋体"/>
          <w:b/>
          <w:bCs/>
        </w:rPr>
      </w:pPr>
      <w:r>
        <w:rPr>
          <w:rFonts w:ascii="宋体" w:hAnsi="宋体"/>
          <w:b/>
          <w:bCs/>
        </w:rPr>
        <w:t>1.建立侵权风险评估模型</w:t>
      </w:r>
    </w:p>
    <w:p>
      <w:pPr>
        <w:ind w:firstLine="480"/>
        <w:rPr>
          <w:rFonts w:ascii="宋体" w:hAnsi="宋体"/>
        </w:rPr>
      </w:pPr>
      <w:r>
        <w:rPr>
          <w:rFonts w:ascii="宋体" w:hAnsi="宋体"/>
        </w:rPr>
        <w:t>评估维度：</w:t>
      </w:r>
    </w:p>
    <w:tbl>
      <w:tblPr>
        <w:tblStyle w:val="21"/>
        <w:tblW w:w="808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208"/>
        <w:gridCol w:w="5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blHeader/>
        </w:trPr>
        <w:tc>
          <w:tcPr>
            <w:tcW w:w="2208" w:type="dxa"/>
            <w:tcMar>
              <w:top w:w="180" w:type="dxa"/>
              <w:left w:w="270" w:type="dxa"/>
              <w:bottom w:w="180" w:type="dxa"/>
              <w:right w:w="270" w:type="dxa"/>
            </w:tcMar>
            <w:vAlign w:val="center"/>
          </w:tcPr>
          <w:p>
            <w:pPr>
              <w:ind w:firstLine="480"/>
              <w:jc w:val="center"/>
              <w:rPr>
                <w:rFonts w:ascii="宋体" w:hAnsi="宋体"/>
              </w:rPr>
            </w:pPr>
            <w:r>
              <w:rPr>
                <w:rFonts w:ascii="宋体" w:hAnsi="宋体"/>
              </w:rPr>
              <w:t>风险维度</w:t>
            </w:r>
          </w:p>
        </w:tc>
        <w:tc>
          <w:tcPr>
            <w:tcW w:w="5872" w:type="dxa"/>
            <w:tcMar>
              <w:top w:w="180" w:type="dxa"/>
              <w:left w:w="270" w:type="dxa"/>
              <w:bottom w:w="180" w:type="dxa"/>
              <w:right w:w="270" w:type="dxa"/>
            </w:tcMar>
            <w:vAlign w:val="center"/>
          </w:tcPr>
          <w:p>
            <w:pPr>
              <w:ind w:firstLine="480"/>
              <w:jc w:val="center"/>
              <w:rPr>
                <w:rFonts w:ascii="宋体" w:hAnsi="宋体"/>
              </w:rPr>
            </w:pPr>
            <w:r>
              <w:rPr>
                <w:rFonts w:ascii="宋体" w:hAnsi="宋体"/>
              </w:rPr>
              <w:t>评估标准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208" w:type="dxa"/>
            <w:tcMar>
              <w:top w:w="180" w:type="dxa"/>
              <w:left w:w="270" w:type="dxa"/>
              <w:bottom w:w="180" w:type="dxa"/>
              <w:right w:w="270" w:type="dxa"/>
            </w:tcMar>
            <w:vAlign w:val="center"/>
          </w:tcPr>
          <w:p>
            <w:pPr>
              <w:ind w:firstLine="480"/>
              <w:jc w:val="center"/>
              <w:rPr>
                <w:rFonts w:ascii="宋体" w:hAnsi="宋体"/>
              </w:rPr>
            </w:pPr>
            <w:r>
              <w:rPr>
                <w:rFonts w:ascii="宋体" w:hAnsi="宋体"/>
              </w:rPr>
              <w:t>法律合规性</w:t>
            </w:r>
          </w:p>
        </w:tc>
        <w:tc>
          <w:tcPr>
            <w:tcW w:w="5872" w:type="dxa"/>
            <w:tcMar>
              <w:top w:w="180" w:type="dxa"/>
              <w:left w:w="270" w:type="dxa"/>
              <w:bottom w:w="180" w:type="dxa"/>
              <w:right w:w="270" w:type="dxa"/>
            </w:tcMar>
            <w:vAlign w:val="center"/>
          </w:tcPr>
          <w:p>
            <w:pPr>
              <w:ind w:firstLine="480"/>
              <w:jc w:val="center"/>
              <w:rPr>
                <w:rFonts w:ascii="宋体" w:hAnsi="宋体"/>
              </w:rPr>
            </w:pPr>
            <w:r>
              <w:rPr>
                <w:rFonts w:ascii="宋体" w:hAnsi="宋体"/>
              </w:rPr>
              <w:t>目标国法律对知识产权的保护强度、司法实践倾向（如美国的“禁令救济”门槛）。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208" w:type="dxa"/>
            <w:tcMar>
              <w:top w:w="180" w:type="dxa"/>
              <w:left w:w="270" w:type="dxa"/>
              <w:bottom w:w="180" w:type="dxa"/>
              <w:right w:w="270" w:type="dxa"/>
            </w:tcMar>
            <w:vAlign w:val="center"/>
          </w:tcPr>
          <w:p>
            <w:pPr>
              <w:ind w:firstLine="480"/>
              <w:jc w:val="center"/>
              <w:rPr>
                <w:rFonts w:ascii="宋体" w:hAnsi="宋体"/>
              </w:rPr>
            </w:pPr>
            <w:r>
              <w:rPr>
                <w:rFonts w:ascii="宋体" w:hAnsi="宋体"/>
              </w:rPr>
              <w:t>侵权可能性</w:t>
            </w:r>
          </w:p>
        </w:tc>
        <w:tc>
          <w:tcPr>
            <w:tcW w:w="5872" w:type="dxa"/>
            <w:tcMar>
              <w:top w:w="180" w:type="dxa"/>
              <w:left w:w="270" w:type="dxa"/>
              <w:bottom w:w="180" w:type="dxa"/>
              <w:right w:w="270" w:type="dxa"/>
            </w:tcMar>
            <w:vAlign w:val="center"/>
          </w:tcPr>
          <w:p>
            <w:pPr>
              <w:ind w:firstLine="480"/>
              <w:jc w:val="center"/>
              <w:rPr>
                <w:rFonts w:ascii="宋体" w:hAnsi="宋体"/>
              </w:rPr>
            </w:pPr>
            <w:r>
              <w:rPr>
                <w:rFonts w:ascii="宋体" w:hAnsi="宋体"/>
              </w:rPr>
              <w:t>技术特征比对（专利）、商标近似度（商标）、实质性相似（版权）。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208" w:type="dxa"/>
            <w:tcMar>
              <w:top w:w="180" w:type="dxa"/>
              <w:left w:w="270" w:type="dxa"/>
              <w:bottom w:w="180" w:type="dxa"/>
              <w:right w:w="270" w:type="dxa"/>
            </w:tcMar>
            <w:vAlign w:val="center"/>
          </w:tcPr>
          <w:p>
            <w:pPr>
              <w:ind w:firstLine="480"/>
              <w:jc w:val="center"/>
              <w:rPr>
                <w:rFonts w:ascii="宋体" w:hAnsi="宋体"/>
              </w:rPr>
            </w:pPr>
            <w:r>
              <w:rPr>
                <w:rFonts w:ascii="宋体" w:hAnsi="宋体"/>
              </w:rPr>
              <w:t>商业影响</w:t>
            </w:r>
          </w:p>
        </w:tc>
        <w:tc>
          <w:tcPr>
            <w:tcW w:w="5872" w:type="dxa"/>
            <w:tcMar>
              <w:top w:w="180" w:type="dxa"/>
              <w:left w:w="270" w:type="dxa"/>
              <w:bottom w:w="180" w:type="dxa"/>
              <w:right w:w="270" w:type="dxa"/>
            </w:tcMar>
            <w:vAlign w:val="center"/>
          </w:tcPr>
          <w:p>
            <w:pPr>
              <w:ind w:firstLine="480"/>
              <w:jc w:val="center"/>
              <w:rPr>
                <w:rFonts w:ascii="宋体" w:hAnsi="宋体"/>
              </w:rPr>
            </w:pPr>
            <w:r>
              <w:rPr>
                <w:rFonts w:ascii="宋体" w:hAnsi="宋体"/>
              </w:rPr>
              <w:t>潜在赔偿金额、市场禁售风险、品牌声誉损失。</w:t>
            </w:r>
          </w:p>
        </w:tc>
      </w:tr>
    </w:tbl>
    <w:p>
      <w:pPr>
        <w:ind w:firstLine="480"/>
        <w:rPr>
          <w:rFonts w:ascii="宋体" w:hAnsi="宋体"/>
        </w:rPr>
      </w:pPr>
      <w:r>
        <w:rPr>
          <w:rFonts w:ascii="宋体" w:hAnsi="宋体"/>
        </w:rPr>
        <w:t>风险分级：</w:t>
      </w:r>
    </w:p>
    <w:p>
      <w:pPr>
        <w:ind w:firstLine="480"/>
        <w:rPr>
          <w:rFonts w:ascii="宋体" w:hAnsi="宋体"/>
        </w:rPr>
      </w:pPr>
      <w:r>
        <w:rPr>
          <w:rFonts w:ascii="宋体" w:hAnsi="宋体"/>
        </w:rPr>
        <w:t>高风险：直接侵权且无有效抗辩理由，可能面临高额赔偿或禁令（如仿制药企业未获强制许可生产专利药）。</w:t>
      </w:r>
    </w:p>
    <w:p>
      <w:pPr>
        <w:ind w:firstLine="480"/>
        <w:rPr>
          <w:rFonts w:ascii="宋体" w:hAnsi="宋体"/>
        </w:rPr>
      </w:pPr>
      <w:r>
        <w:rPr>
          <w:rFonts w:ascii="宋体" w:hAnsi="宋体"/>
        </w:rPr>
        <w:t>中风险：存在权利冲突或边缘性侵权，需通过法律程序（如专利无效、商标异议）解决。</w:t>
      </w:r>
    </w:p>
    <w:p>
      <w:pPr>
        <w:ind w:firstLine="480"/>
        <w:rPr>
          <w:rFonts w:ascii="宋体" w:hAnsi="宋体"/>
        </w:rPr>
      </w:pPr>
      <w:r>
        <w:rPr>
          <w:rFonts w:ascii="宋体" w:hAnsi="宋体"/>
        </w:rPr>
        <w:t>低风险：非实质性侵权或权利状态不明确，可通过优化设计规避。</w:t>
      </w:r>
    </w:p>
    <w:p>
      <w:pPr>
        <w:ind w:firstLine="482"/>
        <w:rPr>
          <w:rFonts w:ascii="宋体" w:hAnsi="宋体"/>
          <w:b/>
          <w:bCs/>
        </w:rPr>
      </w:pPr>
      <w:r>
        <w:rPr>
          <w:rFonts w:ascii="宋体" w:hAnsi="宋体"/>
          <w:b/>
          <w:bCs/>
        </w:rPr>
        <w:t>2.制定风险应对优先级</w:t>
      </w:r>
    </w:p>
    <w:p>
      <w:pPr>
        <w:ind w:firstLine="480"/>
        <w:rPr>
          <w:rFonts w:ascii="宋体" w:hAnsi="宋体"/>
        </w:rPr>
      </w:pPr>
      <w:r>
        <w:rPr>
          <w:rFonts w:ascii="宋体" w:hAnsi="宋体"/>
        </w:rPr>
        <w:t>高风险事项：立即启动技术规避或获取许可，必要时调整市场进入策略。</w:t>
      </w:r>
    </w:p>
    <w:p>
      <w:pPr>
        <w:ind w:firstLine="480"/>
        <w:rPr>
          <w:rFonts w:ascii="宋体" w:hAnsi="宋体"/>
        </w:rPr>
      </w:pPr>
      <w:r>
        <w:rPr>
          <w:rFonts w:ascii="宋体" w:hAnsi="宋体"/>
        </w:rPr>
        <w:t>中风险事项：在产品上市前完成权利冲突解决（如申请专利无效、提交商标异议）。</w:t>
      </w:r>
    </w:p>
    <w:p>
      <w:pPr>
        <w:ind w:firstLine="480"/>
        <w:rPr>
          <w:rFonts w:ascii="宋体" w:hAnsi="宋体"/>
        </w:rPr>
      </w:pPr>
      <w:r>
        <w:rPr>
          <w:rFonts w:ascii="宋体" w:hAnsi="宋体"/>
        </w:rPr>
        <w:t>低风险事项：持续监控市场动态，保留研发记录以备抗辩。</w:t>
      </w:r>
    </w:p>
    <w:p>
      <w:pPr>
        <w:ind w:firstLine="482"/>
        <w:rPr>
          <w:rFonts w:ascii="宋体" w:hAnsi="宋体"/>
          <w:b/>
          <w:bCs/>
        </w:rPr>
      </w:pPr>
      <w:r>
        <w:rPr>
          <w:rFonts w:ascii="宋体" w:hAnsi="宋体"/>
          <w:b/>
          <w:bCs/>
        </w:rPr>
        <w:t>三、风险控制与合规布局</w:t>
      </w:r>
    </w:p>
    <w:p>
      <w:pPr>
        <w:ind w:firstLine="482"/>
        <w:rPr>
          <w:rFonts w:ascii="宋体" w:hAnsi="宋体"/>
          <w:b/>
          <w:bCs/>
        </w:rPr>
      </w:pPr>
      <w:r>
        <w:rPr>
          <w:rFonts w:ascii="宋体" w:hAnsi="宋体"/>
          <w:b/>
          <w:bCs/>
        </w:rPr>
        <w:t>1.知识产权海外布局策略</w:t>
      </w:r>
    </w:p>
    <w:p>
      <w:pPr>
        <w:ind w:firstLine="480"/>
        <w:rPr>
          <w:rFonts w:ascii="宋体" w:hAnsi="宋体"/>
        </w:rPr>
      </w:pPr>
      <w:r>
        <w:rPr>
          <w:rFonts w:ascii="宋体" w:hAnsi="宋体"/>
        </w:rPr>
        <w:t>专利布局：</w:t>
      </w:r>
    </w:p>
    <w:p>
      <w:pPr>
        <w:ind w:firstLine="480"/>
        <w:rPr>
          <w:rFonts w:ascii="宋体" w:hAnsi="宋体"/>
        </w:rPr>
      </w:pPr>
      <w:r>
        <w:rPr>
          <w:rFonts w:ascii="宋体" w:hAnsi="宋体"/>
        </w:rPr>
        <w:t>通过《专利合作条约》（PCT）或巴黎公约途径申请国际专利，重点布局核心技术和改进技术。</w:t>
      </w:r>
    </w:p>
    <w:p>
      <w:pPr>
        <w:ind w:firstLine="480"/>
        <w:rPr>
          <w:rFonts w:ascii="宋体" w:hAnsi="宋体"/>
        </w:rPr>
      </w:pPr>
      <w:r>
        <w:rPr>
          <w:rFonts w:ascii="宋体" w:hAnsi="宋体"/>
        </w:rPr>
        <w:t>示例：中国车企在欧洲申请电动车电池专利时，同步布局快充技术的系列专利，形成专利壁垒。</w:t>
      </w:r>
    </w:p>
    <w:p>
      <w:pPr>
        <w:ind w:firstLine="480"/>
        <w:rPr>
          <w:rFonts w:ascii="宋体" w:hAnsi="宋体"/>
        </w:rPr>
      </w:pPr>
      <w:r>
        <w:rPr>
          <w:rFonts w:ascii="宋体" w:hAnsi="宋体"/>
        </w:rPr>
        <w:t>商标先行注册：</w:t>
      </w:r>
    </w:p>
    <w:p>
      <w:pPr>
        <w:ind w:firstLine="480"/>
        <w:rPr>
          <w:rFonts w:ascii="宋体" w:hAnsi="宋体"/>
        </w:rPr>
      </w:pPr>
      <w:r>
        <w:rPr>
          <w:rFonts w:ascii="宋体" w:hAnsi="宋体"/>
        </w:rPr>
        <w:t>遵循“注册在先”原则，在产品上市前6-12个月申请商标，覆盖核心类别及关联类别（如第9类电子产品、第35类广告销售）。</w:t>
      </w:r>
    </w:p>
    <w:p>
      <w:pPr>
        <w:ind w:firstLine="480"/>
        <w:rPr>
          <w:rFonts w:ascii="宋体" w:hAnsi="宋体"/>
        </w:rPr>
      </w:pPr>
      <w:r>
        <w:rPr>
          <w:rFonts w:ascii="宋体" w:hAnsi="宋体"/>
        </w:rPr>
        <w:t>防御性注册：在目标市场注册近似商标，防止他人恶意抢注（如“华为”在全球多个国家注册“HUAWEI”及图形商标）。</w:t>
      </w:r>
    </w:p>
    <w:p>
      <w:pPr>
        <w:ind w:firstLine="480"/>
        <w:rPr>
          <w:rFonts w:ascii="宋体" w:hAnsi="宋体"/>
        </w:rPr>
      </w:pPr>
      <w:r>
        <w:rPr>
          <w:rFonts w:ascii="宋体" w:hAnsi="宋体"/>
        </w:rPr>
        <w:t>版权登记：</w:t>
      </w:r>
    </w:p>
    <w:p>
      <w:pPr>
        <w:ind w:firstLine="480"/>
        <w:rPr>
          <w:rFonts w:ascii="宋体" w:hAnsi="宋体"/>
        </w:rPr>
      </w:pPr>
      <w:r>
        <w:rPr>
          <w:rFonts w:ascii="宋体" w:hAnsi="宋体"/>
        </w:rPr>
        <w:t>对软件代码、产品设计图、包装装潢等及时在当地进行版权登记，作为侵权诉讼的初步证据。</w:t>
      </w:r>
    </w:p>
    <w:p>
      <w:pPr>
        <w:ind w:firstLine="482"/>
        <w:rPr>
          <w:rFonts w:ascii="宋体" w:hAnsi="宋体"/>
          <w:b/>
          <w:bCs/>
        </w:rPr>
      </w:pPr>
      <w:r>
        <w:rPr>
          <w:rFonts w:ascii="宋体" w:hAnsi="宋体"/>
          <w:b/>
          <w:bCs/>
        </w:rPr>
        <w:t>2.供应链与合作伙伴合规管理</w:t>
      </w:r>
    </w:p>
    <w:p>
      <w:pPr>
        <w:ind w:firstLine="480"/>
        <w:rPr>
          <w:rFonts w:ascii="宋体" w:hAnsi="宋体"/>
        </w:rPr>
      </w:pPr>
      <w:r>
        <w:rPr>
          <w:rFonts w:ascii="宋体" w:hAnsi="宋体"/>
        </w:rPr>
        <w:t>供应商审查：</w:t>
      </w:r>
    </w:p>
    <w:p>
      <w:pPr>
        <w:ind w:firstLine="480"/>
        <w:rPr>
          <w:rFonts w:ascii="宋体" w:hAnsi="宋体"/>
        </w:rPr>
      </w:pPr>
      <w:r>
        <w:rPr>
          <w:rFonts w:ascii="宋体" w:hAnsi="宋体"/>
        </w:rPr>
        <w:t>要求供应商提供知识产权声明，确保原材料、零部件不侵犯第三方权利（如使用开源软件需遵守GPL协议）。</w:t>
      </w:r>
    </w:p>
    <w:p>
      <w:pPr>
        <w:ind w:firstLine="480"/>
        <w:rPr>
          <w:rFonts w:ascii="宋体" w:hAnsi="宋体"/>
        </w:rPr>
      </w:pPr>
      <w:r>
        <w:rPr>
          <w:rFonts w:ascii="宋体" w:hAnsi="宋体"/>
        </w:rPr>
        <w:t>合同条款设计：</w:t>
      </w:r>
    </w:p>
    <w:p>
      <w:pPr>
        <w:ind w:firstLine="480"/>
        <w:rPr>
          <w:rFonts w:ascii="宋体" w:hAnsi="宋体"/>
        </w:rPr>
      </w:pPr>
      <w:r>
        <w:rPr>
          <w:rFonts w:ascii="宋体" w:hAnsi="宋体"/>
        </w:rPr>
        <w:t>在采购、经销合同中明确知识产权担保条款，约定侵权赔偿责任归属（如“供应商需承担因专利侵权导致的全部损失”）。</w:t>
      </w:r>
    </w:p>
    <w:p>
      <w:pPr>
        <w:ind w:firstLine="480"/>
        <w:rPr>
          <w:rFonts w:ascii="宋体" w:hAnsi="宋体"/>
        </w:rPr>
      </w:pPr>
      <w:r>
        <w:rPr>
          <w:rFonts w:ascii="宋体" w:hAnsi="宋体"/>
        </w:rPr>
        <w:t>跨境电商平台合规：</w:t>
      </w:r>
    </w:p>
    <w:p>
      <w:pPr>
        <w:ind w:firstLine="480"/>
        <w:rPr>
          <w:rFonts w:ascii="宋体" w:hAnsi="宋体"/>
        </w:rPr>
      </w:pPr>
      <w:r>
        <w:rPr>
          <w:rFonts w:ascii="宋体" w:hAnsi="宋体"/>
        </w:rPr>
        <w:t>熟悉亚马逊、eBay等平台的知识产权投诉机制（如TRO临时禁令），建立产品上架前的知识产权筛查流程。</w:t>
      </w:r>
    </w:p>
    <w:p>
      <w:pPr>
        <w:ind w:firstLine="482"/>
        <w:rPr>
          <w:rFonts w:ascii="宋体" w:hAnsi="宋体"/>
          <w:b/>
          <w:bCs/>
        </w:rPr>
      </w:pPr>
      <w:r>
        <w:rPr>
          <w:rFonts w:ascii="宋体" w:hAnsi="宋体"/>
          <w:b/>
          <w:bCs/>
        </w:rPr>
        <w:t>3.技术规避与自由实施（FTO）方案</w:t>
      </w:r>
    </w:p>
    <w:p>
      <w:pPr>
        <w:ind w:firstLine="480"/>
        <w:rPr>
          <w:rFonts w:ascii="宋体" w:hAnsi="宋体"/>
        </w:rPr>
      </w:pPr>
      <w:r>
        <w:rPr>
          <w:rFonts w:ascii="宋体" w:hAnsi="宋体"/>
        </w:rPr>
        <w:t>专利规避设计（DesignAround）：</w:t>
      </w:r>
    </w:p>
    <w:p>
      <w:pPr>
        <w:ind w:firstLine="480"/>
        <w:rPr>
          <w:rFonts w:ascii="宋体" w:hAnsi="宋体"/>
        </w:rPr>
      </w:pPr>
      <w:r>
        <w:rPr>
          <w:rFonts w:ascii="宋体" w:hAnsi="宋体"/>
        </w:rPr>
        <w:t>修改侵权技术特征，如替换专利权利要求中的必要技术特征（如将“螺栓连接”改为“卡扣连接”），确保不落入保护范围。</w:t>
      </w:r>
    </w:p>
    <w:p>
      <w:pPr>
        <w:ind w:firstLine="480"/>
        <w:rPr>
          <w:rFonts w:ascii="宋体" w:hAnsi="宋体"/>
        </w:rPr>
      </w:pPr>
      <w:r>
        <w:rPr>
          <w:rFonts w:ascii="宋体" w:hAnsi="宋体"/>
        </w:rPr>
        <w:t>获取知识产权许可：</w:t>
      </w:r>
    </w:p>
    <w:p>
      <w:pPr>
        <w:ind w:firstLine="480"/>
        <w:rPr>
          <w:rFonts w:ascii="宋体" w:hAnsi="宋体"/>
        </w:rPr>
      </w:pPr>
      <w:r>
        <w:rPr>
          <w:rFonts w:ascii="宋体" w:hAnsi="宋体"/>
        </w:rPr>
        <w:t>通过交叉许可、分许可等方式与权利方合作（如高通与手机厂商的专利许可模式），支付合理许可费降低风险。</w:t>
      </w:r>
    </w:p>
    <w:p>
      <w:pPr>
        <w:ind w:firstLine="480"/>
        <w:rPr>
          <w:rFonts w:ascii="宋体" w:hAnsi="宋体"/>
        </w:rPr>
      </w:pPr>
      <w:r>
        <w:rPr>
          <w:rFonts w:ascii="宋体" w:hAnsi="宋体"/>
        </w:rPr>
        <w:t>利用法律例外条款：</w:t>
      </w:r>
    </w:p>
    <w:p>
      <w:pPr>
        <w:ind w:firstLine="480"/>
        <w:rPr>
          <w:rFonts w:ascii="宋体" w:hAnsi="宋体"/>
        </w:rPr>
      </w:pPr>
      <w:r>
        <w:rPr>
          <w:rFonts w:ascii="宋体" w:hAnsi="宋体"/>
        </w:rPr>
        <w:t>合理使用（版权）、先用权（专利）、权利用尽（商标）等原则，作为侵权抗辩的法律依据。</w:t>
      </w:r>
    </w:p>
    <w:p>
      <w:pPr>
        <w:ind w:firstLine="482"/>
        <w:rPr>
          <w:rFonts w:ascii="宋体" w:hAnsi="宋体"/>
          <w:b/>
          <w:bCs/>
        </w:rPr>
      </w:pPr>
      <w:r>
        <w:rPr>
          <w:rFonts w:ascii="宋体" w:hAnsi="宋体"/>
          <w:b/>
          <w:bCs/>
        </w:rPr>
        <w:t>四、侵权争议应对与救济</w:t>
      </w:r>
    </w:p>
    <w:p>
      <w:pPr>
        <w:ind w:firstLine="482"/>
        <w:rPr>
          <w:rFonts w:ascii="宋体" w:hAnsi="宋体"/>
          <w:b/>
          <w:bCs/>
        </w:rPr>
      </w:pPr>
      <w:r>
        <w:rPr>
          <w:rFonts w:ascii="宋体" w:hAnsi="宋体"/>
          <w:b/>
          <w:bCs/>
        </w:rPr>
        <w:t>1.建立侵权预警响应机制</w:t>
      </w:r>
    </w:p>
    <w:p>
      <w:pPr>
        <w:ind w:firstLine="480"/>
        <w:rPr>
          <w:rFonts w:ascii="宋体" w:hAnsi="宋体"/>
        </w:rPr>
      </w:pPr>
      <w:r>
        <w:rPr>
          <w:rFonts w:ascii="宋体" w:hAnsi="宋体"/>
        </w:rPr>
        <w:t>监测渠道：</w:t>
      </w:r>
    </w:p>
    <w:p>
      <w:pPr>
        <w:ind w:firstLine="480"/>
        <w:rPr>
          <w:rFonts w:ascii="宋体" w:hAnsi="宋体"/>
        </w:rPr>
      </w:pPr>
      <w:r>
        <w:rPr>
          <w:rFonts w:ascii="宋体" w:hAnsi="宋体"/>
        </w:rPr>
        <w:t>定期检索目标市场知识产权数据库，监控竞争对手的新申请动态。</w:t>
      </w:r>
    </w:p>
    <w:p>
      <w:pPr>
        <w:ind w:firstLine="480"/>
        <w:rPr>
          <w:rFonts w:ascii="宋体" w:hAnsi="宋体"/>
        </w:rPr>
      </w:pPr>
      <w:r>
        <w:rPr>
          <w:rFonts w:ascii="宋体" w:hAnsi="宋体"/>
        </w:rPr>
        <w:t>委托第三方机构提供侵权预警报告（如LexisNexis、Questel）。</w:t>
      </w:r>
    </w:p>
    <w:p>
      <w:pPr>
        <w:ind w:firstLine="480"/>
        <w:rPr>
          <w:rFonts w:ascii="宋体" w:hAnsi="宋体"/>
        </w:rPr>
      </w:pPr>
      <w:r>
        <w:rPr>
          <w:rFonts w:ascii="宋体" w:hAnsi="宋体"/>
        </w:rPr>
        <w:t>应急小组：</w:t>
      </w:r>
    </w:p>
    <w:p>
      <w:pPr>
        <w:ind w:firstLine="480"/>
        <w:rPr>
          <w:rFonts w:ascii="宋体" w:hAnsi="宋体"/>
        </w:rPr>
      </w:pPr>
      <w:r>
        <w:rPr>
          <w:rFonts w:ascii="宋体" w:hAnsi="宋体"/>
        </w:rPr>
        <w:t>组建由技术、法务、市场组成的应急团队，制定《侵权争议应对手册》，明确内部沟通流程和外部律师聘用标准。</w:t>
      </w:r>
    </w:p>
    <w:p>
      <w:pPr>
        <w:ind w:firstLine="482"/>
        <w:rPr>
          <w:rFonts w:ascii="宋体" w:hAnsi="宋体"/>
          <w:b/>
          <w:bCs/>
        </w:rPr>
      </w:pPr>
      <w:r>
        <w:rPr>
          <w:rFonts w:ascii="宋体" w:hAnsi="宋体"/>
          <w:b/>
          <w:bCs/>
        </w:rPr>
        <w:t>2.争议解决策略选择</w:t>
      </w:r>
    </w:p>
    <w:p>
      <w:pPr>
        <w:ind w:firstLine="480"/>
        <w:rPr>
          <w:rFonts w:ascii="宋体" w:hAnsi="宋体"/>
        </w:rPr>
      </w:pPr>
      <w:r>
        <w:rPr>
          <w:rFonts w:ascii="宋体" w:hAnsi="宋体"/>
        </w:rPr>
        <w:t>协商与和解：</w:t>
      </w:r>
    </w:p>
    <w:p>
      <w:pPr>
        <w:ind w:firstLine="480"/>
        <w:rPr>
          <w:rFonts w:ascii="宋体" w:hAnsi="宋体"/>
        </w:rPr>
      </w:pPr>
      <w:r>
        <w:rPr>
          <w:rFonts w:ascii="宋体" w:hAnsi="宋体"/>
        </w:rPr>
        <w:t>适用于侵权事实明确但损失较小的案件，通过谈判达成许可协议或赔偿方案，降低诉讼成本。</w:t>
      </w:r>
    </w:p>
    <w:p>
      <w:pPr>
        <w:ind w:firstLine="480"/>
        <w:rPr>
          <w:rFonts w:ascii="宋体" w:hAnsi="宋体"/>
        </w:rPr>
      </w:pPr>
      <w:r>
        <w:rPr>
          <w:rFonts w:ascii="宋体" w:hAnsi="宋体"/>
        </w:rPr>
        <w:t>行政程序：</w:t>
      </w:r>
    </w:p>
    <w:p>
      <w:pPr>
        <w:ind w:firstLine="480"/>
        <w:rPr>
          <w:rFonts w:ascii="宋体" w:hAnsi="宋体"/>
        </w:rPr>
      </w:pPr>
      <w:r>
        <w:rPr>
          <w:rFonts w:ascii="宋体" w:hAnsi="宋体"/>
        </w:rPr>
        <w:t>利用目标国的知识产权行政救济途径，如美国的USPTO专利审判和上诉委员会（PTAB）可申请专利无效，欧盟知识产权局（EUIPO）可申请商标撤销。</w:t>
      </w:r>
    </w:p>
    <w:p>
      <w:pPr>
        <w:ind w:firstLine="480"/>
        <w:rPr>
          <w:rFonts w:ascii="宋体" w:hAnsi="宋体"/>
        </w:rPr>
      </w:pPr>
      <w:r>
        <w:rPr>
          <w:rFonts w:ascii="宋体" w:hAnsi="宋体"/>
        </w:rPr>
        <w:t>司法诉讼：</w:t>
      </w:r>
    </w:p>
    <w:p>
      <w:pPr>
        <w:ind w:firstLine="480"/>
        <w:rPr>
          <w:rFonts w:ascii="宋体" w:hAnsi="宋体"/>
        </w:rPr>
      </w:pPr>
      <w:r>
        <w:rPr>
          <w:rFonts w:ascii="宋体" w:hAnsi="宋体"/>
        </w:rPr>
        <w:t>主动发起确认不侵权之诉（如中国企业在美遭遇337调查时，可在深圳中院提起反请求），或积极应诉并提出抗辩理由（如专利无效、现有技术抗辩）。</w:t>
      </w:r>
    </w:p>
    <w:p>
      <w:pPr>
        <w:ind w:firstLine="480"/>
        <w:rPr>
          <w:rFonts w:ascii="宋体" w:hAnsi="宋体"/>
        </w:rPr>
      </w:pPr>
      <w:r>
        <w:rPr>
          <w:rFonts w:ascii="宋体" w:hAnsi="宋体"/>
        </w:rPr>
        <w:t>仲裁与调解：</w:t>
      </w:r>
    </w:p>
    <w:p>
      <w:pPr>
        <w:ind w:firstLine="480"/>
        <w:rPr>
          <w:rFonts w:ascii="宋体" w:hAnsi="宋体"/>
        </w:rPr>
      </w:pPr>
      <w:r>
        <w:rPr>
          <w:rFonts w:ascii="宋体" w:hAnsi="宋体"/>
        </w:rPr>
        <w:t>在合同中约定仲裁条款（如选择新加坡国际仲裁中心），通过非诉讼方式解决跨境知识产权纠纷。</w:t>
      </w:r>
    </w:p>
    <w:p>
      <w:pPr>
        <w:ind w:firstLine="482"/>
        <w:rPr>
          <w:rFonts w:ascii="宋体" w:hAnsi="宋体"/>
          <w:b/>
          <w:bCs/>
        </w:rPr>
      </w:pPr>
      <w:r>
        <w:rPr>
          <w:rFonts w:ascii="宋体" w:hAnsi="宋体"/>
          <w:b/>
          <w:bCs/>
        </w:rPr>
        <w:t>3.证据保全与抗辩准备</w:t>
      </w:r>
    </w:p>
    <w:p>
      <w:pPr>
        <w:ind w:firstLine="480"/>
        <w:rPr>
          <w:rFonts w:ascii="宋体" w:hAnsi="宋体"/>
        </w:rPr>
      </w:pPr>
      <w:r>
        <w:rPr>
          <w:rFonts w:ascii="宋体" w:hAnsi="宋体"/>
        </w:rPr>
        <w:t>证据收集：</w:t>
      </w:r>
    </w:p>
    <w:p>
      <w:pPr>
        <w:ind w:firstLine="480"/>
        <w:rPr>
          <w:rFonts w:ascii="宋体" w:hAnsi="宋体"/>
        </w:rPr>
      </w:pPr>
      <w:r>
        <w:rPr>
          <w:rFonts w:ascii="宋体" w:hAnsi="宋体"/>
        </w:rPr>
        <w:t>侵权对比证据：技术特征比对表、商标近似度分析报告。</w:t>
      </w:r>
    </w:p>
    <w:p>
      <w:pPr>
        <w:ind w:firstLine="480"/>
        <w:rPr>
          <w:rFonts w:ascii="宋体" w:hAnsi="宋体"/>
        </w:rPr>
      </w:pPr>
      <w:r>
        <w:rPr>
          <w:rFonts w:ascii="宋体" w:hAnsi="宋体"/>
        </w:rPr>
        <w:t>权利稳定性证据：专利检索报告、商标使用证据（如销售合同、广告宣传）。</w:t>
      </w:r>
    </w:p>
    <w:p>
      <w:pPr>
        <w:ind w:firstLine="480"/>
        <w:rPr>
          <w:rFonts w:ascii="宋体" w:hAnsi="宋体"/>
        </w:rPr>
      </w:pPr>
      <w:r>
        <w:rPr>
          <w:rFonts w:ascii="宋体" w:hAnsi="宋体"/>
        </w:rPr>
        <w:t>在先使用证据：研发记录、产品原型、早期销售发票等。</w:t>
      </w:r>
    </w:p>
    <w:p>
      <w:pPr>
        <w:ind w:firstLine="480"/>
        <w:rPr>
          <w:rFonts w:ascii="宋体" w:hAnsi="宋体"/>
        </w:rPr>
      </w:pPr>
      <w:r>
        <w:rPr>
          <w:rFonts w:ascii="宋体" w:hAnsi="宋体"/>
        </w:rPr>
        <w:t>核心抗辩理由：</w:t>
      </w:r>
    </w:p>
    <w:p>
      <w:pPr>
        <w:ind w:firstLine="480"/>
        <w:rPr>
          <w:rFonts w:ascii="宋体" w:hAnsi="宋体"/>
        </w:rPr>
      </w:pPr>
      <w:r>
        <w:rPr>
          <w:rFonts w:ascii="宋体" w:hAnsi="宋体"/>
        </w:rPr>
        <w:t>专利：现有技术/设计抗辩、专利权无效、禁止反悔原则。</w:t>
      </w:r>
    </w:p>
    <w:p>
      <w:pPr>
        <w:ind w:firstLine="480"/>
        <w:rPr>
          <w:rFonts w:ascii="宋体" w:hAnsi="宋体"/>
        </w:rPr>
      </w:pPr>
      <w:r>
        <w:rPr>
          <w:rFonts w:ascii="宋体" w:hAnsi="宋体"/>
        </w:rPr>
        <w:t>商标：非商标性使用、合理使用（如描述性使用）、在先权利抗辩。</w:t>
      </w:r>
    </w:p>
    <w:p>
      <w:pPr>
        <w:ind w:firstLine="480"/>
        <w:rPr>
          <w:rFonts w:ascii="宋体" w:hAnsi="宋体"/>
        </w:rPr>
      </w:pPr>
      <w:r>
        <w:rPr>
          <w:rFonts w:ascii="宋体" w:hAnsi="宋体"/>
        </w:rPr>
        <w:t>版权：独立创作、合理使用（如新闻报道、学术研究）。</w:t>
      </w:r>
    </w:p>
    <w:p>
      <w:pPr>
        <w:ind w:firstLine="482"/>
        <w:rPr>
          <w:rFonts w:ascii="宋体" w:hAnsi="宋体"/>
          <w:b/>
          <w:bCs/>
        </w:rPr>
      </w:pPr>
      <w:r>
        <w:rPr>
          <w:rFonts w:ascii="宋体" w:hAnsi="宋体"/>
          <w:b/>
          <w:bCs/>
        </w:rPr>
        <w:t>五、持续监控与体系优化</w:t>
      </w:r>
    </w:p>
    <w:p>
      <w:pPr>
        <w:ind w:firstLine="482"/>
        <w:rPr>
          <w:rFonts w:ascii="宋体" w:hAnsi="宋体"/>
          <w:b/>
          <w:bCs/>
        </w:rPr>
      </w:pPr>
      <w:r>
        <w:rPr>
          <w:rFonts w:ascii="宋体" w:hAnsi="宋体"/>
          <w:b/>
          <w:bCs/>
        </w:rPr>
        <w:t>1.知识产权动态管理</w:t>
      </w:r>
    </w:p>
    <w:p>
      <w:pPr>
        <w:ind w:firstLine="480"/>
        <w:rPr>
          <w:rFonts w:ascii="宋体" w:hAnsi="宋体"/>
        </w:rPr>
      </w:pPr>
      <w:r>
        <w:rPr>
          <w:rFonts w:ascii="宋体" w:hAnsi="宋体"/>
        </w:rPr>
        <w:t>定期复核：</w:t>
      </w:r>
    </w:p>
    <w:p>
      <w:pPr>
        <w:ind w:firstLine="480"/>
        <w:rPr>
          <w:rFonts w:ascii="宋体" w:hAnsi="宋体"/>
        </w:rPr>
      </w:pPr>
      <w:r>
        <w:rPr>
          <w:rFonts w:ascii="宋体" w:hAnsi="宋体"/>
        </w:rPr>
        <w:t>每年更新知识产权资产清单，评估海外专利/商标的维持成本与商业价值，适时放弃非核心权利。</w:t>
      </w:r>
    </w:p>
    <w:p>
      <w:pPr>
        <w:ind w:firstLine="480"/>
        <w:rPr>
          <w:rFonts w:ascii="宋体" w:hAnsi="宋体"/>
        </w:rPr>
      </w:pPr>
      <w:r>
        <w:rPr>
          <w:rFonts w:ascii="宋体" w:hAnsi="宋体"/>
        </w:rPr>
        <w:t>市场反馈机制：</w:t>
      </w:r>
    </w:p>
    <w:p>
      <w:pPr>
        <w:ind w:firstLine="480"/>
        <w:rPr>
          <w:rFonts w:ascii="宋体" w:hAnsi="宋体"/>
        </w:rPr>
      </w:pPr>
      <w:r>
        <w:rPr>
          <w:rFonts w:ascii="宋体" w:hAnsi="宋体"/>
        </w:rPr>
        <w:t>建立客户投诉渠道，及时收集市场中关于产品侵权的反馈信息（如经销商报告竞争对手的侵权指控）。</w:t>
      </w:r>
    </w:p>
    <w:p>
      <w:pPr>
        <w:ind w:firstLine="482"/>
        <w:rPr>
          <w:rFonts w:ascii="宋体" w:hAnsi="宋体"/>
          <w:b/>
          <w:bCs/>
        </w:rPr>
      </w:pPr>
      <w:r>
        <w:rPr>
          <w:rFonts w:ascii="宋体" w:hAnsi="宋体"/>
          <w:b/>
          <w:bCs/>
        </w:rPr>
        <w:t>2.合规培训与文化建设</w:t>
      </w:r>
    </w:p>
    <w:p>
      <w:pPr>
        <w:ind w:firstLine="480"/>
        <w:rPr>
          <w:rFonts w:ascii="宋体" w:hAnsi="宋体"/>
        </w:rPr>
      </w:pPr>
      <w:r>
        <w:rPr>
          <w:rFonts w:ascii="宋体" w:hAnsi="宋体"/>
        </w:rPr>
        <w:t>内部培训：</w:t>
      </w:r>
    </w:p>
    <w:p>
      <w:pPr>
        <w:ind w:firstLine="480"/>
        <w:rPr>
          <w:rFonts w:ascii="宋体" w:hAnsi="宋体"/>
        </w:rPr>
      </w:pPr>
      <w:r>
        <w:rPr>
          <w:rFonts w:ascii="宋体" w:hAnsi="宋体"/>
        </w:rPr>
        <w:t>定期组织海外知识产权法律培训，重点针对研发、采购、市场部门（如“如何避免在产品宣传中使用他人商标”）。</w:t>
      </w:r>
    </w:p>
    <w:p>
      <w:pPr>
        <w:ind w:firstLine="480"/>
        <w:rPr>
          <w:rFonts w:ascii="宋体" w:hAnsi="宋体"/>
        </w:rPr>
      </w:pPr>
      <w:r>
        <w:rPr>
          <w:rFonts w:ascii="宋体" w:hAnsi="宋体"/>
        </w:rPr>
        <w:t>案例复盘：</w:t>
      </w:r>
    </w:p>
    <w:p>
      <w:pPr>
        <w:ind w:firstLine="480"/>
        <w:rPr>
          <w:rFonts w:ascii="宋体" w:hAnsi="宋体"/>
        </w:rPr>
      </w:pPr>
      <w:r>
        <w:rPr>
          <w:rFonts w:ascii="宋体" w:hAnsi="宋体"/>
        </w:rPr>
        <w:t>分析行业典型侵权案例（如苹果vs三星专利诉讼），总结风险点并纳入企业合规指引。</w:t>
      </w:r>
    </w:p>
    <w:p>
      <w:pPr>
        <w:ind w:firstLine="482"/>
        <w:rPr>
          <w:rFonts w:ascii="宋体" w:hAnsi="宋体"/>
          <w:b/>
          <w:bCs/>
        </w:rPr>
      </w:pPr>
      <w:r>
        <w:rPr>
          <w:rFonts w:ascii="宋体" w:hAnsi="宋体"/>
          <w:b/>
          <w:bCs/>
        </w:rPr>
        <w:t>3.体系迭代与技术赋能</w:t>
      </w:r>
    </w:p>
    <w:p>
      <w:pPr>
        <w:ind w:firstLine="480"/>
        <w:rPr>
          <w:rFonts w:ascii="宋体" w:hAnsi="宋体"/>
        </w:rPr>
      </w:pPr>
      <w:r>
        <w:rPr>
          <w:rFonts w:ascii="宋体" w:hAnsi="宋体"/>
        </w:rPr>
        <w:t>引入AI工具：</w:t>
      </w:r>
    </w:p>
    <w:p>
      <w:pPr>
        <w:ind w:firstLine="480"/>
        <w:rPr>
          <w:rFonts w:ascii="宋体" w:hAnsi="宋体"/>
        </w:rPr>
      </w:pPr>
      <w:r>
        <w:rPr>
          <w:rFonts w:ascii="宋体" w:hAnsi="宋体"/>
        </w:rPr>
        <w:t>使用知识产权大数据分析工具（如PatSnap、OrbitIntelligence）进行侵权预警和FTO分析，提升检索效率。</w:t>
      </w:r>
    </w:p>
    <w:p>
      <w:pPr>
        <w:ind w:firstLine="480"/>
        <w:rPr>
          <w:rFonts w:ascii="宋体" w:hAnsi="宋体"/>
        </w:rPr>
      </w:pPr>
      <w:r>
        <w:rPr>
          <w:rFonts w:ascii="宋体" w:hAnsi="宋体"/>
        </w:rPr>
        <w:t>参与行业联盟：</w:t>
      </w:r>
    </w:p>
    <w:p>
      <w:pPr>
        <w:ind w:firstLine="480"/>
        <w:rPr>
          <w:rFonts w:ascii="宋体" w:hAnsi="宋体"/>
        </w:rPr>
      </w:pPr>
      <w:r>
        <w:rPr>
          <w:rFonts w:ascii="宋体" w:hAnsi="宋体"/>
        </w:rPr>
        <w:t>加入国际知识产权保护联盟（如美国知识产权所有者协会IPO），获取政策动态和行业支持。</w:t>
      </w:r>
    </w:p>
    <w:sectPr>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DF191C-F072-45E3-964A-059EC239994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C42BDB8F-F881-42B9-8F05-33FBB135DB74}"/>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embedRegular r:id="rId3" w:fontKey="{8D54FB97-8BB5-455F-8684-2A5941B480FF}"/>
  </w:font>
  <w:font w:name="Arial">
    <w:panose1 w:val="020B0604020202020204"/>
    <w:charset w:val="00"/>
    <w:family w:val="swiss"/>
    <w:pitch w:val="default"/>
    <w:sig w:usb0="E0002AFF" w:usb1="C0007843" w:usb2="00000009" w:usb3="00000000" w:csb0="400001FF" w:csb1="FFFF0000"/>
    <w:embedRegular r:id="rId4" w:fontKey="{CD8CE247-8BC3-4344-A809-5795D45E98EB}"/>
  </w:font>
  <w:font w:name="Segoe UI">
    <w:panose1 w:val="020B0502040204020203"/>
    <w:charset w:val="00"/>
    <w:family w:val="swiss"/>
    <w:pitch w:val="default"/>
    <w:sig w:usb0="E10022FF" w:usb1="C000E47F" w:usb2="00000029" w:usb3="00000000" w:csb0="200001DF" w:csb1="20000000"/>
    <w:embedRegular r:id="rId5" w:fontKey="{D57FACD4-1C38-4F54-BB93-632EAAE2F3D1}"/>
  </w:font>
  <w:font w:name="Batang">
    <w:panose1 w:val="02030600000101010101"/>
    <w:charset w:val="81"/>
    <w:family w:val="roman"/>
    <w:pitch w:val="default"/>
    <w:sig w:usb0="B00002AF" w:usb1="69D77CFB" w:usb2="00000030" w:usb3="00000000" w:csb0="4008009F" w:csb1="DFD70000"/>
    <w:embedRegular r:id="rId6" w:fontKey="{033FE5E9-D4CC-4C12-BBB5-733ABE044FFF}"/>
  </w:font>
  <w:font w:name="楷体">
    <w:panose1 w:val="02010609060101010101"/>
    <w:charset w:val="86"/>
    <w:family w:val="modern"/>
    <w:pitch w:val="default"/>
    <w:sig w:usb0="800002BF" w:usb1="38CF7CFA" w:usb2="00000016" w:usb3="00000000" w:csb0="00040001" w:csb1="00000000"/>
    <w:embedRegular r:id="rId7" w:fontKey="{C78D2F84-ECC6-45D9-A234-2E4F7CFF91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8210381"/>
    </w:sdtPr>
    <w:sdtContent>
      <w:p>
        <w:pPr>
          <w:pStyle w:val="13"/>
          <w:ind w:firstLine="480"/>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90D0D0"/>
    <w:multiLevelType w:val="singleLevel"/>
    <w:tmpl w:val="3290D0D0"/>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RjNjg4ZDc1YjEyNzE3NDU0N2JiYTkyMzI3OWJlZjIifQ=="/>
  </w:docVars>
  <w:rsids>
    <w:rsidRoot w:val="004A41A3"/>
    <w:rsid w:val="00000CB6"/>
    <w:rsid w:val="000021D2"/>
    <w:rsid w:val="00002A6D"/>
    <w:rsid w:val="00003E1D"/>
    <w:rsid w:val="000041A6"/>
    <w:rsid w:val="0000502F"/>
    <w:rsid w:val="0000684C"/>
    <w:rsid w:val="00007053"/>
    <w:rsid w:val="0000765C"/>
    <w:rsid w:val="000078E0"/>
    <w:rsid w:val="00007B5E"/>
    <w:rsid w:val="00010BC3"/>
    <w:rsid w:val="000113DF"/>
    <w:rsid w:val="00011EE7"/>
    <w:rsid w:val="00012241"/>
    <w:rsid w:val="0001290A"/>
    <w:rsid w:val="00013763"/>
    <w:rsid w:val="00013BBD"/>
    <w:rsid w:val="00013D47"/>
    <w:rsid w:val="000141D6"/>
    <w:rsid w:val="0001434E"/>
    <w:rsid w:val="00015B4C"/>
    <w:rsid w:val="0001612B"/>
    <w:rsid w:val="00016C87"/>
    <w:rsid w:val="00017E98"/>
    <w:rsid w:val="000203DE"/>
    <w:rsid w:val="0002065F"/>
    <w:rsid w:val="00020D80"/>
    <w:rsid w:val="0002193A"/>
    <w:rsid w:val="00021F32"/>
    <w:rsid w:val="000244D2"/>
    <w:rsid w:val="00024FEE"/>
    <w:rsid w:val="00025047"/>
    <w:rsid w:val="00025F19"/>
    <w:rsid w:val="000261E2"/>
    <w:rsid w:val="00026F39"/>
    <w:rsid w:val="000270BA"/>
    <w:rsid w:val="000274DE"/>
    <w:rsid w:val="00030A44"/>
    <w:rsid w:val="00030DF9"/>
    <w:rsid w:val="00030E3B"/>
    <w:rsid w:val="000317CE"/>
    <w:rsid w:val="00035DDA"/>
    <w:rsid w:val="000362C8"/>
    <w:rsid w:val="00036635"/>
    <w:rsid w:val="00037687"/>
    <w:rsid w:val="000401A1"/>
    <w:rsid w:val="000419C6"/>
    <w:rsid w:val="000428DA"/>
    <w:rsid w:val="000433E8"/>
    <w:rsid w:val="00043522"/>
    <w:rsid w:val="000441F5"/>
    <w:rsid w:val="0004466D"/>
    <w:rsid w:val="00044AD3"/>
    <w:rsid w:val="00044FF2"/>
    <w:rsid w:val="000456DE"/>
    <w:rsid w:val="00045705"/>
    <w:rsid w:val="00045774"/>
    <w:rsid w:val="000462D9"/>
    <w:rsid w:val="000466EA"/>
    <w:rsid w:val="00046AC1"/>
    <w:rsid w:val="0004706C"/>
    <w:rsid w:val="0004730A"/>
    <w:rsid w:val="000473FE"/>
    <w:rsid w:val="0004775C"/>
    <w:rsid w:val="00047F83"/>
    <w:rsid w:val="000506E4"/>
    <w:rsid w:val="00050BDC"/>
    <w:rsid w:val="0005105E"/>
    <w:rsid w:val="000517F8"/>
    <w:rsid w:val="00051E0B"/>
    <w:rsid w:val="0005263D"/>
    <w:rsid w:val="000528B0"/>
    <w:rsid w:val="0005334C"/>
    <w:rsid w:val="0005451A"/>
    <w:rsid w:val="000555D5"/>
    <w:rsid w:val="00055DD4"/>
    <w:rsid w:val="00055F57"/>
    <w:rsid w:val="00056D2D"/>
    <w:rsid w:val="000576AC"/>
    <w:rsid w:val="00060AE8"/>
    <w:rsid w:val="00060B44"/>
    <w:rsid w:val="00062619"/>
    <w:rsid w:val="0006291E"/>
    <w:rsid w:val="000634DB"/>
    <w:rsid w:val="00063AFC"/>
    <w:rsid w:val="00063DBA"/>
    <w:rsid w:val="000641A0"/>
    <w:rsid w:val="00065077"/>
    <w:rsid w:val="00065F60"/>
    <w:rsid w:val="00066DCD"/>
    <w:rsid w:val="00066E19"/>
    <w:rsid w:val="000674B3"/>
    <w:rsid w:val="00070EA0"/>
    <w:rsid w:val="00072A2E"/>
    <w:rsid w:val="0007379A"/>
    <w:rsid w:val="00073ECD"/>
    <w:rsid w:val="000747F0"/>
    <w:rsid w:val="00077863"/>
    <w:rsid w:val="00077A9B"/>
    <w:rsid w:val="00081AE4"/>
    <w:rsid w:val="000830DC"/>
    <w:rsid w:val="000833F8"/>
    <w:rsid w:val="0008360E"/>
    <w:rsid w:val="00083F0B"/>
    <w:rsid w:val="0008508E"/>
    <w:rsid w:val="00086357"/>
    <w:rsid w:val="0008658B"/>
    <w:rsid w:val="00086838"/>
    <w:rsid w:val="00087609"/>
    <w:rsid w:val="000876E2"/>
    <w:rsid w:val="00087E2E"/>
    <w:rsid w:val="00090B5F"/>
    <w:rsid w:val="00090F72"/>
    <w:rsid w:val="000913F8"/>
    <w:rsid w:val="00092BC2"/>
    <w:rsid w:val="00093E77"/>
    <w:rsid w:val="000946C1"/>
    <w:rsid w:val="00094A1B"/>
    <w:rsid w:val="0009581D"/>
    <w:rsid w:val="00095D27"/>
    <w:rsid w:val="000963C9"/>
    <w:rsid w:val="00096F87"/>
    <w:rsid w:val="000973F9"/>
    <w:rsid w:val="00097CA1"/>
    <w:rsid w:val="000A21B9"/>
    <w:rsid w:val="000A3FE0"/>
    <w:rsid w:val="000A4090"/>
    <w:rsid w:val="000A61E1"/>
    <w:rsid w:val="000A6CC4"/>
    <w:rsid w:val="000A73D1"/>
    <w:rsid w:val="000A7D47"/>
    <w:rsid w:val="000B0B75"/>
    <w:rsid w:val="000B1322"/>
    <w:rsid w:val="000B1B4A"/>
    <w:rsid w:val="000B2984"/>
    <w:rsid w:val="000B36B3"/>
    <w:rsid w:val="000B4239"/>
    <w:rsid w:val="000B43D6"/>
    <w:rsid w:val="000B48D7"/>
    <w:rsid w:val="000B4EC8"/>
    <w:rsid w:val="000B56D8"/>
    <w:rsid w:val="000B6573"/>
    <w:rsid w:val="000B6C40"/>
    <w:rsid w:val="000B6E44"/>
    <w:rsid w:val="000C024B"/>
    <w:rsid w:val="000C094B"/>
    <w:rsid w:val="000C1260"/>
    <w:rsid w:val="000C1BAB"/>
    <w:rsid w:val="000C31DB"/>
    <w:rsid w:val="000C37BD"/>
    <w:rsid w:val="000C47E0"/>
    <w:rsid w:val="000C5CE2"/>
    <w:rsid w:val="000C61FE"/>
    <w:rsid w:val="000C6342"/>
    <w:rsid w:val="000C64F2"/>
    <w:rsid w:val="000D05A6"/>
    <w:rsid w:val="000D2620"/>
    <w:rsid w:val="000D283E"/>
    <w:rsid w:val="000D34CA"/>
    <w:rsid w:val="000D354B"/>
    <w:rsid w:val="000D3717"/>
    <w:rsid w:val="000D3795"/>
    <w:rsid w:val="000D37DF"/>
    <w:rsid w:val="000D45AB"/>
    <w:rsid w:val="000D4634"/>
    <w:rsid w:val="000D4B28"/>
    <w:rsid w:val="000D5D60"/>
    <w:rsid w:val="000D67DC"/>
    <w:rsid w:val="000D7757"/>
    <w:rsid w:val="000E007B"/>
    <w:rsid w:val="000E191A"/>
    <w:rsid w:val="000E1BC1"/>
    <w:rsid w:val="000E24E9"/>
    <w:rsid w:val="000E63C3"/>
    <w:rsid w:val="000E6904"/>
    <w:rsid w:val="000E6F60"/>
    <w:rsid w:val="000E71CA"/>
    <w:rsid w:val="000E7A51"/>
    <w:rsid w:val="000F0113"/>
    <w:rsid w:val="000F023B"/>
    <w:rsid w:val="000F02ED"/>
    <w:rsid w:val="000F0610"/>
    <w:rsid w:val="000F1D7B"/>
    <w:rsid w:val="000F3775"/>
    <w:rsid w:val="000F53B2"/>
    <w:rsid w:val="000F7642"/>
    <w:rsid w:val="000F7990"/>
    <w:rsid w:val="000F7DBD"/>
    <w:rsid w:val="001005D7"/>
    <w:rsid w:val="00100F41"/>
    <w:rsid w:val="00101755"/>
    <w:rsid w:val="00101835"/>
    <w:rsid w:val="00101AF3"/>
    <w:rsid w:val="00101B42"/>
    <w:rsid w:val="00102057"/>
    <w:rsid w:val="0010268D"/>
    <w:rsid w:val="001032B0"/>
    <w:rsid w:val="00103ADD"/>
    <w:rsid w:val="00103D2D"/>
    <w:rsid w:val="00104A4F"/>
    <w:rsid w:val="00105961"/>
    <w:rsid w:val="00105994"/>
    <w:rsid w:val="00105C8F"/>
    <w:rsid w:val="001060C5"/>
    <w:rsid w:val="0010615A"/>
    <w:rsid w:val="001067EB"/>
    <w:rsid w:val="00107E70"/>
    <w:rsid w:val="0011063F"/>
    <w:rsid w:val="001108F1"/>
    <w:rsid w:val="00111495"/>
    <w:rsid w:val="001119AC"/>
    <w:rsid w:val="00111B03"/>
    <w:rsid w:val="0011312C"/>
    <w:rsid w:val="00114120"/>
    <w:rsid w:val="0011494A"/>
    <w:rsid w:val="00114A7B"/>
    <w:rsid w:val="00114D47"/>
    <w:rsid w:val="00114D82"/>
    <w:rsid w:val="00115EAC"/>
    <w:rsid w:val="001168B4"/>
    <w:rsid w:val="00117719"/>
    <w:rsid w:val="00117D33"/>
    <w:rsid w:val="00117FC6"/>
    <w:rsid w:val="00121A5B"/>
    <w:rsid w:val="00122158"/>
    <w:rsid w:val="00123D47"/>
    <w:rsid w:val="0012423A"/>
    <w:rsid w:val="00124E70"/>
    <w:rsid w:val="00124F01"/>
    <w:rsid w:val="001275A4"/>
    <w:rsid w:val="00130627"/>
    <w:rsid w:val="001308A4"/>
    <w:rsid w:val="00131384"/>
    <w:rsid w:val="0013158C"/>
    <w:rsid w:val="0013200B"/>
    <w:rsid w:val="00132B26"/>
    <w:rsid w:val="00132C69"/>
    <w:rsid w:val="00134C81"/>
    <w:rsid w:val="00134D56"/>
    <w:rsid w:val="00136051"/>
    <w:rsid w:val="0013639A"/>
    <w:rsid w:val="001366CF"/>
    <w:rsid w:val="00136FDF"/>
    <w:rsid w:val="001378BA"/>
    <w:rsid w:val="001379E8"/>
    <w:rsid w:val="00140474"/>
    <w:rsid w:val="001406F6"/>
    <w:rsid w:val="00141457"/>
    <w:rsid w:val="00142789"/>
    <w:rsid w:val="00142A0F"/>
    <w:rsid w:val="001438BA"/>
    <w:rsid w:val="001442E6"/>
    <w:rsid w:val="0014632C"/>
    <w:rsid w:val="00146547"/>
    <w:rsid w:val="00146686"/>
    <w:rsid w:val="00146FBE"/>
    <w:rsid w:val="001479EF"/>
    <w:rsid w:val="00150121"/>
    <w:rsid w:val="00150194"/>
    <w:rsid w:val="00152077"/>
    <w:rsid w:val="001529ED"/>
    <w:rsid w:val="00153B77"/>
    <w:rsid w:val="00154486"/>
    <w:rsid w:val="001551CD"/>
    <w:rsid w:val="001558C9"/>
    <w:rsid w:val="001576C5"/>
    <w:rsid w:val="001576E2"/>
    <w:rsid w:val="00157F74"/>
    <w:rsid w:val="00160285"/>
    <w:rsid w:val="001605FC"/>
    <w:rsid w:val="00160ACD"/>
    <w:rsid w:val="0016141C"/>
    <w:rsid w:val="00162550"/>
    <w:rsid w:val="00162810"/>
    <w:rsid w:val="00163D1C"/>
    <w:rsid w:val="00163EE6"/>
    <w:rsid w:val="00164476"/>
    <w:rsid w:val="00164B8E"/>
    <w:rsid w:val="001652B8"/>
    <w:rsid w:val="00165673"/>
    <w:rsid w:val="00165BE5"/>
    <w:rsid w:val="00165FA3"/>
    <w:rsid w:val="001664A7"/>
    <w:rsid w:val="00166AC5"/>
    <w:rsid w:val="00166B89"/>
    <w:rsid w:val="0016719D"/>
    <w:rsid w:val="00170692"/>
    <w:rsid w:val="001707D0"/>
    <w:rsid w:val="00170AC3"/>
    <w:rsid w:val="001710F9"/>
    <w:rsid w:val="001716E9"/>
    <w:rsid w:val="001717D3"/>
    <w:rsid w:val="00173AE8"/>
    <w:rsid w:val="00174841"/>
    <w:rsid w:val="00174E2C"/>
    <w:rsid w:val="00175849"/>
    <w:rsid w:val="00176349"/>
    <w:rsid w:val="001765F6"/>
    <w:rsid w:val="00180577"/>
    <w:rsid w:val="00180EC3"/>
    <w:rsid w:val="00182AB9"/>
    <w:rsid w:val="00182F86"/>
    <w:rsid w:val="001836F3"/>
    <w:rsid w:val="001837C0"/>
    <w:rsid w:val="001858C4"/>
    <w:rsid w:val="00185A23"/>
    <w:rsid w:val="0018785C"/>
    <w:rsid w:val="00190AB9"/>
    <w:rsid w:val="00191A43"/>
    <w:rsid w:val="00191D55"/>
    <w:rsid w:val="00192DB2"/>
    <w:rsid w:val="00192EF0"/>
    <w:rsid w:val="00193120"/>
    <w:rsid w:val="00193137"/>
    <w:rsid w:val="00193BDB"/>
    <w:rsid w:val="001940FD"/>
    <w:rsid w:val="00194493"/>
    <w:rsid w:val="0019460E"/>
    <w:rsid w:val="00195847"/>
    <w:rsid w:val="00196D64"/>
    <w:rsid w:val="00197AAA"/>
    <w:rsid w:val="001A10FF"/>
    <w:rsid w:val="001A1F3B"/>
    <w:rsid w:val="001A21DC"/>
    <w:rsid w:val="001A2731"/>
    <w:rsid w:val="001A2FAE"/>
    <w:rsid w:val="001A3099"/>
    <w:rsid w:val="001A3141"/>
    <w:rsid w:val="001A3B00"/>
    <w:rsid w:val="001A433E"/>
    <w:rsid w:val="001A4A3B"/>
    <w:rsid w:val="001A4D1E"/>
    <w:rsid w:val="001A598D"/>
    <w:rsid w:val="001A68EA"/>
    <w:rsid w:val="001A6A79"/>
    <w:rsid w:val="001A7385"/>
    <w:rsid w:val="001A7686"/>
    <w:rsid w:val="001B04C0"/>
    <w:rsid w:val="001B056B"/>
    <w:rsid w:val="001B0688"/>
    <w:rsid w:val="001B10D9"/>
    <w:rsid w:val="001B1888"/>
    <w:rsid w:val="001B18EE"/>
    <w:rsid w:val="001B1F4D"/>
    <w:rsid w:val="001B1F79"/>
    <w:rsid w:val="001B5DB6"/>
    <w:rsid w:val="001B6633"/>
    <w:rsid w:val="001B75AB"/>
    <w:rsid w:val="001B763C"/>
    <w:rsid w:val="001B780F"/>
    <w:rsid w:val="001B7832"/>
    <w:rsid w:val="001C06F2"/>
    <w:rsid w:val="001C0A44"/>
    <w:rsid w:val="001C0C04"/>
    <w:rsid w:val="001C1541"/>
    <w:rsid w:val="001C290F"/>
    <w:rsid w:val="001C3141"/>
    <w:rsid w:val="001C3172"/>
    <w:rsid w:val="001C3C39"/>
    <w:rsid w:val="001C47E9"/>
    <w:rsid w:val="001C5113"/>
    <w:rsid w:val="001C54A1"/>
    <w:rsid w:val="001C6345"/>
    <w:rsid w:val="001C6DF4"/>
    <w:rsid w:val="001C7D66"/>
    <w:rsid w:val="001D0700"/>
    <w:rsid w:val="001D0E92"/>
    <w:rsid w:val="001D17BC"/>
    <w:rsid w:val="001D19E7"/>
    <w:rsid w:val="001D2013"/>
    <w:rsid w:val="001D2053"/>
    <w:rsid w:val="001D309F"/>
    <w:rsid w:val="001D4998"/>
    <w:rsid w:val="001D5925"/>
    <w:rsid w:val="001D64EB"/>
    <w:rsid w:val="001D65F2"/>
    <w:rsid w:val="001D7CE5"/>
    <w:rsid w:val="001D7EF0"/>
    <w:rsid w:val="001E01BF"/>
    <w:rsid w:val="001E0752"/>
    <w:rsid w:val="001E0D2B"/>
    <w:rsid w:val="001E1450"/>
    <w:rsid w:val="001E1BB6"/>
    <w:rsid w:val="001E1C33"/>
    <w:rsid w:val="001E22DF"/>
    <w:rsid w:val="001E3395"/>
    <w:rsid w:val="001E361E"/>
    <w:rsid w:val="001E4543"/>
    <w:rsid w:val="001E527D"/>
    <w:rsid w:val="001E540D"/>
    <w:rsid w:val="001E56AE"/>
    <w:rsid w:val="001E5881"/>
    <w:rsid w:val="001E59CD"/>
    <w:rsid w:val="001E5B7D"/>
    <w:rsid w:val="001E5F6A"/>
    <w:rsid w:val="001E6589"/>
    <w:rsid w:val="001E74D6"/>
    <w:rsid w:val="001F05C6"/>
    <w:rsid w:val="001F0A2D"/>
    <w:rsid w:val="001F0D0F"/>
    <w:rsid w:val="001F0F66"/>
    <w:rsid w:val="001F1A82"/>
    <w:rsid w:val="001F1CA9"/>
    <w:rsid w:val="001F222D"/>
    <w:rsid w:val="001F2DEA"/>
    <w:rsid w:val="001F2F32"/>
    <w:rsid w:val="001F40BC"/>
    <w:rsid w:val="001F460E"/>
    <w:rsid w:val="001F5667"/>
    <w:rsid w:val="001F592A"/>
    <w:rsid w:val="001F5FC7"/>
    <w:rsid w:val="001F6195"/>
    <w:rsid w:val="001F620E"/>
    <w:rsid w:val="001F762F"/>
    <w:rsid w:val="00200145"/>
    <w:rsid w:val="0020038B"/>
    <w:rsid w:val="002011F3"/>
    <w:rsid w:val="00201918"/>
    <w:rsid w:val="00203009"/>
    <w:rsid w:val="00204AB0"/>
    <w:rsid w:val="00204EF2"/>
    <w:rsid w:val="002059BF"/>
    <w:rsid w:val="002069C6"/>
    <w:rsid w:val="00206F85"/>
    <w:rsid w:val="00206FEE"/>
    <w:rsid w:val="0020724E"/>
    <w:rsid w:val="002106CA"/>
    <w:rsid w:val="0021099B"/>
    <w:rsid w:val="00210E7F"/>
    <w:rsid w:val="002122F7"/>
    <w:rsid w:val="002123F9"/>
    <w:rsid w:val="002138AC"/>
    <w:rsid w:val="00214B9C"/>
    <w:rsid w:val="00216228"/>
    <w:rsid w:val="00216963"/>
    <w:rsid w:val="00217A75"/>
    <w:rsid w:val="00217EB5"/>
    <w:rsid w:val="0022020E"/>
    <w:rsid w:val="00220626"/>
    <w:rsid w:val="002214F8"/>
    <w:rsid w:val="00222328"/>
    <w:rsid w:val="0022276D"/>
    <w:rsid w:val="0022293B"/>
    <w:rsid w:val="00222D6A"/>
    <w:rsid w:val="00223425"/>
    <w:rsid w:val="00223431"/>
    <w:rsid w:val="00223917"/>
    <w:rsid w:val="00223DDE"/>
    <w:rsid w:val="0022418A"/>
    <w:rsid w:val="002241FA"/>
    <w:rsid w:val="0022444D"/>
    <w:rsid w:val="00224A62"/>
    <w:rsid w:val="00224E5A"/>
    <w:rsid w:val="0022519A"/>
    <w:rsid w:val="00225378"/>
    <w:rsid w:val="002256E1"/>
    <w:rsid w:val="0022585B"/>
    <w:rsid w:val="00225D66"/>
    <w:rsid w:val="00226E9E"/>
    <w:rsid w:val="00227228"/>
    <w:rsid w:val="00227507"/>
    <w:rsid w:val="00230D7C"/>
    <w:rsid w:val="002310BE"/>
    <w:rsid w:val="0023239A"/>
    <w:rsid w:val="00233B05"/>
    <w:rsid w:val="00233D2E"/>
    <w:rsid w:val="002344AD"/>
    <w:rsid w:val="002362AC"/>
    <w:rsid w:val="00237435"/>
    <w:rsid w:val="002377F2"/>
    <w:rsid w:val="00240634"/>
    <w:rsid w:val="00242A82"/>
    <w:rsid w:val="002437FB"/>
    <w:rsid w:val="00243973"/>
    <w:rsid w:val="00243A63"/>
    <w:rsid w:val="00243E21"/>
    <w:rsid w:val="00243F72"/>
    <w:rsid w:val="0024451A"/>
    <w:rsid w:val="00244EFC"/>
    <w:rsid w:val="00245473"/>
    <w:rsid w:val="00246D5A"/>
    <w:rsid w:val="002500C4"/>
    <w:rsid w:val="00250E5B"/>
    <w:rsid w:val="00250EAF"/>
    <w:rsid w:val="00251753"/>
    <w:rsid w:val="002532E3"/>
    <w:rsid w:val="0025352D"/>
    <w:rsid w:val="00253E44"/>
    <w:rsid w:val="002542BB"/>
    <w:rsid w:val="00254984"/>
    <w:rsid w:val="00256DB2"/>
    <w:rsid w:val="00257D4D"/>
    <w:rsid w:val="00260FEB"/>
    <w:rsid w:val="00261EBB"/>
    <w:rsid w:val="00263338"/>
    <w:rsid w:val="0026375B"/>
    <w:rsid w:val="00263CBE"/>
    <w:rsid w:val="00263F35"/>
    <w:rsid w:val="0026456E"/>
    <w:rsid w:val="00264AAD"/>
    <w:rsid w:val="002656ED"/>
    <w:rsid w:val="00265CF3"/>
    <w:rsid w:val="00265D1A"/>
    <w:rsid w:val="00265E53"/>
    <w:rsid w:val="0026667E"/>
    <w:rsid w:val="0026732A"/>
    <w:rsid w:val="0027109B"/>
    <w:rsid w:val="00272048"/>
    <w:rsid w:val="002723F6"/>
    <w:rsid w:val="002724FA"/>
    <w:rsid w:val="002742B9"/>
    <w:rsid w:val="00274B12"/>
    <w:rsid w:val="00274EA1"/>
    <w:rsid w:val="002750AF"/>
    <w:rsid w:val="002752F1"/>
    <w:rsid w:val="00275776"/>
    <w:rsid w:val="00277135"/>
    <w:rsid w:val="002774BC"/>
    <w:rsid w:val="00282AC4"/>
    <w:rsid w:val="00283A64"/>
    <w:rsid w:val="00283EEA"/>
    <w:rsid w:val="002851A9"/>
    <w:rsid w:val="002853E9"/>
    <w:rsid w:val="00285624"/>
    <w:rsid w:val="00286D02"/>
    <w:rsid w:val="00287CD0"/>
    <w:rsid w:val="00290C6C"/>
    <w:rsid w:val="00290D72"/>
    <w:rsid w:val="002910FB"/>
    <w:rsid w:val="00294D24"/>
    <w:rsid w:val="0029513F"/>
    <w:rsid w:val="002955CA"/>
    <w:rsid w:val="002968D6"/>
    <w:rsid w:val="002A0354"/>
    <w:rsid w:val="002A0A34"/>
    <w:rsid w:val="002A0CFF"/>
    <w:rsid w:val="002A0FCD"/>
    <w:rsid w:val="002A1C07"/>
    <w:rsid w:val="002A28C8"/>
    <w:rsid w:val="002A2CFD"/>
    <w:rsid w:val="002A3C05"/>
    <w:rsid w:val="002A4A54"/>
    <w:rsid w:val="002A57BB"/>
    <w:rsid w:val="002A63E9"/>
    <w:rsid w:val="002A6CA7"/>
    <w:rsid w:val="002A7336"/>
    <w:rsid w:val="002B0538"/>
    <w:rsid w:val="002B220C"/>
    <w:rsid w:val="002B2902"/>
    <w:rsid w:val="002B2C64"/>
    <w:rsid w:val="002B380B"/>
    <w:rsid w:val="002B4A4A"/>
    <w:rsid w:val="002B534D"/>
    <w:rsid w:val="002B5B16"/>
    <w:rsid w:val="002B68E4"/>
    <w:rsid w:val="002B70B1"/>
    <w:rsid w:val="002B76BC"/>
    <w:rsid w:val="002B7F99"/>
    <w:rsid w:val="002C0E18"/>
    <w:rsid w:val="002C1AAF"/>
    <w:rsid w:val="002C28B6"/>
    <w:rsid w:val="002C2EF0"/>
    <w:rsid w:val="002C333F"/>
    <w:rsid w:val="002C4AB4"/>
    <w:rsid w:val="002C508F"/>
    <w:rsid w:val="002C51A8"/>
    <w:rsid w:val="002C60A1"/>
    <w:rsid w:val="002C60AA"/>
    <w:rsid w:val="002C61E9"/>
    <w:rsid w:val="002C646C"/>
    <w:rsid w:val="002C64F3"/>
    <w:rsid w:val="002C7D35"/>
    <w:rsid w:val="002D0D1E"/>
    <w:rsid w:val="002D192C"/>
    <w:rsid w:val="002D1C6B"/>
    <w:rsid w:val="002D2E9E"/>
    <w:rsid w:val="002D4075"/>
    <w:rsid w:val="002D4893"/>
    <w:rsid w:val="002D5503"/>
    <w:rsid w:val="002D58A6"/>
    <w:rsid w:val="002D6153"/>
    <w:rsid w:val="002D7169"/>
    <w:rsid w:val="002D725C"/>
    <w:rsid w:val="002E0E75"/>
    <w:rsid w:val="002E1105"/>
    <w:rsid w:val="002E155B"/>
    <w:rsid w:val="002E1C32"/>
    <w:rsid w:val="002E2051"/>
    <w:rsid w:val="002E20E8"/>
    <w:rsid w:val="002E2CF3"/>
    <w:rsid w:val="002E33B7"/>
    <w:rsid w:val="002E37B5"/>
    <w:rsid w:val="002E3B41"/>
    <w:rsid w:val="002E3BEF"/>
    <w:rsid w:val="002E3C23"/>
    <w:rsid w:val="002E3E37"/>
    <w:rsid w:val="002E4138"/>
    <w:rsid w:val="002E4754"/>
    <w:rsid w:val="002E4A23"/>
    <w:rsid w:val="002E4FDB"/>
    <w:rsid w:val="002E691D"/>
    <w:rsid w:val="002E6F62"/>
    <w:rsid w:val="002E7B24"/>
    <w:rsid w:val="002F422F"/>
    <w:rsid w:val="002F429E"/>
    <w:rsid w:val="002F7283"/>
    <w:rsid w:val="003003C0"/>
    <w:rsid w:val="0030098F"/>
    <w:rsid w:val="00301C66"/>
    <w:rsid w:val="00305CCD"/>
    <w:rsid w:val="00305CE7"/>
    <w:rsid w:val="00306E5A"/>
    <w:rsid w:val="0030797F"/>
    <w:rsid w:val="00310129"/>
    <w:rsid w:val="003105C3"/>
    <w:rsid w:val="003106A3"/>
    <w:rsid w:val="0031163E"/>
    <w:rsid w:val="00312620"/>
    <w:rsid w:val="00313226"/>
    <w:rsid w:val="00315179"/>
    <w:rsid w:val="00317E59"/>
    <w:rsid w:val="00320A9D"/>
    <w:rsid w:val="00321ACE"/>
    <w:rsid w:val="00322FB0"/>
    <w:rsid w:val="003247F4"/>
    <w:rsid w:val="003252E1"/>
    <w:rsid w:val="00326827"/>
    <w:rsid w:val="00326E58"/>
    <w:rsid w:val="00327FEA"/>
    <w:rsid w:val="00330870"/>
    <w:rsid w:val="00330B03"/>
    <w:rsid w:val="0033139A"/>
    <w:rsid w:val="0033230E"/>
    <w:rsid w:val="0033447C"/>
    <w:rsid w:val="00335EB1"/>
    <w:rsid w:val="0033755C"/>
    <w:rsid w:val="00337F7B"/>
    <w:rsid w:val="00340C25"/>
    <w:rsid w:val="003419D7"/>
    <w:rsid w:val="00341C98"/>
    <w:rsid w:val="00341D72"/>
    <w:rsid w:val="003426B2"/>
    <w:rsid w:val="00342D34"/>
    <w:rsid w:val="00344582"/>
    <w:rsid w:val="00344744"/>
    <w:rsid w:val="00344C73"/>
    <w:rsid w:val="003450D7"/>
    <w:rsid w:val="003456C7"/>
    <w:rsid w:val="003458C2"/>
    <w:rsid w:val="00345A16"/>
    <w:rsid w:val="0034700C"/>
    <w:rsid w:val="003475FD"/>
    <w:rsid w:val="00347E71"/>
    <w:rsid w:val="00350B66"/>
    <w:rsid w:val="0035141B"/>
    <w:rsid w:val="00351D28"/>
    <w:rsid w:val="0035243D"/>
    <w:rsid w:val="00353050"/>
    <w:rsid w:val="00353DDB"/>
    <w:rsid w:val="00354BC7"/>
    <w:rsid w:val="00355D52"/>
    <w:rsid w:val="003565EB"/>
    <w:rsid w:val="003569FF"/>
    <w:rsid w:val="00356C44"/>
    <w:rsid w:val="003579CB"/>
    <w:rsid w:val="00357AEA"/>
    <w:rsid w:val="00360E13"/>
    <w:rsid w:val="00361F97"/>
    <w:rsid w:val="00364CA2"/>
    <w:rsid w:val="00364E14"/>
    <w:rsid w:val="0036613B"/>
    <w:rsid w:val="003662A9"/>
    <w:rsid w:val="003673CD"/>
    <w:rsid w:val="00367EDB"/>
    <w:rsid w:val="003710C1"/>
    <w:rsid w:val="00371396"/>
    <w:rsid w:val="0037143F"/>
    <w:rsid w:val="00372FAD"/>
    <w:rsid w:val="00373A43"/>
    <w:rsid w:val="00373F86"/>
    <w:rsid w:val="003745C6"/>
    <w:rsid w:val="003751BE"/>
    <w:rsid w:val="003763CA"/>
    <w:rsid w:val="0037647C"/>
    <w:rsid w:val="00376FBC"/>
    <w:rsid w:val="003807B0"/>
    <w:rsid w:val="003815BB"/>
    <w:rsid w:val="003816D7"/>
    <w:rsid w:val="00382B1A"/>
    <w:rsid w:val="00383D41"/>
    <w:rsid w:val="00383D9D"/>
    <w:rsid w:val="0038583F"/>
    <w:rsid w:val="0038639D"/>
    <w:rsid w:val="0038774B"/>
    <w:rsid w:val="00387ACE"/>
    <w:rsid w:val="00387B9B"/>
    <w:rsid w:val="00387F98"/>
    <w:rsid w:val="003904D4"/>
    <w:rsid w:val="00390623"/>
    <w:rsid w:val="00390979"/>
    <w:rsid w:val="0039097F"/>
    <w:rsid w:val="0039146E"/>
    <w:rsid w:val="00392C93"/>
    <w:rsid w:val="003933E4"/>
    <w:rsid w:val="00393EED"/>
    <w:rsid w:val="0039490C"/>
    <w:rsid w:val="00394957"/>
    <w:rsid w:val="00394977"/>
    <w:rsid w:val="003949AA"/>
    <w:rsid w:val="00395268"/>
    <w:rsid w:val="0039660B"/>
    <w:rsid w:val="00396D45"/>
    <w:rsid w:val="003971E5"/>
    <w:rsid w:val="003A1F58"/>
    <w:rsid w:val="003A240D"/>
    <w:rsid w:val="003A29F3"/>
    <w:rsid w:val="003A3821"/>
    <w:rsid w:val="003A3C24"/>
    <w:rsid w:val="003A3C4C"/>
    <w:rsid w:val="003A449C"/>
    <w:rsid w:val="003A4EB5"/>
    <w:rsid w:val="003A637E"/>
    <w:rsid w:val="003A7CC4"/>
    <w:rsid w:val="003B019D"/>
    <w:rsid w:val="003B0598"/>
    <w:rsid w:val="003B19D3"/>
    <w:rsid w:val="003B1FB5"/>
    <w:rsid w:val="003B21A7"/>
    <w:rsid w:val="003B374C"/>
    <w:rsid w:val="003B5504"/>
    <w:rsid w:val="003B6743"/>
    <w:rsid w:val="003B7A40"/>
    <w:rsid w:val="003C00F4"/>
    <w:rsid w:val="003C0234"/>
    <w:rsid w:val="003C10E5"/>
    <w:rsid w:val="003C10EB"/>
    <w:rsid w:val="003C2075"/>
    <w:rsid w:val="003C2E90"/>
    <w:rsid w:val="003C3884"/>
    <w:rsid w:val="003C4009"/>
    <w:rsid w:val="003C52D0"/>
    <w:rsid w:val="003C548A"/>
    <w:rsid w:val="003C5B1A"/>
    <w:rsid w:val="003C60F6"/>
    <w:rsid w:val="003C6586"/>
    <w:rsid w:val="003C6797"/>
    <w:rsid w:val="003C6DF3"/>
    <w:rsid w:val="003C755D"/>
    <w:rsid w:val="003C7933"/>
    <w:rsid w:val="003D21B7"/>
    <w:rsid w:val="003D24BE"/>
    <w:rsid w:val="003D2A63"/>
    <w:rsid w:val="003D407C"/>
    <w:rsid w:val="003D48E1"/>
    <w:rsid w:val="003D5754"/>
    <w:rsid w:val="003D5D66"/>
    <w:rsid w:val="003D6707"/>
    <w:rsid w:val="003D6F8A"/>
    <w:rsid w:val="003D7FFB"/>
    <w:rsid w:val="003E0183"/>
    <w:rsid w:val="003E0EDA"/>
    <w:rsid w:val="003E2845"/>
    <w:rsid w:val="003E2D27"/>
    <w:rsid w:val="003E50E8"/>
    <w:rsid w:val="003E669D"/>
    <w:rsid w:val="003E6803"/>
    <w:rsid w:val="003E70D9"/>
    <w:rsid w:val="003E77AB"/>
    <w:rsid w:val="003E7BC3"/>
    <w:rsid w:val="003E7D53"/>
    <w:rsid w:val="003E7FE3"/>
    <w:rsid w:val="003F104D"/>
    <w:rsid w:val="003F1FD8"/>
    <w:rsid w:val="003F27BC"/>
    <w:rsid w:val="003F39E7"/>
    <w:rsid w:val="003F6018"/>
    <w:rsid w:val="003F60F9"/>
    <w:rsid w:val="00400050"/>
    <w:rsid w:val="00401079"/>
    <w:rsid w:val="00401572"/>
    <w:rsid w:val="004018A7"/>
    <w:rsid w:val="00402D65"/>
    <w:rsid w:val="0040419F"/>
    <w:rsid w:val="00404A6C"/>
    <w:rsid w:val="00405499"/>
    <w:rsid w:val="0040556F"/>
    <w:rsid w:val="00405AA3"/>
    <w:rsid w:val="00405C04"/>
    <w:rsid w:val="00405D57"/>
    <w:rsid w:val="004076AC"/>
    <w:rsid w:val="00407FA2"/>
    <w:rsid w:val="00412342"/>
    <w:rsid w:val="00413278"/>
    <w:rsid w:val="004139FA"/>
    <w:rsid w:val="004146C2"/>
    <w:rsid w:val="00415B38"/>
    <w:rsid w:val="00416B13"/>
    <w:rsid w:val="00416DA5"/>
    <w:rsid w:val="00417EA0"/>
    <w:rsid w:val="004200FD"/>
    <w:rsid w:val="004201A7"/>
    <w:rsid w:val="00420C6E"/>
    <w:rsid w:val="00420FF0"/>
    <w:rsid w:val="004227BF"/>
    <w:rsid w:val="00422B84"/>
    <w:rsid w:val="00423239"/>
    <w:rsid w:val="0042487A"/>
    <w:rsid w:val="004249C6"/>
    <w:rsid w:val="00424DED"/>
    <w:rsid w:val="00424F08"/>
    <w:rsid w:val="00424F52"/>
    <w:rsid w:val="00425103"/>
    <w:rsid w:val="004257F6"/>
    <w:rsid w:val="00426A6E"/>
    <w:rsid w:val="00427000"/>
    <w:rsid w:val="0042711B"/>
    <w:rsid w:val="00427DBD"/>
    <w:rsid w:val="004309DE"/>
    <w:rsid w:val="00431EB3"/>
    <w:rsid w:val="00432573"/>
    <w:rsid w:val="0043287E"/>
    <w:rsid w:val="00432AD7"/>
    <w:rsid w:val="00433219"/>
    <w:rsid w:val="00433382"/>
    <w:rsid w:val="00433413"/>
    <w:rsid w:val="00433DBD"/>
    <w:rsid w:val="004340A7"/>
    <w:rsid w:val="004343F5"/>
    <w:rsid w:val="004344BF"/>
    <w:rsid w:val="00435DF6"/>
    <w:rsid w:val="00436238"/>
    <w:rsid w:val="004366DC"/>
    <w:rsid w:val="00437716"/>
    <w:rsid w:val="00437BB1"/>
    <w:rsid w:val="00440361"/>
    <w:rsid w:val="00440AC0"/>
    <w:rsid w:val="004417E3"/>
    <w:rsid w:val="00441FCE"/>
    <w:rsid w:val="0044290E"/>
    <w:rsid w:val="00442D21"/>
    <w:rsid w:val="00443134"/>
    <w:rsid w:val="0044340B"/>
    <w:rsid w:val="004437ED"/>
    <w:rsid w:val="00444C32"/>
    <w:rsid w:val="00445E15"/>
    <w:rsid w:val="00445E73"/>
    <w:rsid w:val="00446656"/>
    <w:rsid w:val="00446D27"/>
    <w:rsid w:val="00447011"/>
    <w:rsid w:val="0044759C"/>
    <w:rsid w:val="00447DC3"/>
    <w:rsid w:val="00452D7E"/>
    <w:rsid w:val="0045323A"/>
    <w:rsid w:val="00453D4A"/>
    <w:rsid w:val="0045478C"/>
    <w:rsid w:val="00455AA2"/>
    <w:rsid w:val="00456581"/>
    <w:rsid w:val="00456A2A"/>
    <w:rsid w:val="00456FB8"/>
    <w:rsid w:val="004572FD"/>
    <w:rsid w:val="004573EE"/>
    <w:rsid w:val="0046003F"/>
    <w:rsid w:val="00463571"/>
    <w:rsid w:val="004649DB"/>
    <w:rsid w:val="00465148"/>
    <w:rsid w:val="00465B66"/>
    <w:rsid w:val="004670F4"/>
    <w:rsid w:val="00467297"/>
    <w:rsid w:val="00467C4D"/>
    <w:rsid w:val="00467E31"/>
    <w:rsid w:val="00467EE5"/>
    <w:rsid w:val="00470537"/>
    <w:rsid w:val="00470D83"/>
    <w:rsid w:val="00471E69"/>
    <w:rsid w:val="00471EE0"/>
    <w:rsid w:val="00473203"/>
    <w:rsid w:val="0047495B"/>
    <w:rsid w:val="00474F36"/>
    <w:rsid w:val="00476F5B"/>
    <w:rsid w:val="00476F62"/>
    <w:rsid w:val="0048075F"/>
    <w:rsid w:val="004810AB"/>
    <w:rsid w:val="0048126B"/>
    <w:rsid w:val="00481EF1"/>
    <w:rsid w:val="0048281D"/>
    <w:rsid w:val="004849EE"/>
    <w:rsid w:val="00484C24"/>
    <w:rsid w:val="00484D4A"/>
    <w:rsid w:val="00485099"/>
    <w:rsid w:val="00485CFD"/>
    <w:rsid w:val="0048611A"/>
    <w:rsid w:val="00486433"/>
    <w:rsid w:val="0048697B"/>
    <w:rsid w:val="00486B6F"/>
    <w:rsid w:val="00487368"/>
    <w:rsid w:val="0049187E"/>
    <w:rsid w:val="004918BB"/>
    <w:rsid w:val="004937DB"/>
    <w:rsid w:val="00493891"/>
    <w:rsid w:val="00494FA6"/>
    <w:rsid w:val="004952CD"/>
    <w:rsid w:val="00495DC0"/>
    <w:rsid w:val="00496971"/>
    <w:rsid w:val="004977F5"/>
    <w:rsid w:val="00497C33"/>
    <w:rsid w:val="00497ED2"/>
    <w:rsid w:val="004A01B6"/>
    <w:rsid w:val="004A0396"/>
    <w:rsid w:val="004A0BDF"/>
    <w:rsid w:val="004A1A1E"/>
    <w:rsid w:val="004A28C1"/>
    <w:rsid w:val="004A2957"/>
    <w:rsid w:val="004A2E7B"/>
    <w:rsid w:val="004A2F9B"/>
    <w:rsid w:val="004A3206"/>
    <w:rsid w:val="004A35D6"/>
    <w:rsid w:val="004A3785"/>
    <w:rsid w:val="004A3FA7"/>
    <w:rsid w:val="004A41A3"/>
    <w:rsid w:val="004A41B2"/>
    <w:rsid w:val="004A421C"/>
    <w:rsid w:val="004A4C08"/>
    <w:rsid w:val="004A62C3"/>
    <w:rsid w:val="004A6C8A"/>
    <w:rsid w:val="004A72E0"/>
    <w:rsid w:val="004B01DF"/>
    <w:rsid w:val="004B077A"/>
    <w:rsid w:val="004B0DCF"/>
    <w:rsid w:val="004B0E6A"/>
    <w:rsid w:val="004B3DAC"/>
    <w:rsid w:val="004B6181"/>
    <w:rsid w:val="004B6755"/>
    <w:rsid w:val="004B7E8F"/>
    <w:rsid w:val="004C1344"/>
    <w:rsid w:val="004C2132"/>
    <w:rsid w:val="004C3185"/>
    <w:rsid w:val="004C32EA"/>
    <w:rsid w:val="004C56E0"/>
    <w:rsid w:val="004C62CD"/>
    <w:rsid w:val="004D02ED"/>
    <w:rsid w:val="004D124C"/>
    <w:rsid w:val="004D130B"/>
    <w:rsid w:val="004D1FA7"/>
    <w:rsid w:val="004D2E5B"/>
    <w:rsid w:val="004D35C7"/>
    <w:rsid w:val="004D393C"/>
    <w:rsid w:val="004D3F6A"/>
    <w:rsid w:val="004D4170"/>
    <w:rsid w:val="004D4580"/>
    <w:rsid w:val="004D5197"/>
    <w:rsid w:val="004D61DE"/>
    <w:rsid w:val="004D7C34"/>
    <w:rsid w:val="004E063E"/>
    <w:rsid w:val="004E25B9"/>
    <w:rsid w:val="004E2640"/>
    <w:rsid w:val="004E31FB"/>
    <w:rsid w:val="004E32F9"/>
    <w:rsid w:val="004E33C8"/>
    <w:rsid w:val="004E419E"/>
    <w:rsid w:val="004E46CB"/>
    <w:rsid w:val="004E6273"/>
    <w:rsid w:val="004E6D88"/>
    <w:rsid w:val="004E78C4"/>
    <w:rsid w:val="004E7B14"/>
    <w:rsid w:val="004E7CF8"/>
    <w:rsid w:val="004F0FF5"/>
    <w:rsid w:val="004F1306"/>
    <w:rsid w:val="004F1D17"/>
    <w:rsid w:val="004F1F9C"/>
    <w:rsid w:val="004F24A3"/>
    <w:rsid w:val="004F24D8"/>
    <w:rsid w:val="004F24E7"/>
    <w:rsid w:val="004F2C1D"/>
    <w:rsid w:val="004F3199"/>
    <w:rsid w:val="004F3E39"/>
    <w:rsid w:val="004F400B"/>
    <w:rsid w:val="004F4069"/>
    <w:rsid w:val="004F478B"/>
    <w:rsid w:val="004F50AA"/>
    <w:rsid w:val="004F52E2"/>
    <w:rsid w:val="004F5308"/>
    <w:rsid w:val="004F5E35"/>
    <w:rsid w:val="004F631D"/>
    <w:rsid w:val="004F684C"/>
    <w:rsid w:val="004F6E6A"/>
    <w:rsid w:val="004F7B65"/>
    <w:rsid w:val="00500B12"/>
    <w:rsid w:val="00501A7F"/>
    <w:rsid w:val="00501CBF"/>
    <w:rsid w:val="00502FBD"/>
    <w:rsid w:val="00503094"/>
    <w:rsid w:val="00503160"/>
    <w:rsid w:val="0050380E"/>
    <w:rsid w:val="005075CF"/>
    <w:rsid w:val="0050782A"/>
    <w:rsid w:val="00507BAD"/>
    <w:rsid w:val="0051165E"/>
    <w:rsid w:val="005116A3"/>
    <w:rsid w:val="00511BE9"/>
    <w:rsid w:val="00511BEF"/>
    <w:rsid w:val="00512B18"/>
    <w:rsid w:val="00513CC1"/>
    <w:rsid w:val="005143E4"/>
    <w:rsid w:val="00514894"/>
    <w:rsid w:val="005153C9"/>
    <w:rsid w:val="00516308"/>
    <w:rsid w:val="00516593"/>
    <w:rsid w:val="00516899"/>
    <w:rsid w:val="005170F4"/>
    <w:rsid w:val="005171C2"/>
    <w:rsid w:val="00517985"/>
    <w:rsid w:val="00517EF5"/>
    <w:rsid w:val="00517F5F"/>
    <w:rsid w:val="0052057E"/>
    <w:rsid w:val="00520C57"/>
    <w:rsid w:val="00521040"/>
    <w:rsid w:val="0052324D"/>
    <w:rsid w:val="00524192"/>
    <w:rsid w:val="00524482"/>
    <w:rsid w:val="005262E3"/>
    <w:rsid w:val="005265AF"/>
    <w:rsid w:val="00527509"/>
    <w:rsid w:val="005279DF"/>
    <w:rsid w:val="0053071B"/>
    <w:rsid w:val="00530E92"/>
    <w:rsid w:val="0053112F"/>
    <w:rsid w:val="00531621"/>
    <w:rsid w:val="005320EC"/>
    <w:rsid w:val="0053263D"/>
    <w:rsid w:val="00533071"/>
    <w:rsid w:val="005346F9"/>
    <w:rsid w:val="005347EC"/>
    <w:rsid w:val="005353A0"/>
    <w:rsid w:val="0053637C"/>
    <w:rsid w:val="00537A9E"/>
    <w:rsid w:val="00541065"/>
    <w:rsid w:val="0054181A"/>
    <w:rsid w:val="00541900"/>
    <w:rsid w:val="00541BDB"/>
    <w:rsid w:val="00541EBD"/>
    <w:rsid w:val="00542697"/>
    <w:rsid w:val="0054321D"/>
    <w:rsid w:val="00544027"/>
    <w:rsid w:val="00544EFE"/>
    <w:rsid w:val="005450B0"/>
    <w:rsid w:val="00545DA3"/>
    <w:rsid w:val="0054643B"/>
    <w:rsid w:val="00547219"/>
    <w:rsid w:val="00547F30"/>
    <w:rsid w:val="00547F79"/>
    <w:rsid w:val="00552B27"/>
    <w:rsid w:val="0055312D"/>
    <w:rsid w:val="00554177"/>
    <w:rsid w:val="00554571"/>
    <w:rsid w:val="0055458D"/>
    <w:rsid w:val="00554B1C"/>
    <w:rsid w:val="005553C8"/>
    <w:rsid w:val="00555415"/>
    <w:rsid w:val="00556339"/>
    <w:rsid w:val="005573DA"/>
    <w:rsid w:val="005618B7"/>
    <w:rsid w:val="00561A80"/>
    <w:rsid w:val="00561C72"/>
    <w:rsid w:val="00561F5E"/>
    <w:rsid w:val="00562991"/>
    <w:rsid w:val="00563C05"/>
    <w:rsid w:val="00563C46"/>
    <w:rsid w:val="00563D9C"/>
    <w:rsid w:val="00564E62"/>
    <w:rsid w:val="00565756"/>
    <w:rsid w:val="005663AC"/>
    <w:rsid w:val="005663ED"/>
    <w:rsid w:val="00567849"/>
    <w:rsid w:val="005678DC"/>
    <w:rsid w:val="00570AF1"/>
    <w:rsid w:val="00570AFE"/>
    <w:rsid w:val="005711AC"/>
    <w:rsid w:val="00571B34"/>
    <w:rsid w:val="005727F9"/>
    <w:rsid w:val="00572C2E"/>
    <w:rsid w:val="005737E1"/>
    <w:rsid w:val="00574657"/>
    <w:rsid w:val="00574A02"/>
    <w:rsid w:val="00574F2C"/>
    <w:rsid w:val="005750F4"/>
    <w:rsid w:val="00576223"/>
    <w:rsid w:val="00580E38"/>
    <w:rsid w:val="00580FE0"/>
    <w:rsid w:val="005813AD"/>
    <w:rsid w:val="0058231D"/>
    <w:rsid w:val="0058321F"/>
    <w:rsid w:val="005835CD"/>
    <w:rsid w:val="005840D1"/>
    <w:rsid w:val="0058420F"/>
    <w:rsid w:val="00584234"/>
    <w:rsid w:val="00585A0E"/>
    <w:rsid w:val="005870CB"/>
    <w:rsid w:val="0058719B"/>
    <w:rsid w:val="005876CF"/>
    <w:rsid w:val="00587893"/>
    <w:rsid w:val="005879BB"/>
    <w:rsid w:val="00587D90"/>
    <w:rsid w:val="00590F50"/>
    <w:rsid w:val="00592D06"/>
    <w:rsid w:val="005934A3"/>
    <w:rsid w:val="00594936"/>
    <w:rsid w:val="00594F45"/>
    <w:rsid w:val="005953F7"/>
    <w:rsid w:val="00595AEF"/>
    <w:rsid w:val="00597118"/>
    <w:rsid w:val="00597EA7"/>
    <w:rsid w:val="005A0076"/>
    <w:rsid w:val="005A050A"/>
    <w:rsid w:val="005A05F3"/>
    <w:rsid w:val="005A0E1E"/>
    <w:rsid w:val="005A1C0A"/>
    <w:rsid w:val="005A2A36"/>
    <w:rsid w:val="005A463E"/>
    <w:rsid w:val="005A4683"/>
    <w:rsid w:val="005A5222"/>
    <w:rsid w:val="005A5BBD"/>
    <w:rsid w:val="005A6BD9"/>
    <w:rsid w:val="005A6F8E"/>
    <w:rsid w:val="005B26C0"/>
    <w:rsid w:val="005B2EEA"/>
    <w:rsid w:val="005B3168"/>
    <w:rsid w:val="005B31F1"/>
    <w:rsid w:val="005B3A68"/>
    <w:rsid w:val="005B4239"/>
    <w:rsid w:val="005B448B"/>
    <w:rsid w:val="005B4521"/>
    <w:rsid w:val="005B5F6A"/>
    <w:rsid w:val="005B6088"/>
    <w:rsid w:val="005B7901"/>
    <w:rsid w:val="005C000C"/>
    <w:rsid w:val="005C0112"/>
    <w:rsid w:val="005C0993"/>
    <w:rsid w:val="005C0D7B"/>
    <w:rsid w:val="005C0E19"/>
    <w:rsid w:val="005C0F3D"/>
    <w:rsid w:val="005C112D"/>
    <w:rsid w:val="005C35D7"/>
    <w:rsid w:val="005C594C"/>
    <w:rsid w:val="005C6468"/>
    <w:rsid w:val="005C679D"/>
    <w:rsid w:val="005C7AF1"/>
    <w:rsid w:val="005D0198"/>
    <w:rsid w:val="005D106D"/>
    <w:rsid w:val="005D1262"/>
    <w:rsid w:val="005D186F"/>
    <w:rsid w:val="005D23A9"/>
    <w:rsid w:val="005D2906"/>
    <w:rsid w:val="005D3296"/>
    <w:rsid w:val="005D3D96"/>
    <w:rsid w:val="005D4164"/>
    <w:rsid w:val="005D4A8A"/>
    <w:rsid w:val="005D519C"/>
    <w:rsid w:val="005D5212"/>
    <w:rsid w:val="005D5310"/>
    <w:rsid w:val="005D569C"/>
    <w:rsid w:val="005D63F6"/>
    <w:rsid w:val="005D6690"/>
    <w:rsid w:val="005D6A81"/>
    <w:rsid w:val="005D6B54"/>
    <w:rsid w:val="005D6C25"/>
    <w:rsid w:val="005D6E23"/>
    <w:rsid w:val="005D7D9D"/>
    <w:rsid w:val="005E03B3"/>
    <w:rsid w:val="005E1EA8"/>
    <w:rsid w:val="005E235F"/>
    <w:rsid w:val="005E2B6F"/>
    <w:rsid w:val="005E3DBD"/>
    <w:rsid w:val="005E42AD"/>
    <w:rsid w:val="005E4581"/>
    <w:rsid w:val="005E4846"/>
    <w:rsid w:val="005E6196"/>
    <w:rsid w:val="005E6F8F"/>
    <w:rsid w:val="005E73C4"/>
    <w:rsid w:val="005E7C0D"/>
    <w:rsid w:val="005F03C8"/>
    <w:rsid w:val="005F07BE"/>
    <w:rsid w:val="005F1E5A"/>
    <w:rsid w:val="005F1F09"/>
    <w:rsid w:val="005F48AF"/>
    <w:rsid w:val="005F59C3"/>
    <w:rsid w:val="005F6CA5"/>
    <w:rsid w:val="005F6ECE"/>
    <w:rsid w:val="005F7D4B"/>
    <w:rsid w:val="005F7DEC"/>
    <w:rsid w:val="006006FA"/>
    <w:rsid w:val="006013D9"/>
    <w:rsid w:val="006014B7"/>
    <w:rsid w:val="00601E12"/>
    <w:rsid w:val="006025E0"/>
    <w:rsid w:val="00602963"/>
    <w:rsid w:val="00606517"/>
    <w:rsid w:val="006070F9"/>
    <w:rsid w:val="00607371"/>
    <w:rsid w:val="00607435"/>
    <w:rsid w:val="0061023C"/>
    <w:rsid w:val="00610742"/>
    <w:rsid w:val="00611D56"/>
    <w:rsid w:val="0061235E"/>
    <w:rsid w:val="006127ED"/>
    <w:rsid w:val="006141DD"/>
    <w:rsid w:val="00614AD3"/>
    <w:rsid w:val="00615325"/>
    <w:rsid w:val="0061577C"/>
    <w:rsid w:val="00615B5A"/>
    <w:rsid w:val="006168E4"/>
    <w:rsid w:val="00616FF3"/>
    <w:rsid w:val="006214D4"/>
    <w:rsid w:val="00621E96"/>
    <w:rsid w:val="00621ECC"/>
    <w:rsid w:val="00622205"/>
    <w:rsid w:val="006228BD"/>
    <w:rsid w:val="00622B66"/>
    <w:rsid w:val="00622F0A"/>
    <w:rsid w:val="00623B60"/>
    <w:rsid w:val="006246BE"/>
    <w:rsid w:val="00624B52"/>
    <w:rsid w:val="00625633"/>
    <w:rsid w:val="0063072C"/>
    <w:rsid w:val="00632BA1"/>
    <w:rsid w:val="00633728"/>
    <w:rsid w:val="006340CD"/>
    <w:rsid w:val="00634E94"/>
    <w:rsid w:val="00635652"/>
    <w:rsid w:val="00637297"/>
    <w:rsid w:val="00637513"/>
    <w:rsid w:val="00640B1B"/>
    <w:rsid w:val="00642370"/>
    <w:rsid w:val="00642629"/>
    <w:rsid w:val="00642EEA"/>
    <w:rsid w:val="006430B8"/>
    <w:rsid w:val="00643E2E"/>
    <w:rsid w:val="006448FC"/>
    <w:rsid w:val="0064499A"/>
    <w:rsid w:val="00647440"/>
    <w:rsid w:val="00651613"/>
    <w:rsid w:val="006520AD"/>
    <w:rsid w:val="00652537"/>
    <w:rsid w:val="0065283E"/>
    <w:rsid w:val="00653305"/>
    <w:rsid w:val="0065437E"/>
    <w:rsid w:val="00654AF4"/>
    <w:rsid w:val="00655949"/>
    <w:rsid w:val="00657CC8"/>
    <w:rsid w:val="00657FB9"/>
    <w:rsid w:val="00660054"/>
    <w:rsid w:val="00660494"/>
    <w:rsid w:val="006612A2"/>
    <w:rsid w:val="006616C5"/>
    <w:rsid w:val="00661E4B"/>
    <w:rsid w:val="00661F74"/>
    <w:rsid w:val="00662472"/>
    <w:rsid w:val="00662FC9"/>
    <w:rsid w:val="006637DA"/>
    <w:rsid w:val="00665A19"/>
    <w:rsid w:val="00665FA4"/>
    <w:rsid w:val="00667465"/>
    <w:rsid w:val="00667D22"/>
    <w:rsid w:val="00667E24"/>
    <w:rsid w:val="006701C3"/>
    <w:rsid w:val="00671B2E"/>
    <w:rsid w:val="00672366"/>
    <w:rsid w:val="00672D21"/>
    <w:rsid w:val="00675698"/>
    <w:rsid w:val="0067609B"/>
    <w:rsid w:val="00677038"/>
    <w:rsid w:val="00677E2F"/>
    <w:rsid w:val="00680017"/>
    <w:rsid w:val="0068063B"/>
    <w:rsid w:val="00680CF2"/>
    <w:rsid w:val="00681167"/>
    <w:rsid w:val="00681410"/>
    <w:rsid w:val="0068188B"/>
    <w:rsid w:val="00682354"/>
    <w:rsid w:val="00682F0D"/>
    <w:rsid w:val="00684579"/>
    <w:rsid w:val="0068524D"/>
    <w:rsid w:val="006855C7"/>
    <w:rsid w:val="0068661B"/>
    <w:rsid w:val="00686BAC"/>
    <w:rsid w:val="006873B8"/>
    <w:rsid w:val="00690383"/>
    <w:rsid w:val="006920A8"/>
    <w:rsid w:val="006935A7"/>
    <w:rsid w:val="006944A2"/>
    <w:rsid w:val="006944F4"/>
    <w:rsid w:val="00694EED"/>
    <w:rsid w:val="006964B2"/>
    <w:rsid w:val="00696D78"/>
    <w:rsid w:val="006973B4"/>
    <w:rsid w:val="006A03CF"/>
    <w:rsid w:val="006A06B0"/>
    <w:rsid w:val="006A108C"/>
    <w:rsid w:val="006A28F9"/>
    <w:rsid w:val="006A2B8E"/>
    <w:rsid w:val="006A2F0E"/>
    <w:rsid w:val="006A34C2"/>
    <w:rsid w:val="006A3CE8"/>
    <w:rsid w:val="006A3DDB"/>
    <w:rsid w:val="006A4D8A"/>
    <w:rsid w:val="006A50E5"/>
    <w:rsid w:val="006A59ED"/>
    <w:rsid w:val="006A6D2D"/>
    <w:rsid w:val="006A7286"/>
    <w:rsid w:val="006B0AB4"/>
    <w:rsid w:val="006B17EE"/>
    <w:rsid w:val="006B1F18"/>
    <w:rsid w:val="006B35F1"/>
    <w:rsid w:val="006B4213"/>
    <w:rsid w:val="006B4474"/>
    <w:rsid w:val="006B4A28"/>
    <w:rsid w:val="006B4C18"/>
    <w:rsid w:val="006B53B8"/>
    <w:rsid w:val="006B65A3"/>
    <w:rsid w:val="006B66CD"/>
    <w:rsid w:val="006B76F5"/>
    <w:rsid w:val="006B7F9A"/>
    <w:rsid w:val="006B7FA9"/>
    <w:rsid w:val="006C1134"/>
    <w:rsid w:val="006C181A"/>
    <w:rsid w:val="006C2949"/>
    <w:rsid w:val="006C2A14"/>
    <w:rsid w:val="006C552B"/>
    <w:rsid w:val="006C55CF"/>
    <w:rsid w:val="006C5A40"/>
    <w:rsid w:val="006C6A10"/>
    <w:rsid w:val="006D0001"/>
    <w:rsid w:val="006D04EA"/>
    <w:rsid w:val="006D0B8D"/>
    <w:rsid w:val="006D1535"/>
    <w:rsid w:val="006D16F4"/>
    <w:rsid w:val="006D18DB"/>
    <w:rsid w:val="006D34F8"/>
    <w:rsid w:val="006D4CE6"/>
    <w:rsid w:val="006D4FB8"/>
    <w:rsid w:val="006D52D4"/>
    <w:rsid w:val="006D54B5"/>
    <w:rsid w:val="006D5ACF"/>
    <w:rsid w:val="006D5F7C"/>
    <w:rsid w:val="006D6A81"/>
    <w:rsid w:val="006E00BF"/>
    <w:rsid w:val="006E25DE"/>
    <w:rsid w:val="006E2896"/>
    <w:rsid w:val="006E2CCD"/>
    <w:rsid w:val="006E3299"/>
    <w:rsid w:val="006E3B4B"/>
    <w:rsid w:val="006E3E44"/>
    <w:rsid w:val="006E4218"/>
    <w:rsid w:val="006E4422"/>
    <w:rsid w:val="006E54DD"/>
    <w:rsid w:val="006E5677"/>
    <w:rsid w:val="006E5EB4"/>
    <w:rsid w:val="006E6038"/>
    <w:rsid w:val="006E66D3"/>
    <w:rsid w:val="006E6A0F"/>
    <w:rsid w:val="006E7E8E"/>
    <w:rsid w:val="006E7F43"/>
    <w:rsid w:val="006F094E"/>
    <w:rsid w:val="006F1190"/>
    <w:rsid w:val="006F26FB"/>
    <w:rsid w:val="006F2A0D"/>
    <w:rsid w:val="006F2E48"/>
    <w:rsid w:val="006F32E1"/>
    <w:rsid w:val="006F35E3"/>
    <w:rsid w:val="006F3FB3"/>
    <w:rsid w:val="006F4FB8"/>
    <w:rsid w:val="006F591E"/>
    <w:rsid w:val="006F5F4A"/>
    <w:rsid w:val="006F6EC0"/>
    <w:rsid w:val="006F73ED"/>
    <w:rsid w:val="0070108E"/>
    <w:rsid w:val="007013E7"/>
    <w:rsid w:val="0070156E"/>
    <w:rsid w:val="0070327B"/>
    <w:rsid w:val="00704A1C"/>
    <w:rsid w:val="00704AB8"/>
    <w:rsid w:val="00704F0D"/>
    <w:rsid w:val="0070513B"/>
    <w:rsid w:val="00705593"/>
    <w:rsid w:val="00705688"/>
    <w:rsid w:val="00710940"/>
    <w:rsid w:val="00710E77"/>
    <w:rsid w:val="007112E8"/>
    <w:rsid w:val="00711E36"/>
    <w:rsid w:val="007126A0"/>
    <w:rsid w:val="007126E2"/>
    <w:rsid w:val="007162F8"/>
    <w:rsid w:val="0071635E"/>
    <w:rsid w:val="00716B85"/>
    <w:rsid w:val="00716BD9"/>
    <w:rsid w:val="00716F79"/>
    <w:rsid w:val="00717963"/>
    <w:rsid w:val="00717F76"/>
    <w:rsid w:val="00717FB8"/>
    <w:rsid w:val="007201D2"/>
    <w:rsid w:val="00720D80"/>
    <w:rsid w:val="00721D7B"/>
    <w:rsid w:val="0072208B"/>
    <w:rsid w:val="00723401"/>
    <w:rsid w:val="007243DC"/>
    <w:rsid w:val="0072620E"/>
    <w:rsid w:val="0072684B"/>
    <w:rsid w:val="00726C19"/>
    <w:rsid w:val="00726C34"/>
    <w:rsid w:val="007276C8"/>
    <w:rsid w:val="00727C6F"/>
    <w:rsid w:val="0073197C"/>
    <w:rsid w:val="00734F37"/>
    <w:rsid w:val="00735DE5"/>
    <w:rsid w:val="007362CA"/>
    <w:rsid w:val="00736A9D"/>
    <w:rsid w:val="00736F71"/>
    <w:rsid w:val="00737E13"/>
    <w:rsid w:val="00740F0B"/>
    <w:rsid w:val="00741F96"/>
    <w:rsid w:val="00742D92"/>
    <w:rsid w:val="00742F91"/>
    <w:rsid w:val="00743121"/>
    <w:rsid w:val="007433E4"/>
    <w:rsid w:val="00744E1B"/>
    <w:rsid w:val="0074541B"/>
    <w:rsid w:val="00745AEC"/>
    <w:rsid w:val="00746C9E"/>
    <w:rsid w:val="00746D25"/>
    <w:rsid w:val="00747A41"/>
    <w:rsid w:val="00750892"/>
    <w:rsid w:val="00750C42"/>
    <w:rsid w:val="007514C4"/>
    <w:rsid w:val="007514D3"/>
    <w:rsid w:val="00751E81"/>
    <w:rsid w:val="007523CD"/>
    <w:rsid w:val="00754483"/>
    <w:rsid w:val="00754C83"/>
    <w:rsid w:val="00754E13"/>
    <w:rsid w:val="0075534F"/>
    <w:rsid w:val="00755AF3"/>
    <w:rsid w:val="00755EA6"/>
    <w:rsid w:val="00756ED5"/>
    <w:rsid w:val="00757039"/>
    <w:rsid w:val="007577F5"/>
    <w:rsid w:val="00757C23"/>
    <w:rsid w:val="00757E2A"/>
    <w:rsid w:val="00757E59"/>
    <w:rsid w:val="007635AF"/>
    <w:rsid w:val="00763672"/>
    <w:rsid w:val="007639A0"/>
    <w:rsid w:val="00764F35"/>
    <w:rsid w:val="0076550B"/>
    <w:rsid w:val="00766777"/>
    <w:rsid w:val="007673CA"/>
    <w:rsid w:val="007703FC"/>
    <w:rsid w:val="007709D1"/>
    <w:rsid w:val="00770A3D"/>
    <w:rsid w:val="00772A7E"/>
    <w:rsid w:val="00772C09"/>
    <w:rsid w:val="00773428"/>
    <w:rsid w:val="007741FD"/>
    <w:rsid w:val="007748FF"/>
    <w:rsid w:val="00774F25"/>
    <w:rsid w:val="007752C7"/>
    <w:rsid w:val="007756EB"/>
    <w:rsid w:val="00775B10"/>
    <w:rsid w:val="007766E3"/>
    <w:rsid w:val="00777E08"/>
    <w:rsid w:val="00781182"/>
    <w:rsid w:val="00781403"/>
    <w:rsid w:val="00781AB0"/>
    <w:rsid w:val="00781AB2"/>
    <w:rsid w:val="0078302A"/>
    <w:rsid w:val="00785F09"/>
    <w:rsid w:val="007862E6"/>
    <w:rsid w:val="00786545"/>
    <w:rsid w:val="00787190"/>
    <w:rsid w:val="007872FE"/>
    <w:rsid w:val="00787334"/>
    <w:rsid w:val="00792790"/>
    <w:rsid w:val="00793B4D"/>
    <w:rsid w:val="00793BF8"/>
    <w:rsid w:val="00794269"/>
    <w:rsid w:val="007951E7"/>
    <w:rsid w:val="00795716"/>
    <w:rsid w:val="00795F14"/>
    <w:rsid w:val="00796C06"/>
    <w:rsid w:val="0079766C"/>
    <w:rsid w:val="007976CB"/>
    <w:rsid w:val="0079799D"/>
    <w:rsid w:val="00797B57"/>
    <w:rsid w:val="00797E3C"/>
    <w:rsid w:val="007A0D60"/>
    <w:rsid w:val="007A15FF"/>
    <w:rsid w:val="007A1F6F"/>
    <w:rsid w:val="007A22D8"/>
    <w:rsid w:val="007A339F"/>
    <w:rsid w:val="007A48B5"/>
    <w:rsid w:val="007A4E4D"/>
    <w:rsid w:val="007A64B5"/>
    <w:rsid w:val="007B04CD"/>
    <w:rsid w:val="007B083D"/>
    <w:rsid w:val="007B09AA"/>
    <w:rsid w:val="007B4ADC"/>
    <w:rsid w:val="007B678B"/>
    <w:rsid w:val="007B7037"/>
    <w:rsid w:val="007B7759"/>
    <w:rsid w:val="007C18AA"/>
    <w:rsid w:val="007C1BEA"/>
    <w:rsid w:val="007C209A"/>
    <w:rsid w:val="007C3A6E"/>
    <w:rsid w:val="007C3B60"/>
    <w:rsid w:val="007C4844"/>
    <w:rsid w:val="007C4C3C"/>
    <w:rsid w:val="007C4C7E"/>
    <w:rsid w:val="007C4E0F"/>
    <w:rsid w:val="007C4EB0"/>
    <w:rsid w:val="007C5E5B"/>
    <w:rsid w:val="007C68CE"/>
    <w:rsid w:val="007C6F33"/>
    <w:rsid w:val="007C7F91"/>
    <w:rsid w:val="007D086F"/>
    <w:rsid w:val="007D0B1B"/>
    <w:rsid w:val="007D0B77"/>
    <w:rsid w:val="007D1713"/>
    <w:rsid w:val="007D2C0A"/>
    <w:rsid w:val="007D38A1"/>
    <w:rsid w:val="007D49D5"/>
    <w:rsid w:val="007D6108"/>
    <w:rsid w:val="007D7393"/>
    <w:rsid w:val="007D74DB"/>
    <w:rsid w:val="007E11E9"/>
    <w:rsid w:val="007E3D70"/>
    <w:rsid w:val="007E46F8"/>
    <w:rsid w:val="007E51D0"/>
    <w:rsid w:val="007E610D"/>
    <w:rsid w:val="007E7089"/>
    <w:rsid w:val="007F0853"/>
    <w:rsid w:val="007F0E30"/>
    <w:rsid w:val="007F2170"/>
    <w:rsid w:val="007F2C10"/>
    <w:rsid w:val="007F4F83"/>
    <w:rsid w:val="007F5737"/>
    <w:rsid w:val="007F603B"/>
    <w:rsid w:val="007F7C9A"/>
    <w:rsid w:val="00800126"/>
    <w:rsid w:val="00800A22"/>
    <w:rsid w:val="00800F4B"/>
    <w:rsid w:val="00801171"/>
    <w:rsid w:val="00801203"/>
    <w:rsid w:val="00801CC4"/>
    <w:rsid w:val="00802680"/>
    <w:rsid w:val="0080292A"/>
    <w:rsid w:val="00803612"/>
    <w:rsid w:val="00803734"/>
    <w:rsid w:val="008045E6"/>
    <w:rsid w:val="00804935"/>
    <w:rsid w:val="00804E19"/>
    <w:rsid w:val="00804F66"/>
    <w:rsid w:val="0080580E"/>
    <w:rsid w:val="00806FAF"/>
    <w:rsid w:val="00806FCC"/>
    <w:rsid w:val="008079BB"/>
    <w:rsid w:val="00810027"/>
    <w:rsid w:val="00810587"/>
    <w:rsid w:val="00810D0D"/>
    <w:rsid w:val="00810E17"/>
    <w:rsid w:val="00811836"/>
    <w:rsid w:val="00811948"/>
    <w:rsid w:val="0081228A"/>
    <w:rsid w:val="008133BC"/>
    <w:rsid w:val="0081432A"/>
    <w:rsid w:val="0081705C"/>
    <w:rsid w:val="00817BEE"/>
    <w:rsid w:val="00820557"/>
    <w:rsid w:val="008211C4"/>
    <w:rsid w:val="008217A6"/>
    <w:rsid w:val="00821E12"/>
    <w:rsid w:val="00822C27"/>
    <w:rsid w:val="008243DD"/>
    <w:rsid w:val="00825773"/>
    <w:rsid w:val="00825D87"/>
    <w:rsid w:val="00826765"/>
    <w:rsid w:val="00826ADC"/>
    <w:rsid w:val="008273DC"/>
    <w:rsid w:val="00830126"/>
    <w:rsid w:val="00831B02"/>
    <w:rsid w:val="00832C0B"/>
    <w:rsid w:val="00832C23"/>
    <w:rsid w:val="0083347C"/>
    <w:rsid w:val="00834233"/>
    <w:rsid w:val="0083650E"/>
    <w:rsid w:val="00836B45"/>
    <w:rsid w:val="00837019"/>
    <w:rsid w:val="00837616"/>
    <w:rsid w:val="008377CF"/>
    <w:rsid w:val="00840E15"/>
    <w:rsid w:val="008410EF"/>
    <w:rsid w:val="00841AA3"/>
    <w:rsid w:val="00841B7B"/>
    <w:rsid w:val="00841BDA"/>
    <w:rsid w:val="00842720"/>
    <w:rsid w:val="00843033"/>
    <w:rsid w:val="00843100"/>
    <w:rsid w:val="0084366E"/>
    <w:rsid w:val="00844285"/>
    <w:rsid w:val="008442C5"/>
    <w:rsid w:val="00845016"/>
    <w:rsid w:val="00845D61"/>
    <w:rsid w:val="00846260"/>
    <w:rsid w:val="0084627A"/>
    <w:rsid w:val="008467C0"/>
    <w:rsid w:val="00846F3F"/>
    <w:rsid w:val="008473EF"/>
    <w:rsid w:val="00850533"/>
    <w:rsid w:val="00850558"/>
    <w:rsid w:val="0085110D"/>
    <w:rsid w:val="0085130C"/>
    <w:rsid w:val="00851C13"/>
    <w:rsid w:val="0085228D"/>
    <w:rsid w:val="008527AE"/>
    <w:rsid w:val="0085327D"/>
    <w:rsid w:val="008533F7"/>
    <w:rsid w:val="00853420"/>
    <w:rsid w:val="00853BCE"/>
    <w:rsid w:val="00855040"/>
    <w:rsid w:val="00855536"/>
    <w:rsid w:val="00856E33"/>
    <w:rsid w:val="00857CA3"/>
    <w:rsid w:val="00860900"/>
    <w:rsid w:val="00861184"/>
    <w:rsid w:val="00861522"/>
    <w:rsid w:val="00861529"/>
    <w:rsid w:val="008615BE"/>
    <w:rsid w:val="00861E55"/>
    <w:rsid w:val="00862801"/>
    <w:rsid w:val="00862A13"/>
    <w:rsid w:val="008635A5"/>
    <w:rsid w:val="00863F76"/>
    <w:rsid w:val="00864222"/>
    <w:rsid w:val="008646E2"/>
    <w:rsid w:val="00864F9A"/>
    <w:rsid w:val="00865381"/>
    <w:rsid w:val="008658E0"/>
    <w:rsid w:val="008660F6"/>
    <w:rsid w:val="00866ABA"/>
    <w:rsid w:val="008675DF"/>
    <w:rsid w:val="00867AF4"/>
    <w:rsid w:val="00870F7C"/>
    <w:rsid w:val="0087103B"/>
    <w:rsid w:val="00871433"/>
    <w:rsid w:val="00872229"/>
    <w:rsid w:val="008734B5"/>
    <w:rsid w:val="00873D99"/>
    <w:rsid w:val="00873E18"/>
    <w:rsid w:val="00874D59"/>
    <w:rsid w:val="00875EC3"/>
    <w:rsid w:val="00875EEE"/>
    <w:rsid w:val="00876B42"/>
    <w:rsid w:val="00876D19"/>
    <w:rsid w:val="00876FE9"/>
    <w:rsid w:val="008779BE"/>
    <w:rsid w:val="00877E3D"/>
    <w:rsid w:val="008805D5"/>
    <w:rsid w:val="00880C2C"/>
    <w:rsid w:val="008824B2"/>
    <w:rsid w:val="00882A27"/>
    <w:rsid w:val="008853D5"/>
    <w:rsid w:val="0088575B"/>
    <w:rsid w:val="0088776A"/>
    <w:rsid w:val="00887BFE"/>
    <w:rsid w:val="008912EF"/>
    <w:rsid w:val="0089172C"/>
    <w:rsid w:val="00891B38"/>
    <w:rsid w:val="00891E8E"/>
    <w:rsid w:val="0089227E"/>
    <w:rsid w:val="00892E9D"/>
    <w:rsid w:val="0089319F"/>
    <w:rsid w:val="00893971"/>
    <w:rsid w:val="00893F25"/>
    <w:rsid w:val="00894A15"/>
    <w:rsid w:val="008953F6"/>
    <w:rsid w:val="00896D4B"/>
    <w:rsid w:val="008974D3"/>
    <w:rsid w:val="0089778B"/>
    <w:rsid w:val="00897AA8"/>
    <w:rsid w:val="008A1C22"/>
    <w:rsid w:val="008A2453"/>
    <w:rsid w:val="008A298B"/>
    <w:rsid w:val="008A2B95"/>
    <w:rsid w:val="008A4209"/>
    <w:rsid w:val="008A7984"/>
    <w:rsid w:val="008A7AFD"/>
    <w:rsid w:val="008B1C66"/>
    <w:rsid w:val="008B27B5"/>
    <w:rsid w:val="008B2C3A"/>
    <w:rsid w:val="008B3215"/>
    <w:rsid w:val="008B32CB"/>
    <w:rsid w:val="008B3498"/>
    <w:rsid w:val="008B35DA"/>
    <w:rsid w:val="008B3ABA"/>
    <w:rsid w:val="008B4E02"/>
    <w:rsid w:val="008B4F2D"/>
    <w:rsid w:val="008B5282"/>
    <w:rsid w:val="008B5C34"/>
    <w:rsid w:val="008B5FBE"/>
    <w:rsid w:val="008B639D"/>
    <w:rsid w:val="008B677B"/>
    <w:rsid w:val="008B7D92"/>
    <w:rsid w:val="008B7ECD"/>
    <w:rsid w:val="008C19D9"/>
    <w:rsid w:val="008C1A9B"/>
    <w:rsid w:val="008C2C00"/>
    <w:rsid w:val="008C34E6"/>
    <w:rsid w:val="008C3F3A"/>
    <w:rsid w:val="008C4353"/>
    <w:rsid w:val="008C4ABE"/>
    <w:rsid w:val="008C4B90"/>
    <w:rsid w:val="008C6026"/>
    <w:rsid w:val="008C6A6B"/>
    <w:rsid w:val="008C6B70"/>
    <w:rsid w:val="008C6D4A"/>
    <w:rsid w:val="008C6E2D"/>
    <w:rsid w:val="008C7CC0"/>
    <w:rsid w:val="008D042F"/>
    <w:rsid w:val="008D05B9"/>
    <w:rsid w:val="008D1464"/>
    <w:rsid w:val="008D1F6C"/>
    <w:rsid w:val="008D3AC6"/>
    <w:rsid w:val="008D4A14"/>
    <w:rsid w:val="008D5670"/>
    <w:rsid w:val="008D5D6D"/>
    <w:rsid w:val="008D6905"/>
    <w:rsid w:val="008D6E95"/>
    <w:rsid w:val="008E2EB9"/>
    <w:rsid w:val="008E30DC"/>
    <w:rsid w:val="008E59AF"/>
    <w:rsid w:val="008E6CD3"/>
    <w:rsid w:val="008F00E0"/>
    <w:rsid w:val="008F02DC"/>
    <w:rsid w:val="008F0E1D"/>
    <w:rsid w:val="008F2A9A"/>
    <w:rsid w:val="008F2BBA"/>
    <w:rsid w:val="008F39AA"/>
    <w:rsid w:val="008F5362"/>
    <w:rsid w:val="008F5464"/>
    <w:rsid w:val="008F6E4F"/>
    <w:rsid w:val="008F7D32"/>
    <w:rsid w:val="008F7DF9"/>
    <w:rsid w:val="008F7FF5"/>
    <w:rsid w:val="00900121"/>
    <w:rsid w:val="00903166"/>
    <w:rsid w:val="00904CAD"/>
    <w:rsid w:val="009051B4"/>
    <w:rsid w:val="00905590"/>
    <w:rsid w:val="00905EAA"/>
    <w:rsid w:val="009073E1"/>
    <w:rsid w:val="00910226"/>
    <w:rsid w:val="0091042C"/>
    <w:rsid w:val="0091069A"/>
    <w:rsid w:val="00911995"/>
    <w:rsid w:val="009119DF"/>
    <w:rsid w:val="00911A5B"/>
    <w:rsid w:val="00913217"/>
    <w:rsid w:val="009136B9"/>
    <w:rsid w:val="00916F06"/>
    <w:rsid w:val="00920897"/>
    <w:rsid w:val="00920908"/>
    <w:rsid w:val="0092109F"/>
    <w:rsid w:val="00922A17"/>
    <w:rsid w:val="00922D0D"/>
    <w:rsid w:val="00924741"/>
    <w:rsid w:val="00924CFD"/>
    <w:rsid w:val="0092639A"/>
    <w:rsid w:val="00926718"/>
    <w:rsid w:val="00926756"/>
    <w:rsid w:val="00926EDD"/>
    <w:rsid w:val="00927515"/>
    <w:rsid w:val="0092769A"/>
    <w:rsid w:val="009319D6"/>
    <w:rsid w:val="00932979"/>
    <w:rsid w:val="00932DE2"/>
    <w:rsid w:val="00933014"/>
    <w:rsid w:val="00934252"/>
    <w:rsid w:val="00935A2E"/>
    <w:rsid w:val="00935EBD"/>
    <w:rsid w:val="00935FE2"/>
    <w:rsid w:val="00936CE1"/>
    <w:rsid w:val="009401EF"/>
    <w:rsid w:val="009405CC"/>
    <w:rsid w:val="00940AA9"/>
    <w:rsid w:val="00940FEC"/>
    <w:rsid w:val="00941930"/>
    <w:rsid w:val="00942753"/>
    <w:rsid w:val="00942CF9"/>
    <w:rsid w:val="00943364"/>
    <w:rsid w:val="00943A23"/>
    <w:rsid w:val="00943FD3"/>
    <w:rsid w:val="00944F55"/>
    <w:rsid w:val="00945627"/>
    <w:rsid w:val="009457FD"/>
    <w:rsid w:val="0095016E"/>
    <w:rsid w:val="009508F0"/>
    <w:rsid w:val="00950CD5"/>
    <w:rsid w:val="00951F55"/>
    <w:rsid w:val="00952539"/>
    <w:rsid w:val="00953029"/>
    <w:rsid w:val="009557FF"/>
    <w:rsid w:val="00955999"/>
    <w:rsid w:val="009601A6"/>
    <w:rsid w:val="0096130C"/>
    <w:rsid w:val="0096168E"/>
    <w:rsid w:val="00961A29"/>
    <w:rsid w:val="00962056"/>
    <w:rsid w:val="009622A1"/>
    <w:rsid w:val="00962B3A"/>
    <w:rsid w:val="00962CD5"/>
    <w:rsid w:val="00963E0E"/>
    <w:rsid w:val="00965E7E"/>
    <w:rsid w:val="009675E5"/>
    <w:rsid w:val="00971482"/>
    <w:rsid w:val="00972059"/>
    <w:rsid w:val="009721F3"/>
    <w:rsid w:val="00973738"/>
    <w:rsid w:val="00974CF9"/>
    <w:rsid w:val="00974E0C"/>
    <w:rsid w:val="009751CE"/>
    <w:rsid w:val="0097659F"/>
    <w:rsid w:val="0098050B"/>
    <w:rsid w:val="00980B7E"/>
    <w:rsid w:val="00980C37"/>
    <w:rsid w:val="00980D1A"/>
    <w:rsid w:val="00980E26"/>
    <w:rsid w:val="00981493"/>
    <w:rsid w:val="00981835"/>
    <w:rsid w:val="00983AD6"/>
    <w:rsid w:val="009862F5"/>
    <w:rsid w:val="00986B6E"/>
    <w:rsid w:val="00986BDA"/>
    <w:rsid w:val="00986E70"/>
    <w:rsid w:val="00987411"/>
    <w:rsid w:val="0098757A"/>
    <w:rsid w:val="0098793E"/>
    <w:rsid w:val="00987B6D"/>
    <w:rsid w:val="00987D26"/>
    <w:rsid w:val="0099026A"/>
    <w:rsid w:val="009906FB"/>
    <w:rsid w:val="0099158F"/>
    <w:rsid w:val="00991CF4"/>
    <w:rsid w:val="00992146"/>
    <w:rsid w:val="00992178"/>
    <w:rsid w:val="0099255F"/>
    <w:rsid w:val="00993343"/>
    <w:rsid w:val="0099370B"/>
    <w:rsid w:val="00993AD0"/>
    <w:rsid w:val="00994474"/>
    <w:rsid w:val="009966EB"/>
    <w:rsid w:val="00997972"/>
    <w:rsid w:val="009A11CA"/>
    <w:rsid w:val="009A2EA0"/>
    <w:rsid w:val="009A4B2A"/>
    <w:rsid w:val="009A4E6B"/>
    <w:rsid w:val="009A5008"/>
    <w:rsid w:val="009A5F11"/>
    <w:rsid w:val="009A64CA"/>
    <w:rsid w:val="009A6BDA"/>
    <w:rsid w:val="009A6E0A"/>
    <w:rsid w:val="009A7BF4"/>
    <w:rsid w:val="009A7E0B"/>
    <w:rsid w:val="009B0224"/>
    <w:rsid w:val="009B0CAA"/>
    <w:rsid w:val="009B14E2"/>
    <w:rsid w:val="009B17C3"/>
    <w:rsid w:val="009B1B16"/>
    <w:rsid w:val="009B1B17"/>
    <w:rsid w:val="009B3A9B"/>
    <w:rsid w:val="009B666B"/>
    <w:rsid w:val="009B6BC2"/>
    <w:rsid w:val="009B70FB"/>
    <w:rsid w:val="009B711D"/>
    <w:rsid w:val="009B7BD0"/>
    <w:rsid w:val="009C0075"/>
    <w:rsid w:val="009C13DA"/>
    <w:rsid w:val="009C2755"/>
    <w:rsid w:val="009C36DF"/>
    <w:rsid w:val="009C3754"/>
    <w:rsid w:val="009C3B27"/>
    <w:rsid w:val="009C3E4D"/>
    <w:rsid w:val="009C403D"/>
    <w:rsid w:val="009C425F"/>
    <w:rsid w:val="009C426A"/>
    <w:rsid w:val="009C436A"/>
    <w:rsid w:val="009C5F24"/>
    <w:rsid w:val="009C7C3C"/>
    <w:rsid w:val="009D0342"/>
    <w:rsid w:val="009D0722"/>
    <w:rsid w:val="009D109C"/>
    <w:rsid w:val="009D132C"/>
    <w:rsid w:val="009D1F70"/>
    <w:rsid w:val="009D2F3E"/>
    <w:rsid w:val="009D36ED"/>
    <w:rsid w:val="009D4784"/>
    <w:rsid w:val="009D4C00"/>
    <w:rsid w:val="009D532E"/>
    <w:rsid w:val="009D5BE6"/>
    <w:rsid w:val="009E0111"/>
    <w:rsid w:val="009E062B"/>
    <w:rsid w:val="009E0AF7"/>
    <w:rsid w:val="009E0CC3"/>
    <w:rsid w:val="009E0CF9"/>
    <w:rsid w:val="009E10EC"/>
    <w:rsid w:val="009E1299"/>
    <w:rsid w:val="009E325B"/>
    <w:rsid w:val="009E4656"/>
    <w:rsid w:val="009E4AFC"/>
    <w:rsid w:val="009E5592"/>
    <w:rsid w:val="009E6C84"/>
    <w:rsid w:val="009E7CF6"/>
    <w:rsid w:val="009F28D7"/>
    <w:rsid w:val="009F3148"/>
    <w:rsid w:val="009F35CA"/>
    <w:rsid w:val="009F36CA"/>
    <w:rsid w:val="009F407F"/>
    <w:rsid w:val="009F52C3"/>
    <w:rsid w:val="009F596B"/>
    <w:rsid w:val="009F5EF4"/>
    <w:rsid w:val="009F6C65"/>
    <w:rsid w:val="009F6EF7"/>
    <w:rsid w:val="009F7036"/>
    <w:rsid w:val="009F7668"/>
    <w:rsid w:val="00A00F01"/>
    <w:rsid w:val="00A01294"/>
    <w:rsid w:val="00A02815"/>
    <w:rsid w:val="00A03F4D"/>
    <w:rsid w:val="00A04B33"/>
    <w:rsid w:val="00A04DD4"/>
    <w:rsid w:val="00A054A6"/>
    <w:rsid w:val="00A05B89"/>
    <w:rsid w:val="00A06FD8"/>
    <w:rsid w:val="00A078FA"/>
    <w:rsid w:val="00A07D52"/>
    <w:rsid w:val="00A07E1F"/>
    <w:rsid w:val="00A10335"/>
    <w:rsid w:val="00A1198D"/>
    <w:rsid w:val="00A13422"/>
    <w:rsid w:val="00A15E8F"/>
    <w:rsid w:val="00A16BAB"/>
    <w:rsid w:val="00A16D0E"/>
    <w:rsid w:val="00A1705A"/>
    <w:rsid w:val="00A177B0"/>
    <w:rsid w:val="00A213E3"/>
    <w:rsid w:val="00A213F2"/>
    <w:rsid w:val="00A22405"/>
    <w:rsid w:val="00A232E3"/>
    <w:rsid w:val="00A23381"/>
    <w:rsid w:val="00A233F3"/>
    <w:rsid w:val="00A23475"/>
    <w:rsid w:val="00A23948"/>
    <w:rsid w:val="00A23FED"/>
    <w:rsid w:val="00A251D5"/>
    <w:rsid w:val="00A25921"/>
    <w:rsid w:val="00A26230"/>
    <w:rsid w:val="00A27519"/>
    <w:rsid w:val="00A305AA"/>
    <w:rsid w:val="00A316C0"/>
    <w:rsid w:val="00A31940"/>
    <w:rsid w:val="00A31B90"/>
    <w:rsid w:val="00A320DE"/>
    <w:rsid w:val="00A32644"/>
    <w:rsid w:val="00A32D09"/>
    <w:rsid w:val="00A3330A"/>
    <w:rsid w:val="00A33A84"/>
    <w:rsid w:val="00A33ABC"/>
    <w:rsid w:val="00A354F7"/>
    <w:rsid w:val="00A35C1D"/>
    <w:rsid w:val="00A35CC7"/>
    <w:rsid w:val="00A3781C"/>
    <w:rsid w:val="00A37DAF"/>
    <w:rsid w:val="00A41613"/>
    <w:rsid w:val="00A42936"/>
    <w:rsid w:val="00A43C5A"/>
    <w:rsid w:val="00A4444B"/>
    <w:rsid w:val="00A446A3"/>
    <w:rsid w:val="00A44B97"/>
    <w:rsid w:val="00A44D87"/>
    <w:rsid w:val="00A44E44"/>
    <w:rsid w:val="00A455AB"/>
    <w:rsid w:val="00A456EA"/>
    <w:rsid w:val="00A47166"/>
    <w:rsid w:val="00A47203"/>
    <w:rsid w:val="00A47349"/>
    <w:rsid w:val="00A5092B"/>
    <w:rsid w:val="00A517F7"/>
    <w:rsid w:val="00A51955"/>
    <w:rsid w:val="00A51A78"/>
    <w:rsid w:val="00A526B8"/>
    <w:rsid w:val="00A530FF"/>
    <w:rsid w:val="00A5335F"/>
    <w:rsid w:val="00A54762"/>
    <w:rsid w:val="00A54A58"/>
    <w:rsid w:val="00A54D98"/>
    <w:rsid w:val="00A55237"/>
    <w:rsid w:val="00A561AB"/>
    <w:rsid w:val="00A56416"/>
    <w:rsid w:val="00A566A2"/>
    <w:rsid w:val="00A60057"/>
    <w:rsid w:val="00A606F9"/>
    <w:rsid w:val="00A60862"/>
    <w:rsid w:val="00A60867"/>
    <w:rsid w:val="00A613F5"/>
    <w:rsid w:val="00A61939"/>
    <w:rsid w:val="00A61CEF"/>
    <w:rsid w:val="00A62761"/>
    <w:rsid w:val="00A62A86"/>
    <w:rsid w:val="00A62E85"/>
    <w:rsid w:val="00A6348B"/>
    <w:rsid w:val="00A63BFE"/>
    <w:rsid w:val="00A64756"/>
    <w:rsid w:val="00A6513C"/>
    <w:rsid w:val="00A668B4"/>
    <w:rsid w:val="00A66D48"/>
    <w:rsid w:val="00A70236"/>
    <w:rsid w:val="00A71DEC"/>
    <w:rsid w:val="00A71DF2"/>
    <w:rsid w:val="00A72AD0"/>
    <w:rsid w:val="00A72C66"/>
    <w:rsid w:val="00A736A1"/>
    <w:rsid w:val="00A74452"/>
    <w:rsid w:val="00A74903"/>
    <w:rsid w:val="00A74B1A"/>
    <w:rsid w:val="00A778AA"/>
    <w:rsid w:val="00A80AF8"/>
    <w:rsid w:val="00A813C1"/>
    <w:rsid w:val="00A81A4F"/>
    <w:rsid w:val="00A83BDE"/>
    <w:rsid w:val="00A8423A"/>
    <w:rsid w:val="00A84990"/>
    <w:rsid w:val="00A84DEC"/>
    <w:rsid w:val="00A852B2"/>
    <w:rsid w:val="00A85E27"/>
    <w:rsid w:val="00A869C8"/>
    <w:rsid w:val="00A86F99"/>
    <w:rsid w:val="00A87411"/>
    <w:rsid w:val="00A87924"/>
    <w:rsid w:val="00A87B4E"/>
    <w:rsid w:val="00A923AA"/>
    <w:rsid w:val="00A92EF5"/>
    <w:rsid w:val="00A9370F"/>
    <w:rsid w:val="00A93D2D"/>
    <w:rsid w:val="00A94F2E"/>
    <w:rsid w:val="00A96088"/>
    <w:rsid w:val="00A9682A"/>
    <w:rsid w:val="00A969DA"/>
    <w:rsid w:val="00A979E9"/>
    <w:rsid w:val="00AA0A6F"/>
    <w:rsid w:val="00AA0F9D"/>
    <w:rsid w:val="00AA0FDC"/>
    <w:rsid w:val="00AA1CA8"/>
    <w:rsid w:val="00AA1DAD"/>
    <w:rsid w:val="00AA2170"/>
    <w:rsid w:val="00AA30E6"/>
    <w:rsid w:val="00AA3108"/>
    <w:rsid w:val="00AA3F8A"/>
    <w:rsid w:val="00AA494D"/>
    <w:rsid w:val="00AA4C4D"/>
    <w:rsid w:val="00AA7BFF"/>
    <w:rsid w:val="00AB0042"/>
    <w:rsid w:val="00AB092B"/>
    <w:rsid w:val="00AB0E78"/>
    <w:rsid w:val="00AB104E"/>
    <w:rsid w:val="00AB10D5"/>
    <w:rsid w:val="00AB3095"/>
    <w:rsid w:val="00AB3DA3"/>
    <w:rsid w:val="00AB4944"/>
    <w:rsid w:val="00AB50BC"/>
    <w:rsid w:val="00AB5D58"/>
    <w:rsid w:val="00AB5E71"/>
    <w:rsid w:val="00AB60C1"/>
    <w:rsid w:val="00AB61CC"/>
    <w:rsid w:val="00AB695F"/>
    <w:rsid w:val="00AB77B5"/>
    <w:rsid w:val="00AC034B"/>
    <w:rsid w:val="00AC06E2"/>
    <w:rsid w:val="00AC1AF2"/>
    <w:rsid w:val="00AC2164"/>
    <w:rsid w:val="00AC3CDF"/>
    <w:rsid w:val="00AC520B"/>
    <w:rsid w:val="00AC5708"/>
    <w:rsid w:val="00AC64A6"/>
    <w:rsid w:val="00AC6D37"/>
    <w:rsid w:val="00AC6DE0"/>
    <w:rsid w:val="00AC7CBA"/>
    <w:rsid w:val="00AD0400"/>
    <w:rsid w:val="00AD148C"/>
    <w:rsid w:val="00AD24BD"/>
    <w:rsid w:val="00AD30FA"/>
    <w:rsid w:val="00AD6308"/>
    <w:rsid w:val="00AD6942"/>
    <w:rsid w:val="00AD70E4"/>
    <w:rsid w:val="00AD74CD"/>
    <w:rsid w:val="00AD76C1"/>
    <w:rsid w:val="00AD7A6F"/>
    <w:rsid w:val="00AD7B64"/>
    <w:rsid w:val="00AE07BD"/>
    <w:rsid w:val="00AE084F"/>
    <w:rsid w:val="00AE1359"/>
    <w:rsid w:val="00AE176A"/>
    <w:rsid w:val="00AE1B3E"/>
    <w:rsid w:val="00AE21DD"/>
    <w:rsid w:val="00AE2458"/>
    <w:rsid w:val="00AE25B7"/>
    <w:rsid w:val="00AE2D13"/>
    <w:rsid w:val="00AE3A77"/>
    <w:rsid w:val="00AE3F11"/>
    <w:rsid w:val="00AE423D"/>
    <w:rsid w:val="00AE455B"/>
    <w:rsid w:val="00AE7196"/>
    <w:rsid w:val="00AE74C0"/>
    <w:rsid w:val="00AE772F"/>
    <w:rsid w:val="00AE7A05"/>
    <w:rsid w:val="00AE7E69"/>
    <w:rsid w:val="00AF1CEC"/>
    <w:rsid w:val="00AF208B"/>
    <w:rsid w:val="00AF24A0"/>
    <w:rsid w:val="00AF305B"/>
    <w:rsid w:val="00AF42EA"/>
    <w:rsid w:val="00AF43F2"/>
    <w:rsid w:val="00AF4717"/>
    <w:rsid w:val="00AF54E4"/>
    <w:rsid w:val="00AF6365"/>
    <w:rsid w:val="00AF6CF6"/>
    <w:rsid w:val="00AF7729"/>
    <w:rsid w:val="00AF7C43"/>
    <w:rsid w:val="00B01222"/>
    <w:rsid w:val="00B01E2B"/>
    <w:rsid w:val="00B02219"/>
    <w:rsid w:val="00B0276F"/>
    <w:rsid w:val="00B02A76"/>
    <w:rsid w:val="00B02B53"/>
    <w:rsid w:val="00B0378B"/>
    <w:rsid w:val="00B0385B"/>
    <w:rsid w:val="00B04DD1"/>
    <w:rsid w:val="00B0536D"/>
    <w:rsid w:val="00B05912"/>
    <w:rsid w:val="00B071A6"/>
    <w:rsid w:val="00B101E9"/>
    <w:rsid w:val="00B10A0F"/>
    <w:rsid w:val="00B121AF"/>
    <w:rsid w:val="00B126B4"/>
    <w:rsid w:val="00B12F16"/>
    <w:rsid w:val="00B138BF"/>
    <w:rsid w:val="00B14F7F"/>
    <w:rsid w:val="00B151AC"/>
    <w:rsid w:val="00B15753"/>
    <w:rsid w:val="00B1636E"/>
    <w:rsid w:val="00B1660B"/>
    <w:rsid w:val="00B16733"/>
    <w:rsid w:val="00B16A35"/>
    <w:rsid w:val="00B17818"/>
    <w:rsid w:val="00B17B6D"/>
    <w:rsid w:val="00B2011E"/>
    <w:rsid w:val="00B20D30"/>
    <w:rsid w:val="00B232B5"/>
    <w:rsid w:val="00B2390C"/>
    <w:rsid w:val="00B2573E"/>
    <w:rsid w:val="00B260B2"/>
    <w:rsid w:val="00B266C7"/>
    <w:rsid w:val="00B274BC"/>
    <w:rsid w:val="00B27744"/>
    <w:rsid w:val="00B27AF7"/>
    <w:rsid w:val="00B27B41"/>
    <w:rsid w:val="00B306BE"/>
    <w:rsid w:val="00B30A03"/>
    <w:rsid w:val="00B30AFD"/>
    <w:rsid w:val="00B31E5D"/>
    <w:rsid w:val="00B32084"/>
    <w:rsid w:val="00B32FAE"/>
    <w:rsid w:val="00B334AB"/>
    <w:rsid w:val="00B35291"/>
    <w:rsid w:val="00B35F2B"/>
    <w:rsid w:val="00B361FA"/>
    <w:rsid w:val="00B36347"/>
    <w:rsid w:val="00B36D62"/>
    <w:rsid w:val="00B40152"/>
    <w:rsid w:val="00B414E2"/>
    <w:rsid w:val="00B440DB"/>
    <w:rsid w:val="00B44483"/>
    <w:rsid w:val="00B44F6D"/>
    <w:rsid w:val="00B46573"/>
    <w:rsid w:val="00B46C9C"/>
    <w:rsid w:val="00B47658"/>
    <w:rsid w:val="00B51BFF"/>
    <w:rsid w:val="00B52644"/>
    <w:rsid w:val="00B5336B"/>
    <w:rsid w:val="00B55173"/>
    <w:rsid w:val="00B55392"/>
    <w:rsid w:val="00B5563A"/>
    <w:rsid w:val="00B55A45"/>
    <w:rsid w:val="00B55F00"/>
    <w:rsid w:val="00B56092"/>
    <w:rsid w:val="00B56132"/>
    <w:rsid w:val="00B572BB"/>
    <w:rsid w:val="00B57525"/>
    <w:rsid w:val="00B5752F"/>
    <w:rsid w:val="00B57C2B"/>
    <w:rsid w:val="00B60071"/>
    <w:rsid w:val="00B603F3"/>
    <w:rsid w:val="00B61E43"/>
    <w:rsid w:val="00B62540"/>
    <w:rsid w:val="00B62F5C"/>
    <w:rsid w:val="00B638D6"/>
    <w:rsid w:val="00B6391A"/>
    <w:rsid w:val="00B63E1A"/>
    <w:rsid w:val="00B6494F"/>
    <w:rsid w:val="00B64CD7"/>
    <w:rsid w:val="00B65F96"/>
    <w:rsid w:val="00B66418"/>
    <w:rsid w:val="00B669F8"/>
    <w:rsid w:val="00B66A7E"/>
    <w:rsid w:val="00B676D1"/>
    <w:rsid w:val="00B713A4"/>
    <w:rsid w:val="00B72A0C"/>
    <w:rsid w:val="00B754E2"/>
    <w:rsid w:val="00B761C1"/>
    <w:rsid w:val="00B7625B"/>
    <w:rsid w:val="00B76B2D"/>
    <w:rsid w:val="00B77211"/>
    <w:rsid w:val="00B77223"/>
    <w:rsid w:val="00B7764A"/>
    <w:rsid w:val="00B80A18"/>
    <w:rsid w:val="00B80DAA"/>
    <w:rsid w:val="00B8234C"/>
    <w:rsid w:val="00B8237A"/>
    <w:rsid w:val="00B82660"/>
    <w:rsid w:val="00B83A8E"/>
    <w:rsid w:val="00B8490F"/>
    <w:rsid w:val="00B85D69"/>
    <w:rsid w:val="00B8702A"/>
    <w:rsid w:val="00B87676"/>
    <w:rsid w:val="00B87F00"/>
    <w:rsid w:val="00B902D1"/>
    <w:rsid w:val="00B902E8"/>
    <w:rsid w:val="00B90C38"/>
    <w:rsid w:val="00B911B0"/>
    <w:rsid w:val="00B9193A"/>
    <w:rsid w:val="00B92181"/>
    <w:rsid w:val="00B94BAB"/>
    <w:rsid w:val="00B953F5"/>
    <w:rsid w:val="00B962E4"/>
    <w:rsid w:val="00B96385"/>
    <w:rsid w:val="00B96685"/>
    <w:rsid w:val="00B96D1F"/>
    <w:rsid w:val="00B9781F"/>
    <w:rsid w:val="00BA0593"/>
    <w:rsid w:val="00BA0941"/>
    <w:rsid w:val="00BA1CE2"/>
    <w:rsid w:val="00BA340C"/>
    <w:rsid w:val="00BA353E"/>
    <w:rsid w:val="00BA7E94"/>
    <w:rsid w:val="00BB0971"/>
    <w:rsid w:val="00BB36F8"/>
    <w:rsid w:val="00BB4717"/>
    <w:rsid w:val="00BB4C34"/>
    <w:rsid w:val="00BB5439"/>
    <w:rsid w:val="00BB5E5B"/>
    <w:rsid w:val="00BB6211"/>
    <w:rsid w:val="00BB6245"/>
    <w:rsid w:val="00BB75B4"/>
    <w:rsid w:val="00BB7709"/>
    <w:rsid w:val="00BB7792"/>
    <w:rsid w:val="00BC0965"/>
    <w:rsid w:val="00BC0DAD"/>
    <w:rsid w:val="00BC1F0A"/>
    <w:rsid w:val="00BC1F5D"/>
    <w:rsid w:val="00BC265E"/>
    <w:rsid w:val="00BC33EE"/>
    <w:rsid w:val="00BC374B"/>
    <w:rsid w:val="00BC3D7E"/>
    <w:rsid w:val="00BC3E97"/>
    <w:rsid w:val="00BC5946"/>
    <w:rsid w:val="00BC6A2D"/>
    <w:rsid w:val="00BD0F63"/>
    <w:rsid w:val="00BD1156"/>
    <w:rsid w:val="00BD1A41"/>
    <w:rsid w:val="00BD3693"/>
    <w:rsid w:val="00BD3A16"/>
    <w:rsid w:val="00BD61F4"/>
    <w:rsid w:val="00BD69C1"/>
    <w:rsid w:val="00BD7DEA"/>
    <w:rsid w:val="00BE07AB"/>
    <w:rsid w:val="00BE16FC"/>
    <w:rsid w:val="00BE192F"/>
    <w:rsid w:val="00BE1CDD"/>
    <w:rsid w:val="00BE2162"/>
    <w:rsid w:val="00BE2BCB"/>
    <w:rsid w:val="00BE3967"/>
    <w:rsid w:val="00BE3E91"/>
    <w:rsid w:val="00BE4ECC"/>
    <w:rsid w:val="00BE51CA"/>
    <w:rsid w:val="00BE5D9E"/>
    <w:rsid w:val="00BE7449"/>
    <w:rsid w:val="00BE78FA"/>
    <w:rsid w:val="00BF1FCE"/>
    <w:rsid w:val="00BF4679"/>
    <w:rsid w:val="00BF490D"/>
    <w:rsid w:val="00BF56F0"/>
    <w:rsid w:val="00BF57EA"/>
    <w:rsid w:val="00BF62DD"/>
    <w:rsid w:val="00BF6356"/>
    <w:rsid w:val="00BF6984"/>
    <w:rsid w:val="00BF70A7"/>
    <w:rsid w:val="00BF7582"/>
    <w:rsid w:val="00BF762A"/>
    <w:rsid w:val="00C003A9"/>
    <w:rsid w:val="00C00527"/>
    <w:rsid w:val="00C00E3B"/>
    <w:rsid w:val="00C00F5D"/>
    <w:rsid w:val="00C0197C"/>
    <w:rsid w:val="00C02328"/>
    <w:rsid w:val="00C0256C"/>
    <w:rsid w:val="00C030C6"/>
    <w:rsid w:val="00C03BD9"/>
    <w:rsid w:val="00C04289"/>
    <w:rsid w:val="00C04670"/>
    <w:rsid w:val="00C04F0F"/>
    <w:rsid w:val="00C0528A"/>
    <w:rsid w:val="00C054A4"/>
    <w:rsid w:val="00C10A87"/>
    <w:rsid w:val="00C112F5"/>
    <w:rsid w:val="00C129CD"/>
    <w:rsid w:val="00C13E55"/>
    <w:rsid w:val="00C176EB"/>
    <w:rsid w:val="00C17B1E"/>
    <w:rsid w:val="00C17C73"/>
    <w:rsid w:val="00C2002B"/>
    <w:rsid w:val="00C2054F"/>
    <w:rsid w:val="00C210AE"/>
    <w:rsid w:val="00C23909"/>
    <w:rsid w:val="00C25246"/>
    <w:rsid w:val="00C26E14"/>
    <w:rsid w:val="00C279CA"/>
    <w:rsid w:val="00C27E9B"/>
    <w:rsid w:val="00C27F97"/>
    <w:rsid w:val="00C30A0A"/>
    <w:rsid w:val="00C30E89"/>
    <w:rsid w:val="00C3272F"/>
    <w:rsid w:val="00C333B1"/>
    <w:rsid w:val="00C337B8"/>
    <w:rsid w:val="00C34D9C"/>
    <w:rsid w:val="00C355A7"/>
    <w:rsid w:val="00C36C82"/>
    <w:rsid w:val="00C36E29"/>
    <w:rsid w:val="00C37139"/>
    <w:rsid w:val="00C3737B"/>
    <w:rsid w:val="00C37645"/>
    <w:rsid w:val="00C40D9E"/>
    <w:rsid w:val="00C422ED"/>
    <w:rsid w:val="00C4377C"/>
    <w:rsid w:val="00C43D94"/>
    <w:rsid w:val="00C441DC"/>
    <w:rsid w:val="00C44307"/>
    <w:rsid w:val="00C44A04"/>
    <w:rsid w:val="00C45158"/>
    <w:rsid w:val="00C46556"/>
    <w:rsid w:val="00C47037"/>
    <w:rsid w:val="00C4761B"/>
    <w:rsid w:val="00C505AF"/>
    <w:rsid w:val="00C51883"/>
    <w:rsid w:val="00C5275E"/>
    <w:rsid w:val="00C52922"/>
    <w:rsid w:val="00C52A28"/>
    <w:rsid w:val="00C533D8"/>
    <w:rsid w:val="00C55A9D"/>
    <w:rsid w:val="00C60EDA"/>
    <w:rsid w:val="00C6178E"/>
    <w:rsid w:val="00C6181A"/>
    <w:rsid w:val="00C63B9C"/>
    <w:rsid w:val="00C63D2D"/>
    <w:rsid w:val="00C645E0"/>
    <w:rsid w:val="00C65213"/>
    <w:rsid w:val="00C6554F"/>
    <w:rsid w:val="00C6698B"/>
    <w:rsid w:val="00C67CFB"/>
    <w:rsid w:val="00C70CB1"/>
    <w:rsid w:val="00C710DB"/>
    <w:rsid w:val="00C7129A"/>
    <w:rsid w:val="00C7237D"/>
    <w:rsid w:val="00C72D7C"/>
    <w:rsid w:val="00C73302"/>
    <w:rsid w:val="00C7359E"/>
    <w:rsid w:val="00C73741"/>
    <w:rsid w:val="00C739C3"/>
    <w:rsid w:val="00C73B3E"/>
    <w:rsid w:val="00C73DC1"/>
    <w:rsid w:val="00C743EA"/>
    <w:rsid w:val="00C74B55"/>
    <w:rsid w:val="00C74C3A"/>
    <w:rsid w:val="00C74D0D"/>
    <w:rsid w:val="00C75728"/>
    <w:rsid w:val="00C76345"/>
    <w:rsid w:val="00C76714"/>
    <w:rsid w:val="00C773FD"/>
    <w:rsid w:val="00C8116F"/>
    <w:rsid w:val="00C81190"/>
    <w:rsid w:val="00C814D1"/>
    <w:rsid w:val="00C81D68"/>
    <w:rsid w:val="00C83323"/>
    <w:rsid w:val="00C83C94"/>
    <w:rsid w:val="00C84547"/>
    <w:rsid w:val="00C848FD"/>
    <w:rsid w:val="00C84914"/>
    <w:rsid w:val="00C85BB7"/>
    <w:rsid w:val="00C85E15"/>
    <w:rsid w:val="00C86797"/>
    <w:rsid w:val="00C86892"/>
    <w:rsid w:val="00C8776E"/>
    <w:rsid w:val="00C91280"/>
    <w:rsid w:val="00C921AB"/>
    <w:rsid w:val="00C93595"/>
    <w:rsid w:val="00C935F3"/>
    <w:rsid w:val="00C9364E"/>
    <w:rsid w:val="00C93E3B"/>
    <w:rsid w:val="00C94891"/>
    <w:rsid w:val="00C94E12"/>
    <w:rsid w:val="00C96009"/>
    <w:rsid w:val="00C974E4"/>
    <w:rsid w:val="00C977C9"/>
    <w:rsid w:val="00CA03DB"/>
    <w:rsid w:val="00CA1B98"/>
    <w:rsid w:val="00CA2EF9"/>
    <w:rsid w:val="00CA327A"/>
    <w:rsid w:val="00CA4D7B"/>
    <w:rsid w:val="00CA64D6"/>
    <w:rsid w:val="00CA676F"/>
    <w:rsid w:val="00CA6B9B"/>
    <w:rsid w:val="00CA7C9B"/>
    <w:rsid w:val="00CB0F2E"/>
    <w:rsid w:val="00CB2BDD"/>
    <w:rsid w:val="00CB32D8"/>
    <w:rsid w:val="00CB3384"/>
    <w:rsid w:val="00CB373F"/>
    <w:rsid w:val="00CB48BC"/>
    <w:rsid w:val="00CB60F9"/>
    <w:rsid w:val="00CB6E98"/>
    <w:rsid w:val="00CB7AEA"/>
    <w:rsid w:val="00CB7BFE"/>
    <w:rsid w:val="00CC0233"/>
    <w:rsid w:val="00CC056B"/>
    <w:rsid w:val="00CC0EC6"/>
    <w:rsid w:val="00CC1D2E"/>
    <w:rsid w:val="00CC1D85"/>
    <w:rsid w:val="00CC464E"/>
    <w:rsid w:val="00CC466A"/>
    <w:rsid w:val="00CC4D39"/>
    <w:rsid w:val="00CC53AE"/>
    <w:rsid w:val="00CC586B"/>
    <w:rsid w:val="00CC6580"/>
    <w:rsid w:val="00CC6836"/>
    <w:rsid w:val="00CC6C8C"/>
    <w:rsid w:val="00CC7233"/>
    <w:rsid w:val="00CC7A56"/>
    <w:rsid w:val="00CC7B6C"/>
    <w:rsid w:val="00CD173F"/>
    <w:rsid w:val="00CD17DC"/>
    <w:rsid w:val="00CD2B63"/>
    <w:rsid w:val="00CD3002"/>
    <w:rsid w:val="00CD32F5"/>
    <w:rsid w:val="00CD3FFA"/>
    <w:rsid w:val="00CD42EC"/>
    <w:rsid w:val="00CD473C"/>
    <w:rsid w:val="00CD571D"/>
    <w:rsid w:val="00CD5D84"/>
    <w:rsid w:val="00CD6915"/>
    <w:rsid w:val="00CD6E50"/>
    <w:rsid w:val="00CE0CEE"/>
    <w:rsid w:val="00CE102E"/>
    <w:rsid w:val="00CE18B9"/>
    <w:rsid w:val="00CE1A7E"/>
    <w:rsid w:val="00CE2711"/>
    <w:rsid w:val="00CE2820"/>
    <w:rsid w:val="00CE2E91"/>
    <w:rsid w:val="00CE3172"/>
    <w:rsid w:val="00CE3E30"/>
    <w:rsid w:val="00CE427E"/>
    <w:rsid w:val="00CE44D4"/>
    <w:rsid w:val="00CE51F1"/>
    <w:rsid w:val="00CE556B"/>
    <w:rsid w:val="00CE66A1"/>
    <w:rsid w:val="00CE7ADE"/>
    <w:rsid w:val="00CE7FCD"/>
    <w:rsid w:val="00CF062F"/>
    <w:rsid w:val="00CF0762"/>
    <w:rsid w:val="00CF1717"/>
    <w:rsid w:val="00CF1880"/>
    <w:rsid w:val="00CF264A"/>
    <w:rsid w:val="00CF26BA"/>
    <w:rsid w:val="00CF2AAF"/>
    <w:rsid w:val="00CF4417"/>
    <w:rsid w:val="00CF4C52"/>
    <w:rsid w:val="00CF78B0"/>
    <w:rsid w:val="00CF7B20"/>
    <w:rsid w:val="00D002B3"/>
    <w:rsid w:val="00D00A71"/>
    <w:rsid w:val="00D0139C"/>
    <w:rsid w:val="00D02907"/>
    <w:rsid w:val="00D0292E"/>
    <w:rsid w:val="00D03447"/>
    <w:rsid w:val="00D03A06"/>
    <w:rsid w:val="00D047DE"/>
    <w:rsid w:val="00D04C38"/>
    <w:rsid w:val="00D04D07"/>
    <w:rsid w:val="00D05FF5"/>
    <w:rsid w:val="00D062D9"/>
    <w:rsid w:val="00D06423"/>
    <w:rsid w:val="00D072D8"/>
    <w:rsid w:val="00D075AD"/>
    <w:rsid w:val="00D12EA8"/>
    <w:rsid w:val="00D13498"/>
    <w:rsid w:val="00D13727"/>
    <w:rsid w:val="00D14543"/>
    <w:rsid w:val="00D14F19"/>
    <w:rsid w:val="00D169CA"/>
    <w:rsid w:val="00D16F1E"/>
    <w:rsid w:val="00D178F5"/>
    <w:rsid w:val="00D1798C"/>
    <w:rsid w:val="00D17E78"/>
    <w:rsid w:val="00D202C8"/>
    <w:rsid w:val="00D20B5F"/>
    <w:rsid w:val="00D22846"/>
    <w:rsid w:val="00D23627"/>
    <w:rsid w:val="00D247C5"/>
    <w:rsid w:val="00D2550C"/>
    <w:rsid w:val="00D2607E"/>
    <w:rsid w:val="00D26541"/>
    <w:rsid w:val="00D26DDE"/>
    <w:rsid w:val="00D27AAF"/>
    <w:rsid w:val="00D27DF8"/>
    <w:rsid w:val="00D309AB"/>
    <w:rsid w:val="00D30F7E"/>
    <w:rsid w:val="00D31B6C"/>
    <w:rsid w:val="00D32770"/>
    <w:rsid w:val="00D329E6"/>
    <w:rsid w:val="00D334FF"/>
    <w:rsid w:val="00D360DC"/>
    <w:rsid w:val="00D365E0"/>
    <w:rsid w:val="00D36A43"/>
    <w:rsid w:val="00D36BF7"/>
    <w:rsid w:val="00D36EA2"/>
    <w:rsid w:val="00D370EF"/>
    <w:rsid w:val="00D37968"/>
    <w:rsid w:val="00D4068A"/>
    <w:rsid w:val="00D41621"/>
    <w:rsid w:val="00D43198"/>
    <w:rsid w:val="00D43928"/>
    <w:rsid w:val="00D43D31"/>
    <w:rsid w:val="00D451A1"/>
    <w:rsid w:val="00D45A55"/>
    <w:rsid w:val="00D45F90"/>
    <w:rsid w:val="00D47101"/>
    <w:rsid w:val="00D477CC"/>
    <w:rsid w:val="00D5073C"/>
    <w:rsid w:val="00D51003"/>
    <w:rsid w:val="00D515C2"/>
    <w:rsid w:val="00D524CF"/>
    <w:rsid w:val="00D5310D"/>
    <w:rsid w:val="00D53239"/>
    <w:rsid w:val="00D53ACD"/>
    <w:rsid w:val="00D53D66"/>
    <w:rsid w:val="00D5409C"/>
    <w:rsid w:val="00D54F8A"/>
    <w:rsid w:val="00D5612C"/>
    <w:rsid w:val="00D5612D"/>
    <w:rsid w:val="00D56AC5"/>
    <w:rsid w:val="00D5741A"/>
    <w:rsid w:val="00D57BB8"/>
    <w:rsid w:val="00D61526"/>
    <w:rsid w:val="00D61B32"/>
    <w:rsid w:val="00D61CA6"/>
    <w:rsid w:val="00D61D8C"/>
    <w:rsid w:val="00D622B7"/>
    <w:rsid w:val="00D62ED4"/>
    <w:rsid w:val="00D635DB"/>
    <w:rsid w:val="00D64160"/>
    <w:rsid w:val="00D64B28"/>
    <w:rsid w:val="00D65B94"/>
    <w:rsid w:val="00D66060"/>
    <w:rsid w:val="00D66280"/>
    <w:rsid w:val="00D66491"/>
    <w:rsid w:val="00D67793"/>
    <w:rsid w:val="00D67C89"/>
    <w:rsid w:val="00D70175"/>
    <w:rsid w:val="00D70562"/>
    <w:rsid w:val="00D70607"/>
    <w:rsid w:val="00D7104C"/>
    <w:rsid w:val="00D71C95"/>
    <w:rsid w:val="00D72228"/>
    <w:rsid w:val="00D7278A"/>
    <w:rsid w:val="00D73ADF"/>
    <w:rsid w:val="00D759C0"/>
    <w:rsid w:val="00D76827"/>
    <w:rsid w:val="00D7683F"/>
    <w:rsid w:val="00D769FC"/>
    <w:rsid w:val="00D80AEB"/>
    <w:rsid w:val="00D81DFB"/>
    <w:rsid w:val="00D8383E"/>
    <w:rsid w:val="00D84323"/>
    <w:rsid w:val="00D84843"/>
    <w:rsid w:val="00D84E83"/>
    <w:rsid w:val="00D86DA9"/>
    <w:rsid w:val="00D8796B"/>
    <w:rsid w:val="00D90A1A"/>
    <w:rsid w:val="00D90E23"/>
    <w:rsid w:val="00D91A5F"/>
    <w:rsid w:val="00D92D88"/>
    <w:rsid w:val="00D933E2"/>
    <w:rsid w:val="00D93545"/>
    <w:rsid w:val="00D93992"/>
    <w:rsid w:val="00D940BA"/>
    <w:rsid w:val="00D943FE"/>
    <w:rsid w:val="00D947F6"/>
    <w:rsid w:val="00D94AA0"/>
    <w:rsid w:val="00D94ADB"/>
    <w:rsid w:val="00D9694B"/>
    <w:rsid w:val="00D96AFF"/>
    <w:rsid w:val="00DA09F4"/>
    <w:rsid w:val="00DA12FF"/>
    <w:rsid w:val="00DA2418"/>
    <w:rsid w:val="00DA5450"/>
    <w:rsid w:val="00DA582B"/>
    <w:rsid w:val="00DA5CC3"/>
    <w:rsid w:val="00DA6A10"/>
    <w:rsid w:val="00DA7088"/>
    <w:rsid w:val="00DB0581"/>
    <w:rsid w:val="00DB1099"/>
    <w:rsid w:val="00DB2245"/>
    <w:rsid w:val="00DB23D9"/>
    <w:rsid w:val="00DB287F"/>
    <w:rsid w:val="00DB2C9F"/>
    <w:rsid w:val="00DB2D12"/>
    <w:rsid w:val="00DB30F6"/>
    <w:rsid w:val="00DB331C"/>
    <w:rsid w:val="00DB3526"/>
    <w:rsid w:val="00DB41AF"/>
    <w:rsid w:val="00DB517F"/>
    <w:rsid w:val="00DB6C55"/>
    <w:rsid w:val="00DB70D1"/>
    <w:rsid w:val="00DB70DE"/>
    <w:rsid w:val="00DC0017"/>
    <w:rsid w:val="00DC0DC1"/>
    <w:rsid w:val="00DC21F0"/>
    <w:rsid w:val="00DC24F8"/>
    <w:rsid w:val="00DC279A"/>
    <w:rsid w:val="00DC2A12"/>
    <w:rsid w:val="00DC435B"/>
    <w:rsid w:val="00DC459A"/>
    <w:rsid w:val="00DC4C34"/>
    <w:rsid w:val="00DC4FE9"/>
    <w:rsid w:val="00DC646A"/>
    <w:rsid w:val="00DC719A"/>
    <w:rsid w:val="00DD1885"/>
    <w:rsid w:val="00DD24BB"/>
    <w:rsid w:val="00DD270A"/>
    <w:rsid w:val="00DD4185"/>
    <w:rsid w:val="00DD4194"/>
    <w:rsid w:val="00DD5115"/>
    <w:rsid w:val="00DD5FC0"/>
    <w:rsid w:val="00DD63AD"/>
    <w:rsid w:val="00DD71BB"/>
    <w:rsid w:val="00DD7990"/>
    <w:rsid w:val="00DD7B29"/>
    <w:rsid w:val="00DE07F9"/>
    <w:rsid w:val="00DE095F"/>
    <w:rsid w:val="00DE196E"/>
    <w:rsid w:val="00DE1FE7"/>
    <w:rsid w:val="00DE22B2"/>
    <w:rsid w:val="00DE4018"/>
    <w:rsid w:val="00DE48FA"/>
    <w:rsid w:val="00DE4F29"/>
    <w:rsid w:val="00DE6260"/>
    <w:rsid w:val="00DE741B"/>
    <w:rsid w:val="00DF017F"/>
    <w:rsid w:val="00DF067D"/>
    <w:rsid w:val="00DF3985"/>
    <w:rsid w:val="00DF3D92"/>
    <w:rsid w:val="00DF440C"/>
    <w:rsid w:val="00DF4664"/>
    <w:rsid w:val="00DF477B"/>
    <w:rsid w:val="00DF4AF7"/>
    <w:rsid w:val="00DF5672"/>
    <w:rsid w:val="00DF5AD6"/>
    <w:rsid w:val="00DF60E4"/>
    <w:rsid w:val="00DF6368"/>
    <w:rsid w:val="00DF6B56"/>
    <w:rsid w:val="00DF6D71"/>
    <w:rsid w:val="00DF706A"/>
    <w:rsid w:val="00DF7E83"/>
    <w:rsid w:val="00E0066F"/>
    <w:rsid w:val="00E009AB"/>
    <w:rsid w:val="00E00E07"/>
    <w:rsid w:val="00E01327"/>
    <w:rsid w:val="00E0137F"/>
    <w:rsid w:val="00E0199F"/>
    <w:rsid w:val="00E02017"/>
    <w:rsid w:val="00E03CAB"/>
    <w:rsid w:val="00E04BA7"/>
    <w:rsid w:val="00E066EA"/>
    <w:rsid w:val="00E06CE5"/>
    <w:rsid w:val="00E07508"/>
    <w:rsid w:val="00E1075D"/>
    <w:rsid w:val="00E133E0"/>
    <w:rsid w:val="00E137CE"/>
    <w:rsid w:val="00E14285"/>
    <w:rsid w:val="00E14C5F"/>
    <w:rsid w:val="00E15AD9"/>
    <w:rsid w:val="00E15FA7"/>
    <w:rsid w:val="00E16426"/>
    <w:rsid w:val="00E16440"/>
    <w:rsid w:val="00E16DD7"/>
    <w:rsid w:val="00E16DEF"/>
    <w:rsid w:val="00E17041"/>
    <w:rsid w:val="00E175F0"/>
    <w:rsid w:val="00E22782"/>
    <w:rsid w:val="00E229F2"/>
    <w:rsid w:val="00E22C17"/>
    <w:rsid w:val="00E23E19"/>
    <w:rsid w:val="00E243FC"/>
    <w:rsid w:val="00E24541"/>
    <w:rsid w:val="00E25AA5"/>
    <w:rsid w:val="00E26562"/>
    <w:rsid w:val="00E267DC"/>
    <w:rsid w:val="00E269A7"/>
    <w:rsid w:val="00E26B1A"/>
    <w:rsid w:val="00E273FA"/>
    <w:rsid w:val="00E27E71"/>
    <w:rsid w:val="00E301A5"/>
    <w:rsid w:val="00E31281"/>
    <w:rsid w:val="00E316EE"/>
    <w:rsid w:val="00E32749"/>
    <w:rsid w:val="00E331E4"/>
    <w:rsid w:val="00E339A3"/>
    <w:rsid w:val="00E33F47"/>
    <w:rsid w:val="00E33F56"/>
    <w:rsid w:val="00E340B2"/>
    <w:rsid w:val="00E34DA5"/>
    <w:rsid w:val="00E36A66"/>
    <w:rsid w:val="00E37A4C"/>
    <w:rsid w:val="00E37B28"/>
    <w:rsid w:val="00E40297"/>
    <w:rsid w:val="00E407F7"/>
    <w:rsid w:val="00E40880"/>
    <w:rsid w:val="00E41BA3"/>
    <w:rsid w:val="00E42365"/>
    <w:rsid w:val="00E43B8C"/>
    <w:rsid w:val="00E4563E"/>
    <w:rsid w:val="00E45C3C"/>
    <w:rsid w:val="00E4668C"/>
    <w:rsid w:val="00E478C0"/>
    <w:rsid w:val="00E518AC"/>
    <w:rsid w:val="00E51CA0"/>
    <w:rsid w:val="00E52011"/>
    <w:rsid w:val="00E521F2"/>
    <w:rsid w:val="00E5299C"/>
    <w:rsid w:val="00E534B1"/>
    <w:rsid w:val="00E5366A"/>
    <w:rsid w:val="00E539EC"/>
    <w:rsid w:val="00E54192"/>
    <w:rsid w:val="00E542B7"/>
    <w:rsid w:val="00E548DA"/>
    <w:rsid w:val="00E54C62"/>
    <w:rsid w:val="00E550A6"/>
    <w:rsid w:val="00E552F9"/>
    <w:rsid w:val="00E55EFD"/>
    <w:rsid w:val="00E5739C"/>
    <w:rsid w:val="00E57B62"/>
    <w:rsid w:val="00E57E49"/>
    <w:rsid w:val="00E613D2"/>
    <w:rsid w:val="00E61D69"/>
    <w:rsid w:val="00E61E40"/>
    <w:rsid w:val="00E62AD6"/>
    <w:rsid w:val="00E62C3F"/>
    <w:rsid w:val="00E63E79"/>
    <w:rsid w:val="00E640AF"/>
    <w:rsid w:val="00E64D6E"/>
    <w:rsid w:val="00E65076"/>
    <w:rsid w:val="00E6534F"/>
    <w:rsid w:val="00E65986"/>
    <w:rsid w:val="00E65D8D"/>
    <w:rsid w:val="00E66A93"/>
    <w:rsid w:val="00E66C3C"/>
    <w:rsid w:val="00E67089"/>
    <w:rsid w:val="00E67A1E"/>
    <w:rsid w:val="00E70F29"/>
    <w:rsid w:val="00E7249B"/>
    <w:rsid w:val="00E72B5A"/>
    <w:rsid w:val="00E736A2"/>
    <w:rsid w:val="00E737E3"/>
    <w:rsid w:val="00E73890"/>
    <w:rsid w:val="00E73E8A"/>
    <w:rsid w:val="00E7498F"/>
    <w:rsid w:val="00E74A40"/>
    <w:rsid w:val="00E74DC7"/>
    <w:rsid w:val="00E74FA4"/>
    <w:rsid w:val="00E75B32"/>
    <w:rsid w:val="00E75F37"/>
    <w:rsid w:val="00E76CBA"/>
    <w:rsid w:val="00E80804"/>
    <w:rsid w:val="00E808D9"/>
    <w:rsid w:val="00E81219"/>
    <w:rsid w:val="00E8131C"/>
    <w:rsid w:val="00E81A1B"/>
    <w:rsid w:val="00E81B5E"/>
    <w:rsid w:val="00E82190"/>
    <w:rsid w:val="00E83720"/>
    <w:rsid w:val="00E84644"/>
    <w:rsid w:val="00E85AEC"/>
    <w:rsid w:val="00E85F85"/>
    <w:rsid w:val="00E86326"/>
    <w:rsid w:val="00E86F75"/>
    <w:rsid w:val="00E87046"/>
    <w:rsid w:val="00E872D9"/>
    <w:rsid w:val="00E90E1C"/>
    <w:rsid w:val="00E91A69"/>
    <w:rsid w:val="00E92E38"/>
    <w:rsid w:val="00E92E5C"/>
    <w:rsid w:val="00E92F04"/>
    <w:rsid w:val="00E93174"/>
    <w:rsid w:val="00E940D0"/>
    <w:rsid w:val="00E95012"/>
    <w:rsid w:val="00E96AD5"/>
    <w:rsid w:val="00E97403"/>
    <w:rsid w:val="00EA099B"/>
    <w:rsid w:val="00EA1469"/>
    <w:rsid w:val="00EA1D69"/>
    <w:rsid w:val="00EA20D3"/>
    <w:rsid w:val="00EA240F"/>
    <w:rsid w:val="00EA2860"/>
    <w:rsid w:val="00EA30FE"/>
    <w:rsid w:val="00EA3C4F"/>
    <w:rsid w:val="00EA3C66"/>
    <w:rsid w:val="00EA616E"/>
    <w:rsid w:val="00EB06B1"/>
    <w:rsid w:val="00EB2311"/>
    <w:rsid w:val="00EB29D6"/>
    <w:rsid w:val="00EB30AD"/>
    <w:rsid w:val="00EB3C5C"/>
    <w:rsid w:val="00EB43C0"/>
    <w:rsid w:val="00EB5568"/>
    <w:rsid w:val="00EB565D"/>
    <w:rsid w:val="00EB5C23"/>
    <w:rsid w:val="00EB65D1"/>
    <w:rsid w:val="00EB65DD"/>
    <w:rsid w:val="00EC03DD"/>
    <w:rsid w:val="00EC0A10"/>
    <w:rsid w:val="00EC148B"/>
    <w:rsid w:val="00EC2287"/>
    <w:rsid w:val="00EC2C50"/>
    <w:rsid w:val="00EC2CCC"/>
    <w:rsid w:val="00EC3036"/>
    <w:rsid w:val="00EC427B"/>
    <w:rsid w:val="00EC4A71"/>
    <w:rsid w:val="00EC5943"/>
    <w:rsid w:val="00EC6110"/>
    <w:rsid w:val="00EC79D2"/>
    <w:rsid w:val="00ED05AD"/>
    <w:rsid w:val="00ED0C2D"/>
    <w:rsid w:val="00ED112C"/>
    <w:rsid w:val="00ED14EF"/>
    <w:rsid w:val="00ED24D8"/>
    <w:rsid w:val="00ED3DB2"/>
    <w:rsid w:val="00ED3FFC"/>
    <w:rsid w:val="00ED4410"/>
    <w:rsid w:val="00ED608F"/>
    <w:rsid w:val="00ED6B02"/>
    <w:rsid w:val="00ED73FE"/>
    <w:rsid w:val="00ED7424"/>
    <w:rsid w:val="00ED774C"/>
    <w:rsid w:val="00ED7F1C"/>
    <w:rsid w:val="00EE029C"/>
    <w:rsid w:val="00EE0642"/>
    <w:rsid w:val="00EE34CF"/>
    <w:rsid w:val="00EE4CD3"/>
    <w:rsid w:val="00EE564A"/>
    <w:rsid w:val="00EE5DCE"/>
    <w:rsid w:val="00EE6896"/>
    <w:rsid w:val="00EE7620"/>
    <w:rsid w:val="00EE7688"/>
    <w:rsid w:val="00EE79D8"/>
    <w:rsid w:val="00EF0496"/>
    <w:rsid w:val="00EF168E"/>
    <w:rsid w:val="00EF19B7"/>
    <w:rsid w:val="00EF1C25"/>
    <w:rsid w:val="00EF3171"/>
    <w:rsid w:val="00EF3659"/>
    <w:rsid w:val="00EF3BF8"/>
    <w:rsid w:val="00EF46FB"/>
    <w:rsid w:val="00EF471B"/>
    <w:rsid w:val="00EF4AF3"/>
    <w:rsid w:val="00EF4BF0"/>
    <w:rsid w:val="00EF5671"/>
    <w:rsid w:val="00EF587F"/>
    <w:rsid w:val="00EF59F6"/>
    <w:rsid w:val="00EF6540"/>
    <w:rsid w:val="00EF6A1F"/>
    <w:rsid w:val="00EF6D0B"/>
    <w:rsid w:val="00EF76F4"/>
    <w:rsid w:val="00EF77FF"/>
    <w:rsid w:val="00EF7D08"/>
    <w:rsid w:val="00F02E83"/>
    <w:rsid w:val="00F04CEF"/>
    <w:rsid w:val="00F056DB"/>
    <w:rsid w:val="00F058AA"/>
    <w:rsid w:val="00F05FD8"/>
    <w:rsid w:val="00F06A36"/>
    <w:rsid w:val="00F071B0"/>
    <w:rsid w:val="00F07411"/>
    <w:rsid w:val="00F0747F"/>
    <w:rsid w:val="00F100FF"/>
    <w:rsid w:val="00F10DDF"/>
    <w:rsid w:val="00F11A82"/>
    <w:rsid w:val="00F11DD5"/>
    <w:rsid w:val="00F11DE6"/>
    <w:rsid w:val="00F1285F"/>
    <w:rsid w:val="00F1294E"/>
    <w:rsid w:val="00F1322C"/>
    <w:rsid w:val="00F13620"/>
    <w:rsid w:val="00F136D3"/>
    <w:rsid w:val="00F15953"/>
    <w:rsid w:val="00F15B43"/>
    <w:rsid w:val="00F17234"/>
    <w:rsid w:val="00F17870"/>
    <w:rsid w:val="00F178E9"/>
    <w:rsid w:val="00F17BCB"/>
    <w:rsid w:val="00F17CE0"/>
    <w:rsid w:val="00F17D58"/>
    <w:rsid w:val="00F204B8"/>
    <w:rsid w:val="00F2059F"/>
    <w:rsid w:val="00F21C17"/>
    <w:rsid w:val="00F226F7"/>
    <w:rsid w:val="00F22853"/>
    <w:rsid w:val="00F2299D"/>
    <w:rsid w:val="00F22DC9"/>
    <w:rsid w:val="00F23545"/>
    <w:rsid w:val="00F23973"/>
    <w:rsid w:val="00F23A84"/>
    <w:rsid w:val="00F23E99"/>
    <w:rsid w:val="00F24476"/>
    <w:rsid w:val="00F251F5"/>
    <w:rsid w:val="00F25612"/>
    <w:rsid w:val="00F26234"/>
    <w:rsid w:val="00F263D7"/>
    <w:rsid w:val="00F2668B"/>
    <w:rsid w:val="00F267A3"/>
    <w:rsid w:val="00F26DB2"/>
    <w:rsid w:val="00F273B1"/>
    <w:rsid w:val="00F3004D"/>
    <w:rsid w:val="00F311F3"/>
    <w:rsid w:val="00F31988"/>
    <w:rsid w:val="00F31CE9"/>
    <w:rsid w:val="00F31F7E"/>
    <w:rsid w:val="00F3293B"/>
    <w:rsid w:val="00F3346D"/>
    <w:rsid w:val="00F33D5A"/>
    <w:rsid w:val="00F33DD1"/>
    <w:rsid w:val="00F33E69"/>
    <w:rsid w:val="00F33E96"/>
    <w:rsid w:val="00F34452"/>
    <w:rsid w:val="00F345A2"/>
    <w:rsid w:val="00F352C4"/>
    <w:rsid w:val="00F35FDD"/>
    <w:rsid w:val="00F3652C"/>
    <w:rsid w:val="00F37377"/>
    <w:rsid w:val="00F378D2"/>
    <w:rsid w:val="00F4184D"/>
    <w:rsid w:val="00F42223"/>
    <w:rsid w:val="00F42280"/>
    <w:rsid w:val="00F42EA6"/>
    <w:rsid w:val="00F451DF"/>
    <w:rsid w:val="00F4529C"/>
    <w:rsid w:val="00F45330"/>
    <w:rsid w:val="00F45771"/>
    <w:rsid w:val="00F47583"/>
    <w:rsid w:val="00F47656"/>
    <w:rsid w:val="00F47B23"/>
    <w:rsid w:val="00F50B21"/>
    <w:rsid w:val="00F51055"/>
    <w:rsid w:val="00F5107D"/>
    <w:rsid w:val="00F512F5"/>
    <w:rsid w:val="00F516E4"/>
    <w:rsid w:val="00F521E8"/>
    <w:rsid w:val="00F534D7"/>
    <w:rsid w:val="00F53735"/>
    <w:rsid w:val="00F53876"/>
    <w:rsid w:val="00F538F5"/>
    <w:rsid w:val="00F540C6"/>
    <w:rsid w:val="00F54364"/>
    <w:rsid w:val="00F54705"/>
    <w:rsid w:val="00F54AE5"/>
    <w:rsid w:val="00F554E9"/>
    <w:rsid w:val="00F561CE"/>
    <w:rsid w:val="00F614ED"/>
    <w:rsid w:val="00F61BA5"/>
    <w:rsid w:val="00F61DAD"/>
    <w:rsid w:val="00F62441"/>
    <w:rsid w:val="00F626D5"/>
    <w:rsid w:val="00F633FA"/>
    <w:rsid w:val="00F63794"/>
    <w:rsid w:val="00F63EA2"/>
    <w:rsid w:val="00F63FFA"/>
    <w:rsid w:val="00F64BB3"/>
    <w:rsid w:val="00F66092"/>
    <w:rsid w:val="00F66528"/>
    <w:rsid w:val="00F66AAF"/>
    <w:rsid w:val="00F67343"/>
    <w:rsid w:val="00F67FF0"/>
    <w:rsid w:val="00F701C6"/>
    <w:rsid w:val="00F70578"/>
    <w:rsid w:val="00F71602"/>
    <w:rsid w:val="00F717C5"/>
    <w:rsid w:val="00F722CA"/>
    <w:rsid w:val="00F72BFC"/>
    <w:rsid w:val="00F73623"/>
    <w:rsid w:val="00F73D67"/>
    <w:rsid w:val="00F76CA2"/>
    <w:rsid w:val="00F76E52"/>
    <w:rsid w:val="00F77993"/>
    <w:rsid w:val="00F77D15"/>
    <w:rsid w:val="00F80B8C"/>
    <w:rsid w:val="00F80CCB"/>
    <w:rsid w:val="00F81170"/>
    <w:rsid w:val="00F81BC9"/>
    <w:rsid w:val="00F81C6E"/>
    <w:rsid w:val="00F82A18"/>
    <w:rsid w:val="00F83D9B"/>
    <w:rsid w:val="00F842FA"/>
    <w:rsid w:val="00F84D5E"/>
    <w:rsid w:val="00F8511D"/>
    <w:rsid w:val="00F85BF3"/>
    <w:rsid w:val="00F86D4E"/>
    <w:rsid w:val="00F87094"/>
    <w:rsid w:val="00F90224"/>
    <w:rsid w:val="00F90968"/>
    <w:rsid w:val="00F90ABA"/>
    <w:rsid w:val="00F90C19"/>
    <w:rsid w:val="00F91229"/>
    <w:rsid w:val="00F91553"/>
    <w:rsid w:val="00F91997"/>
    <w:rsid w:val="00F92570"/>
    <w:rsid w:val="00F92606"/>
    <w:rsid w:val="00F934A0"/>
    <w:rsid w:val="00F958D9"/>
    <w:rsid w:val="00F95915"/>
    <w:rsid w:val="00F95FB1"/>
    <w:rsid w:val="00F9645C"/>
    <w:rsid w:val="00F96DB1"/>
    <w:rsid w:val="00F96FE6"/>
    <w:rsid w:val="00F972F6"/>
    <w:rsid w:val="00FA0126"/>
    <w:rsid w:val="00FA03A2"/>
    <w:rsid w:val="00FA0FD7"/>
    <w:rsid w:val="00FA20E1"/>
    <w:rsid w:val="00FA356A"/>
    <w:rsid w:val="00FA4181"/>
    <w:rsid w:val="00FA6B85"/>
    <w:rsid w:val="00FA6F9A"/>
    <w:rsid w:val="00FA777A"/>
    <w:rsid w:val="00FA7850"/>
    <w:rsid w:val="00FA7F7A"/>
    <w:rsid w:val="00FB0B02"/>
    <w:rsid w:val="00FB0B3C"/>
    <w:rsid w:val="00FB1714"/>
    <w:rsid w:val="00FB1EAA"/>
    <w:rsid w:val="00FB1F58"/>
    <w:rsid w:val="00FB231F"/>
    <w:rsid w:val="00FB2987"/>
    <w:rsid w:val="00FB33E2"/>
    <w:rsid w:val="00FB49C0"/>
    <w:rsid w:val="00FB4A84"/>
    <w:rsid w:val="00FB5554"/>
    <w:rsid w:val="00FB5AAA"/>
    <w:rsid w:val="00FB5FC5"/>
    <w:rsid w:val="00FB6B2A"/>
    <w:rsid w:val="00FB6F2E"/>
    <w:rsid w:val="00FB7E64"/>
    <w:rsid w:val="00FC06B6"/>
    <w:rsid w:val="00FC131B"/>
    <w:rsid w:val="00FC2AA9"/>
    <w:rsid w:val="00FC2B4B"/>
    <w:rsid w:val="00FC2D6D"/>
    <w:rsid w:val="00FC3144"/>
    <w:rsid w:val="00FC3B92"/>
    <w:rsid w:val="00FC3F67"/>
    <w:rsid w:val="00FC4F18"/>
    <w:rsid w:val="00FC5600"/>
    <w:rsid w:val="00FC7C65"/>
    <w:rsid w:val="00FC7CD1"/>
    <w:rsid w:val="00FC7D42"/>
    <w:rsid w:val="00FD03C2"/>
    <w:rsid w:val="00FD1175"/>
    <w:rsid w:val="00FD2084"/>
    <w:rsid w:val="00FD2466"/>
    <w:rsid w:val="00FD354D"/>
    <w:rsid w:val="00FD3951"/>
    <w:rsid w:val="00FD4653"/>
    <w:rsid w:val="00FD4F72"/>
    <w:rsid w:val="00FD5E8D"/>
    <w:rsid w:val="00FD62DF"/>
    <w:rsid w:val="00FD7060"/>
    <w:rsid w:val="00FD75A2"/>
    <w:rsid w:val="00FD78C7"/>
    <w:rsid w:val="00FE0C7F"/>
    <w:rsid w:val="00FE0F72"/>
    <w:rsid w:val="00FE129A"/>
    <w:rsid w:val="00FE21D2"/>
    <w:rsid w:val="00FE2E38"/>
    <w:rsid w:val="00FE3A14"/>
    <w:rsid w:val="00FE3B23"/>
    <w:rsid w:val="00FE3E51"/>
    <w:rsid w:val="00FE4768"/>
    <w:rsid w:val="00FE4FBD"/>
    <w:rsid w:val="00FE52A8"/>
    <w:rsid w:val="00FE5842"/>
    <w:rsid w:val="00FE5AD6"/>
    <w:rsid w:val="00FE74D3"/>
    <w:rsid w:val="00FE7E97"/>
    <w:rsid w:val="00FF02A1"/>
    <w:rsid w:val="00FF0C83"/>
    <w:rsid w:val="00FF32D5"/>
    <w:rsid w:val="00FF507C"/>
    <w:rsid w:val="00FF6DD4"/>
    <w:rsid w:val="00FF6EFD"/>
    <w:rsid w:val="00FF7F68"/>
    <w:rsid w:val="0120458E"/>
    <w:rsid w:val="0123584C"/>
    <w:rsid w:val="01344155"/>
    <w:rsid w:val="016B5DC7"/>
    <w:rsid w:val="016D5B82"/>
    <w:rsid w:val="01730929"/>
    <w:rsid w:val="01871C62"/>
    <w:rsid w:val="018D1A7A"/>
    <w:rsid w:val="01973B44"/>
    <w:rsid w:val="019E656A"/>
    <w:rsid w:val="01D24A1F"/>
    <w:rsid w:val="01D67404"/>
    <w:rsid w:val="01E22B2A"/>
    <w:rsid w:val="022D245A"/>
    <w:rsid w:val="023615AF"/>
    <w:rsid w:val="02443CCC"/>
    <w:rsid w:val="02512FE5"/>
    <w:rsid w:val="025D11B8"/>
    <w:rsid w:val="027C00D5"/>
    <w:rsid w:val="02864952"/>
    <w:rsid w:val="028D43DC"/>
    <w:rsid w:val="02A525AF"/>
    <w:rsid w:val="02FE44DC"/>
    <w:rsid w:val="03231B33"/>
    <w:rsid w:val="03525A9E"/>
    <w:rsid w:val="035953D9"/>
    <w:rsid w:val="0365642C"/>
    <w:rsid w:val="03810EC7"/>
    <w:rsid w:val="038500F8"/>
    <w:rsid w:val="03BB23AE"/>
    <w:rsid w:val="03D10AC9"/>
    <w:rsid w:val="03E215EA"/>
    <w:rsid w:val="03E870E6"/>
    <w:rsid w:val="04115E30"/>
    <w:rsid w:val="04234BC1"/>
    <w:rsid w:val="04446205"/>
    <w:rsid w:val="04471852"/>
    <w:rsid w:val="04495324"/>
    <w:rsid w:val="04600486"/>
    <w:rsid w:val="04722D72"/>
    <w:rsid w:val="04794607"/>
    <w:rsid w:val="04A24CDA"/>
    <w:rsid w:val="04A74974"/>
    <w:rsid w:val="04DB2E9B"/>
    <w:rsid w:val="04DF5F2E"/>
    <w:rsid w:val="04E3295A"/>
    <w:rsid w:val="04ED605E"/>
    <w:rsid w:val="05256CC5"/>
    <w:rsid w:val="053E377B"/>
    <w:rsid w:val="054516BB"/>
    <w:rsid w:val="05485881"/>
    <w:rsid w:val="055C16CF"/>
    <w:rsid w:val="05C943F5"/>
    <w:rsid w:val="06020E53"/>
    <w:rsid w:val="06262701"/>
    <w:rsid w:val="06316315"/>
    <w:rsid w:val="06320D53"/>
    <w:rsid w:val="063F4ED6"/>
    <w:rsid w:val="06545260"/>
    <w:rsid w:val="065C7F61"/>
    <w:rsid w:val="06616D34"/>
    <w:rsid w:val="06FC6923"/>
    <w:rsid w:val="070936BE"/>
    <w:rsid w:val="072E2CF9"/>
    <w:rsid w:val="072F42FD"/>
    <w:rsid w:val="07380A73"/>
    <w:rsid w:val="073D0CEA"/>
    <w:rsid w:val="073E6B0C"/>
    <w:rsid w:val="07467658"/>
    <w:rsid w:val="074B1659"/>
    <w:rsid w:val="07520F45"/>
    <w:rsid w:val="0758727E"/>
    <w:rsid w:val="076170CE"/>
    <w:rsid w:val="076448E5"/>
    <w:rsid w:val="07723B19"/>
    <w:rsid w:val="0781151E"/>
    <w:rsid w:val="07821687"/>
    <w:rsid w:val="079B1D8D"/>
    <w:rsid w:val="07AE658A"/>
    <w:rsid w:val="07C763C8"/>
    <w:rsid w:val="07E44D05"/>
    <w:rsid w:val="07E60A2C"/>
    <w:rsid w:val="07EC72B0"/>
    <w:rsid w:val="07FB307F"/>
    <w:rsid w:val="07FE2B6F"/>
    <w:rsid w:val="08114650"/>
    <w:rsid w:val="082E197B"/>
    <w:rsid w:val="082F7E1D"/>
    <w:rsid w:val="085025D0"/>
    <w:rsid w:val="08546A41"/>
    <w:rsid w:val="08695763"/>
    <w:rsid w:val="088E7FC1"/>
    <w:rsid w:val="08AB4A00"/>
    <w:rsid w:val="08C3758B"/>
    <w:rsid w:val="08D36477"/>
    <w:rsid w:val="090F50F0"/>
    <w:rsid w:val="091A3A51"/>
    <w:rsid w:val="091C32AD"/>
    <w:rsid w:val="093C07E0"/>
    <w:rsid w:val="09640C9C"/>
    <w:rsid w:val="09672D14"/>
    <w:rsid w:val="09CA3103"/>
    <w:rsid w:val="09E5410E"/>
    <w:rsid w:val="0A0D119F"/>
    <w:rsid w:val="0A275576"/>
    <w:rsid w:val="0A7740C9"/>
    <w:rsid w:val="0A800E2A"/>
    <w:rsid w:val="0A8E121A"/>
    <w:rsid w:val="0B064CAC"/>
    <w:rsid w:val="0B0D3FDC"/>
    <w:rsid w:val="0B0D58E7"/>
    <w:rsid w:val="0B381EF4"/>
    <w:rsid w:val="0B56100C"/>
    <w:rsid w:val="0B5D570A"/>
    <w:rsid w:val="0B7953C0"/>
    <w:rsid w:val="0B8E3C27"/>
    <w:rsid w:val="0BB52F3C"/>
    <w:rsid w:val="0BBE4333"/>
    <w:rsid w:val="0BC62CE6"/>
    <w:rsid w:val="0BF311AC"/>
    <w:rsid w:val="0C0E7CC4"/>
    <w:rsid w:val="0C1269F3"/>
    <w:rsid w:val="0C6D0460"/>
    <w:rsid w:val="0C7854BF"/>
    <w:rsid w:val="0C850098"/>
    <w:rsid w:val="0C931B6B"/>
    <w:rsid w:val="0CAE14FB"/>
    <w:rsid w:val="0CC55A09"/>
    <w:rsid w:val="0CD66DEE"/>
    <w:rsid w:val="0CE560AB"/>
    <w:rsid w:val="0D067A7F"/>
    <w:rsid w:val="0D166265"/>
    <w:rsid w:val="0D1C3F75"/>
    <w:rsid w:val="0D4B0C5A"/>
    <w:rsid w:val="0D5E20F0"/>
    <w:rsid w:val="0D7929BD"/>
    <w:rsid w:val="0D8E6ED3"/>
    <w:rsid w:val="0D98311E"/>
    <w:rsid w:val="0DB401FC"/>
    <w:rsid w:val="0DD405FA"/>
    <w:rsid w:val="0DDC2E90"/>
    <w:rsid w:val="0DDF3E69"/>
    <w:rsid w:val="0DE14AC5"/>
    <w:rsid w:val="0DE56F32"/>
    <w:rsid w:val="0DE97CF3"/>
    <w:rsid w:val="0DED3C4D"/>
    <w:rsid w:val="0E1D52CC"/>
    <w:rsid w:val="0E3452A8"/>
    <w:rsid w:val="0E361BD5"/>
    <w:rsid w:val="0E815637"/>
    <w:rsid w:val="0E927B6D"/>
    <w:rsid w:val="0E945877"/>
    <w:rsid w:val="0E997665"/>
    <w:rsid w:val="0E9E2ED6"/>
    <w:rsid w:val="0EA025EA"/>
    <w:rsid w:val="0EA10664"/>
    <w:rsid w:val="0EB524A1"/>
    <w:rsid w:val="0EE20AF5"/>
    <w:rsid w:val="0EF05B84"/>
    <w:rsid w:val="0EFD6575"/>
    <w:rsid w:val="0F1D3577"/>
    <w:rsid w:val="0F1E7D65"/>
    <w:rsid w:val="0F393540"/>
    <w:rsid w:val="0F607BF1"/>
    <w:rsid w:val="0F713C26"/>
    <w:rsid w:val="0FB769FE"/>
    <w:rsid w:val="0FC131DB"/>
    <w:rsid w:val="0FCB4B18"/>
    <w:rsid w:val="0FCD6C98"/>
    <w:rsid w:val="0FE350D9"/>
    <w:rsid w:val="0FED089C"/>
    <w:rsid w:val="101449A8"/>
    <w:rsid w:val="10260EB5"/>
    <w:rsid w:val="102A7E93"/>
    <w:rsid w:val="102E7B2D"/>
    <w:rsid w:val="10305890"/>
    <w:rsid w:val="10534DBE"/>
    <w:rsid w:val="1068327B"/>
    <w:rsid w:val="107875A7"/>
    <w:rsid w:val="107C343E"/>
    <w:rsid w:val="107E130A"/>
    <w:rsid w:val="10846AB0"/>
    <w:rsid w:val="108F6A5A"/>
    <w:rsid w:val="1090632E"/>
    <w:rsid w:val="10CD1330"/>
    <w:rsid w:val="10EE711E"/>
    <w:rsid w:val="1104733D"/>
    <w:rsid w:val="11246C48"/>
    <w:rsid w:val="112D6151"/>
    <w:rsid w:val="113B1DB1"/>
    <w:rsid w:val="114B532C"/>
    <w:rsid w:val="11513438"/>
    <w:rsid w:val="116F3D82"/>
    <w:rsid w:val="117F4DC6"/>
    <w:rsid w:val="11A23ED5"/>
    <w:rsid w:val="11A951BA"/>
    <w:rsid w:val="11B44BC1"/>
    <w:rsid w:val="11B5429E"/>
    <w:rsid w:val="11CF52F1"/>
    <w:rsid w:val="11D23466"/>
    <w:rsid w:val="11DD7458"/>
    <w:rsid w:val="11E00626"/>
    <w:rsid w:val="11F0774E"/>
    <w:rsid w:val="11F356FC"/>
    <w:rsid w:val="121865DB"/>
    <w:rsid w:val="121A3792"/>
    <w:rsid w:val="122406E6"/>
    <w:rsid w:val="125D115D"/>
    <w:rsid w:val="12676A72"/>
    <w:rsid w:val="127001C5"/>
    <w:rsid w:val="12743D24"/>
    <w:rsid w:val="1299596E"/>
    <w:rsid w:val="12AD766B"/>
    <w:rsid w:val="12B02CB8"/>
    <w:rsid w:val="12E13849"/>
    <w:rsid w:val="130C2011"/>
    <w:rsid w:val="13135EB3"/>
    <w:rsid w:val="13186B1A"/>
    <w:rsid w:val="13256969"/>
    <w:rsid w:val="133A6411"/>
    <w:rsid w:val="13526B64"/>
    <w:rsid w:val="1356385F"/>
    <w:rsid w:val="135E2728"/>
    <w:rsid w:val="136B189B"/>
    <w:rsid w:val="136E6014"/>
    <w:rsid w:val="137327C2"/>
    <w:rsid w:val="13816B66"/>
    <w:rsid w:val="13914897"/>
    <w:rsid w:val="13B44698"/>
    <w:rsid w:val="13BD743A"/>
    <w:rsid w:val="13C62793"/>
    <w:rsid w:val="13C7650B"/>
    <w:rsid w:val="141334FE"/>
    <w:rsid w:val="142B4CEC"/>
    <w:rsid w:val="142E0338"/>
    <w:rsid w:val="142E4FE1"/>
    <w:rsid w:val="14551D69"/>
    <w:rsid w:val="14944DC5"/>
    <w:rsid w:val="14A27358"/>
    <w:rsid w:val="14B4083D"/>
    <w:rsid w:val="14EC3D9C"/>
    <w:rsid w:val="14FF6828"/>
    <w:rsid w:val="1508619E"/>
    <w:rsid w:val="15162BEE"/>
    <w:rsid w:val="153D4E60"/>
    <w:rsid w:val="15AD3329"/>
    <w:rsid w:val="15B14FB4"/>
    <w:rsid w:val="15BB7172"/>
    <w:rsid w:val="15E02697"/>
    <w:rsid w:val="15FD1B1A"/>
    <w:rsid w:val="160718C9"/>
    <w:rsid w:val="161D2A08"/>
    <w:rsid w:val="161D5A46"/>
    <w:rsid w:val="16285FB7"/>
    <w:rsid w:val="163A32E0"/>
    <w:rsid w:val="165D3284"/>
    <w:rsid w:val="165E3157"/>
    <w:rsid w:val="166A7255"/>
    <w:rsid w:val="166B3108"/>
    <w:rsid w:val="16730284"/>
    <w:rsid w:val="16832189"/>
    <w:rsid w:val="16A1695E"/>
    <w:rsid w:val="16B56AEF"/>
    <w:rsid w:val="16B5744C"/>
    <w:rsid w:val="16DC1E6E"/>
    <w:rsid w:val="16DF4937"/>
    <w:rsid w:val="16F9480D"/>
    <w:rsid w:val="1700546C"/>
    <w:rsid w:val="170835D7"/>
    <w:rsid w:val="171750B3"/>
    <w:rsid w:val="17436FA2"/>
    <w:rsid w:val="17654F9E"/>
    <w:rsid w:val="176E0FB5"/>
    <w:rsid w:val="17866628"/>
    <w:rsid w:val="17877D4B"/>
    <w:rsid w:val="17A662EF"/>
    <w:rsid w:val="17A74C5B"/>
    <w:rsid w:val="17B21108"/>
    <w:rsid w:val="17C446F6"/>
    <w:rsid w:val="17CB527B"/>
    <w:rsid w:val="17E31439"/>
    <w:rsid w:val="17FB319C"/>
    <w:rsid w:val="180371D8"/>
    <w:rsid w:val="18371378"/>
    <w:rsid w:val="18583BD5"/>
    <w:rsid w:val="18891FE1"/>
    <w:rsid w:val="189424AD"/>
    <w:rsid w:val="189528B8"/>
    <w:rsid w:val="18975EDC"/>
    <w:rsid w:val="18B3705E"/>
    <w:rsid w:val="18C20978"/>
    <w:rsid w:val="18DE1C10"/>
    <w:rsid w:val="19012763"/>
    <w:rsid w:val="191028D5"/>
    <w:rsid w:val="195645B9"/>
    <w:rsid w:val="19874772"/>
    <w:rsid w:val="199A62E5"/>
    <w:rsid w:val="19A127A0"/>
    <w:rsid w:val="19A5109C"/>
    <w:rsid w:val="19CF7EC7"/>
    <w:rsid w:val="19D76817"/>
    <w:rsid w:val="19DA1D21"/>
    <w:rsid w:val="1A16770C"/>
    <w:rsid w:val="1A18265E"/>
    <w:rsid w:val="1A634E7B"/>
    <w:rsid w:val="1A75317D"/>
    <w:rsid w:val="1A763EBB"/>
    <w:rsid w:val="1A846F04"/>
    <w:rsid w:val="1B007FF8"/>
    <w:rsid w:val="1B0C272C"/>
    <w:rsid w:val="1B207ACA"/>
    <w:rsid w:val="1B282AD5"/>
    <w:rsid w:val="1B3B17AF"/>
    <w:rsid w:val="1B4B7E14"/>
    <w:rsid w:val="1B570201"/>
    <w:rsid w:val="1B5A3198"/>
    <w:rsid w:val="1B624471"/>
    <w:rsid w:val="1B656D35"/>
    <w:rsid w:val="1B691D43"/>
    <w:rsid w:val="1B7A0ECD"/>
    <w:rsid w:val="1B8D762B"/>
    <w:rsid w:val="1B982D24"/>
    <w:rsid w:val="1BA829C9"/>
    <w:rsid w:val="1BF360C5"/>
    <w:rsid w:val="1C1E0055"/>
    <w:rsid w:val="1C832B8E"/>
    <w:rsid w:val="1C83719E"/>
    <w:rsid w:val="1C850D11"/>
    <w:rsid w:val="1CCF7F31"/>
    <w:rsid w:val="1CDF2BC5"/>
    <w:rsid w:val="1CE85BD6"/>
    <w:rsid w:val="1CF6749F"/>
    <w:rsid w:val="1D5672EA"/>
    <w:rsid w:val="1D5822F8"/>
    <w:rsid w:val="1D7A076C"/>
    <w:rsid w:val="1D7C2114"/>
    <w:rsid w:val="1DBA6D7A"/>
    <w:rsid w:val="1DD77A96"/>
    <w:rsid w:val="1DDD668B"/>
    <w:rsid w:val="1DE31C89"/>
    <w:rsid w:val="1DEA1774"/>
    <w:rsid w:val="1DF43770"/>
    <w:rsid w:val="1DF925E3"/>
    <w:rsid w:val="1E26179C"/>
    <w:rsid w:val="1E2D044C"/>
    <w:rsid w:val="1E7E4CFC"/>
    <w:rsid w:val="1E8B628E"/>
    <w:rsid w:val="1EBD4C0C"/>
    <w:rsid w:val="1ECD28C9"/>
    <w:rsid w:val="1EF5217E"/>
    <w:rsid w:val="1EFB2182"/>
    <w:rsid w:val="1EFE45E9"/>
    <w:rsid w:val="1F023DD8"/>
    <w:rsid w:val="1F1F369F"/>
    <w:rsid w:val="1F8A0129"/>
    <w:rsid w:val="1FAA11BB"/>
    <w:rsid w:val="1FB63CEA"/>
    <w:rsid w:val="1FB84B14"/>
    <w:rsid w:val="1FCB730A"/>
    <w:rsid w:val="1FCD6C57"/>
    <w:rsid w:val="1FE20E19"/>
    <w:rsid w:val="1FFA4EF4"/>
    <w:rsid w:val="2003041B"/>
    <w:rsid w:val="20472ECD"/>
    <w:rsid w:val="208D5077"/>
    <w:rsid w:val="20AA34B3"/>
    <w:rsid w:val="20AA5700"/>
    <w:rsid w:val="20AD0837"/>
    <w:rsid w:val="20B03F37"/>
    <w:rsid w:val="20B71B63"/>
    <w:rsid w:val="20D14047"/>
    <w:rsid w:val="20E76E47"/>
    <w:rsid w:val="20F927A9"/>
    <w:rsid w:val="20FE7C24"/>
    <w:rsid w:val="21117017"/>
    <w:rsid w:val="213845A4"/>
    <w:rsid w:val="213A5FD8"/>
    <w:rsid w:val="213C22E6"/>
    <w:rsid w:val="214644A7"/>
    <w:rsid w:val="214A112B"/>
    <w:rsid w:val="2150290B"/>
    <w:rsid w:val="2156503C"/>
    <w:rsid w:val="21762311"/>
    <w:rsid w:val="21843C8D"/>
    <w:rsid w:val="2188552B"/>
    <w:rsid w:val="21986917"/>
    <w:rsid w:val="21B5664C"/>
    <w:rsid w:val="21D03533"/>
    <w:rsid w:val="220E23F4"/>
    <w:rsid w:val="22106FC4"/>
    <w:rsid w:val="22137BA5"/>
    <w:rsid w:val="22222E58"/>
    <w:rsid w:val="2228092A"/>
    <w:rsid w:val="22280F08"/>
    <w:rsid w:val="223223E5"/>
    <w:rsid w:val="226135BA"/>
    <w:rsid w:val="227930C6"/>
    <w:rsid w:val="22983747"/>
    <w:rsid w:val="22BC0E97"/>
    <w:rsid w:val="22C85FA2"/>
    <w:rsid w:val="22CC5CB1"/>
    <w:rsid w:val="22DD30F4"/>
    <w:rsid w:val="23A777BF"/>
    <w:rsid w:val="23B07E0C"/>
    <w:rsid w:val="23C5525C"/>
    <w:rsid w:val="23CB5F17"/>
    <w:rsid w:val="23F726D9"/>
    <w:rsid w:val="241023E4"/>
    <w:rsid w:val="241526D3"/>
    <w:rsid w:val="241A2687"/>
    <w:rsid w:val="24291491"/>
    <w:rsid w:val="243F3F38"/>
    <w:rsid w:val="24493D40"/>
    <w:rsid w:val="246E29A5"/>
    <w:rsid w:val="249543F8"/>
    <w:rsid w:val="24A309CE"/>
    <w:rsid w:val="24AD7057"/>
    <w:rsid w:val="24D613E4"/>
    <w:rsid w:val="24D665AE"/>
    <w:rsid w:val="24E011DB"/>
    <w:rsid w:val="24FC5B51"/>
    <w:rsid w:val="25000AC4"/>
    <w:rsid w:val="251956B6"/>
    <w:rsid w:val="25697043"/>
    <w:rsid w:val="25803E00"/>
    <w:rsid w:val="258B55EA"/>
    <w:rsid w:val="25A466EB"/>
    <w:rsid w:val="25A72383"/>
    <w:rsid w:val="25EA0D48"/>
    <w:rsid w:val="25EF404C"/>
    <w:rsid w:val="25F40E00"/>
    <w:rsid w:val="261C05D2"/>
    <w:rsid w:val="262F241A"/>
    <w:rsid w:val="263E265D"/>
    <w:rsid w:val="26494F24"/>
    <w:rsid w:val="26667B92"/>
    <w:rsid w:val="26737853"/>
    <w:rsid w:val="26760D12"/>
    <w:rsid w:val="26781860"/>
    <w:rsid w:val="26924F6F"/>
    <w:rsid w:val="26A1141B"/>
    <w:rsid w:val="26AA6753"/>
    <w:rsid w:val="26AE2448"/>
    <w:rsid w:val="26C2212C"/>
    <w:rsid w:val="26F471BF"/>
    <w:rsid w:val="271E31B6"/>
    <w:rsid w:val="27313F6F"/>
    <w:rsid w:val="273B2412"/>
    <w:rsid w:val="27567F28"/>
    <w:rsid w:val="27721C50"/>
    <w:rsid w:val="277976C4"/>
    <w:rsid w:val="27C9075F"/>
    <w:rsid w:val="27C93AA6"/>
    <w:rsid w:val="27D536CF"/>
    <w:rsid w:val="28040CA5"/>
    <w:rsid w:val="2810627B"/>
    <w:rsid w:val="28163D05"/>
    <w:rsid w:val="281C4C20"/>
    <w:rsid w:val="28496CB3"/>
    <w:rsid w:val="2868457E"/>
    <w:rsid w:val="28795BCE"/>
    <w:rsid w:val="287B5482"/>
    <w:rsid w:val="28CB0887"/>
    <w:rsid w:val="28FC1D3A"/>
    <w:rsid w:val="28FD4B60"/>
    <w:rsid w:val="290A2CCA"/>
    <w:rsid w:val="29280F05"/>
    <w:rsid w:val="29287145"/>
    <w:rsid w:val="29331B12"/>
    <w:rsid w:val="293B0155"/>
    <w:rsid w:val="29995DFC"/>
    <w:rsid w:val="29A21B12"/>
    <w:rsid w:val="29A57D37"/>
    <w:rsid w:val="29EE439A"/>
    <w:rsid w:val="2A092F82"/>
    <w:rsid w:val="2A1247A9"/>
    <w:rsid w:val="2A3D090A"/>
    <w:rsid w:val="2A431C41"/>
    <w:rsid w:val="2A5E77FA"/>
    <w:rsid w:val="2A685EFA"/>
    <w:rsid w:val="2A7163E3"/>
    <w:rsid w:val="2A86136E"/>
    <w:rsid w:val="2A8B3AE2"/>
    <w:rsid w:val="2A8D3BB3"/>
    <w:rsid w:val="2ADC4216"/>
    <w:rsid w:val="2AE13EFE"/>
    <w:rsid w:val="2AEA1E9F"/>
    <w:rsid w:val="2B10080C"/>
    <w:rsid w:val="2B137F45"/>
    <w:rsid w:val="2B2A5F61"/>
    <w:rsid w:val="2B4708B7"/>
    <w:rsid w:val="2B4C75CA"/>
    <w:rsid w:val="2B5C4F65"/>
    <w:rsid w:val="2B6A3015"/>
    <w:rsid w:val="2B801CC8"/>
    <w:rsid w:val="2BA016C4"/>
    <w:rsid w:val="2BE55033"/>
    <w:rsid w:val="2BE912BD"/>
    <w:rsid w:val="2C081230"/>
    <w:rsid w:val="2C0E0D23"/>
    <w:rsid w:val="2C2B2BD5"/>
    <w:rsid w:val="2C2E6CCF"/>
    <w:rsid w:val="2C455133"/>
    <w:rsid w:val="2C477D91"/>
    <w:rsid w:val="2C510117"/>
    <w:rsid w:val="2C661BAD"/>
    <w:rsid w:val="2C8948DB"/>
    <w:rsid w:val="2C9D172B"/>
    <w:rsid w:val="2CD46F8B"/>
    <w:rsid w:val="2CD86C3B"/>
    <w:rsid w:val="2CD9317D"/>
    <w:rsid w:val="2CD9476B"/>
    <w:rsid w:val="2D1B08F7"/>
    <w:rsid w:val="2D1B49DC"/>
    <w:rsid w:val="2D4A4429"/>
    <w:rsid w:val="2D4C621B"/>
    <w:rsid w:val="2D595F63"/>
    <w:rsid w:val="2D60735C"/>
    <w:rsid w:val="2D656C47"/>
    <w:rsid w:val="2D7E3BF3"/>
    <w:rsid w:val="2D8C7BF1"/>
    <w:rsid w:val="2DA84CAB"/>
    <w:rsid w:val="2DC81675"/>
    <w:rsid w:val="2DE23238"/>
    <w:rsid w:val="2DEA172A"/>
    <w:rsid w:val="2DFB52D7"/>
    <w:rsid w:val="2E1367B4"/>
    <w:rsid w:val="2E405590"/>
    <w:rsid w:val="2E4C2089"/>
    <w:rsid w:val="2E506BDD"/>
    <w:rsid w:val="2E777914"/>
    <w:rsid w:val="2E923B03"/>
    <w:rsid w:val="2E9B6172"/>
    <w:rsid w:val="2ED24231"/>
    <w:rsid w:val="2ED27DE6"/>
    <w:rsid w:val="2F655CA2"/>
    <w:rsid w:val="2F9977AD"/>
    <w:rsid w:val="2FAF0127"/>
    <w:rsid w:val="2FC04DBC"/>
    <w:rsid w:val="2FDC6082"/>
    <w:rsid w:val="2FF050B4"/>
    <w:rsid w:val="3014229F"/>
    <w:rsid w:val="302256EA"/>
    <w:rsid w:val="302F3016"/>
    <w:rsid w:val="30466CDD"/>
    <w:rsid w:val="3098505F"/>
    <w:rsid w:val="309B09CB"/>
    <w:rsid w:val="30B2070C"/>
    <w:rsid w:val="30B31E99"/>
    <w:rsid w:val="30F4495A"/>
    <w:rsid w:val="30F46157"/>
    <w:rsid w:val="30FE079D"/>
    <w:rsid w:val="31120BF9"/>
    <w:rsid w:val="31181CFC"/>
    <w:rsid w:val="31311361"/>
    <w:rsid w:val="313774ED"/>
    <w:rsid w:val="3163566D"/>
    <w:rsid w:val="318A3E34"/>
    <w:rsid w:val="31973209"/>
    <w:rsid w:val="31A67124"/>
    <w:rsid w:val="31BB32E3"/>
    <w:rsid w:val="31C003CA"/>
    <w:rsid w:val="31D976DD"/>
    <w:rsid w:val="31E21F25"/>
    <w:rsid w:val="321D3A6E"/>
    <w:rsid w:val="3225030F"/>
    <w:rsid w:val="32375E20"/>
    <w:rsid w:val="323E39E4"/>
    <w:rsid w:val="324059AE"/>
    <w:rsid w:val="3242154F"/>
    <w:rsid w:val="3245403D"/>
    <w:rsid w:val="3247275C"/>
    <w:rsid w:val="3255578E"/>
    <w:rsid w:val="32641206"/>
    <w:rsid w:val="327317FF"/>
    <w:rsid w:val="32742BBE"/>
    <w:rsid w:val="32877139"/>
    <w:rsid w:val="32892EB1"/>
    <w:rsid w:val="32980FDB"/>
    <w:rsid w:val="329830F5"/>
    <w:rsid w:val="32DE6113"/>
    <w:rsid w:val="330C04E6"/>
    <w:rsid w:val="33193672"/>
    <w:rsid w:val="333C1CA5"/>
    <w:rsid w:val="334B5857"/>
    <w:rsid w:val="33782ED8"/>
    <w:rsid w:val="339E473B"/>
    <w:rsid w:val="33AF7EF3"/>
    <w:rsid w:val="33C540F2"/>
    <w:rsid w:val="33E23337"/>
    <w:rsid w:val="33FF3D76"/>
    <w:rsid w:val="344F78A4"/>
    <w:rsid w:val="34636D8D"/>
    <w:rsid w:val="34637732"/>
    <w:rsid w:val="347A00FD"/>
    <w:rsid w:val="349E2F7E"/>
    <w:rsid w:val="34CC3529"/>
    <w:rsid w:val="34D5506F"/>
    <w:rsid w:val="34D73ACD"/>
    <w:rsid w:val="34E2623D"/>
    <w:rsid w:val="34E73EBF"/>
    <w:rsid w:val="34EA1491"/>
    <w:rsid w:val="35417A73"/>
    <w:rsid w:val="354707EA"/>
    <w:rsid w:val="35534836"/>
    <w:rsid w:val="356F1F2E"/>
    <w:rsid w:val="35AE4CC6"/>
    <w:rsid w:val="35B51D8E"/>
    <w:rsid w:val="35C95DA5"/>
    <w:rsid w:val="35D00DF7"/>
    <w:rsid w:val="35D170DF"/>
    <w:rsid w:val="35DB1101"/>
    <w:rsid w:val="35FD0BE5"/>
    <w:rsid w:val="360867E3"/>
    <w:rsid w:val="360D3368"/>
    <w:rsid w:val="36102D5C"/>
    <w:rsid w:val="361401E0"/>
    <w:rsid w:val="36151F71"/>
    <w:rsid w:val="361613EB"/>
    <w:rsid w:val="36171BD2"/>
    <w:rsid w:val="362058DB"/>
    <w:rsid w:val="36271315"/>
    <w:rsid w:val="36297C03"/>
    <w:rsid w:val="36346565"/>
    <w:rsid w:val="363B5D79"/>
    <w:rsid w:val="365A4E18"/>
    <w:rsid w:val="36621565"/>
    <w:rsid w:val="36816D77"/>
    <w:rsid w:val="36955374"/>
    <w:rsid w:val="36AC53C0"/>
    <w:rsid w:val="36AD7CBC"/>
    <w:rsid w:val="36B44275"/>
    <w:rsid w:val="36C6479B"/>
    <w:rsid w:val="36CC2A13"/>
    <w:rsid w:val="36DB4C4F"/>
    <w:rsid w:val="36F32FEF"/>
    <w:rsid w:val="370445C3"/>
    <w:rsid w:val="37425F4A"/>
    <w:rsid w:val="375D3E2A"/>
    <w:rsid w:val="37697A46"/>
    <w:rsid w:val="376B01B2"/>
    <w:rsid w:val="37954CDD"/>
    <w:rsid w:val="37A147F9"/>
    <w:rsid w:val="37DF5322"/>
    <w:rsid w:val="380F3E59"/>
    <w:rsid w:val="3816097A"/>
    <w:rsid w:val="38237904"/>
    <w:rsid w:val="38611A4F"/>
    <w:rsid w:val="38A61D2C"/>
    <w:rsid w:val="38B04AB1"/>
    <w:rsid w:val="38BE03B9"/>
    <w:rsid w:val="38C22C79"/>
    <w:rsid w:val="38DF10FF"/>
    <w:rsid w:val="38EC7B0C"/>
    <w:rsid w:val="38FD5546"/>
    <w:rsid w:val="391377C3"/>
    <w:rsid w:val="39235A32"/>
    <w:rsid w:val="39341D74"/>
    <w:rsid w:val="393578EF"/>
    <w:rsid w:val="393957B3"/>
    <w:rsid w:val="395B25B8"/>
    <w:rsid w:val="396F7DBF"/>
    <w:rsid w:val="39830E0A"/>
    <w:rsid w:val="398375D4"/>
    <w:rsid w:val="39932868"/>
    <w:rsid w:val="39A93E39"/>
    <w:rsid w:val="39B50A30"/>
    <w:rsid w:val="3A013C75"/>
    <w:rsid w:val="3A5C7C4F"/>
    <w:rsid w:val="3A884383"/>
    <w:rsid w:val="3A9446F3"/>
    <w:rsid w:val="3AC525ED"/>
    <w:rsid w:val="3AD45179"/>
    <w:rsid w:val="3AEE6DE3"/>
    <w:rsid w:val="3AFB6916"/>
    <w:rsid w:val="3B4007CD"/>
    <w:rsid w:val="3B481480"/>
    <w:rsid w:val="3B5F00A2"/>
    <w:rsid w:val="3B75456D"/>
    <w:rsid w:val="3BA7799B"/>
    <w:rsid w:val="3BA945C4"/>
    <w:rsid w:val="3BAD4232"/>
    <w:rsid w:val="3BB31BC5"/>
    <w:rsid w:val="3BB32D4D"/>
    <w:rsid w:val="3BDD673F"/>
    <w:rsid w:val="3C1F03E3"/>
    <w:rsid w:val="3C3247FE"/>
    <w:rsid w:val="3C6201CC"/>
    <w:rsid w:val="3C686F62"/>
    <w:rsid w:val="3C7216BE"/>
    <w:rsid w:val="3C764CFE"/>
    <w:rsid w:val="3C820A8A"/>
    <w:rsid w:val="3C8256AA"/>
    <w:rsid w:val="3C9630FC"/>
    <w:rsid w:val="3C9C243F"/>
    <w:rsid w:val="3CC87977"/>
    <w:rsid w:val="3CDC7196"/>
    <w:rsid w:val="3CDD590D"/>
    <w:rsid w:val="3D6405FF"/>
    <w:rsid w:val="3D6A1B1F"/>
    <w:rsid w:val="3D7F40CC"/>
    <w:rsid w:val="3D9B65E3"/>
    <w:rsid w:val="3DA3007C"/>
    <w:rsid w:val="3DAD7410"/>
    <w:rsid w:val="3DB9375A"/>
    <w:rsid w:val="3DBE3CBE"/>
    <w:rsid w:val="3DD510C9"/>
    <w:rsid w:val="3E021D6A"/>
    <w:rsid w:val="3E2241BA"/>
    <w:rsid w:val="3E23065E"/>
    <w:rsid w:val="3E893F2C"/>
    <w:rsid w:val="3ED13DE1"/>
    <w:rsid w:val="3ED82604"/>
    <w:rsid w:val="3EE572D4"/>
    <w:rsid w:val="3EE93BD8"/>
    <w:rsid w:val="3EF176CD"/>
    <w:rsid w:val="3EF20030"/>
    <w:rsid w:val="3EF20610"/>
    <w:rsid w:val="3F214472"/>
    <w:rsid w:val="3F5D7BA0"/>
    <w:rsid w:val="3F78269E"/>
    <w:rsid w:val="3F9212CC"/>
    <w:rsid w:val="3FAC01DF"/>
    <w:rsid w:val="3FB05F21"/>
    <w:rsid w:val="3FC3349F"/>
    <w:rsid w:val="3FFF2919"/>
    <w:rsid w:val="40153FD6"/>
    <w:rsid w:val="402856A0"/>
    <w:rsid w:val="40460634"/>
    <w:rsid w:val="40A84E4B"/>
    <w:rsid w:val="41184A02"/>
    <w:rsid w:val="41270465"/>
    <w:rsid w:val="415A5382"/>
    <w:rsid w:val="41970774"/>
    <w:rsid w:val="41C77552"/>
    <w:rsid w:val="41E653B2"/>
    <w:rsid w:val="41FB3B6D"/>
    <w:rsid w:val="41FF0A9A"/>
    <w:rsid w:val="42042555"/>
    <w:rsid w:val="422E312E"/>
    <w:rsid w:val="42471D33"/>
    <w:rsid w:val="42521512"/>
    <w:rsid w:val="426F101A"/>
    <w:rsid w:val="42772AAB"/>
    <w:rsid w:val="427C3412"/>
    <w:rsid w:val="42847BFD"/>
    <w:rsid w:val="42A25548"/>
    <w:rsid w:val="42AA2C03"/>
    <w:rsid w:val="42D30E89"/>
    <w:rsid w:val="42D40179"/>
    <w:rsid w:val="42E17A8C"/>
    <w:rsid w:val="42F56341"/>
    <w:rsid w:val="430E5EC9"/>
    <w:rsid w:val="432865F2"/>
    <w:rsid w:val="434D1CD9"/>
    <w:rsid w:val="43557572"/>
    <w:rsid w:val="436D4711"/>
    <w:rsid w:val="4373683C"/>
    <w:rsid w:val="43785E61"/>
    <w:rsid w:val="43A46D2C"/>
    <w:rsid w:val="43B148EA"/>
    <w:rsid w:val="43B808F8"/>
    <w:rsid w:val="43C15F14"/>
    <w:rsid w:val="43D578B3"/>
    <w:rsid w:val="43E6390E"/>
    <w:rsid w:val="43FE0AB1"/>
    <w:rsid w:val="442F0B9B"/>
    <w:rsid w:val="44520715"/>
    <w:rsid w:val="44896EAF"/>
    <w:rsid w:val="44B965C5"/>
    <w:rsid w:val="44E73A68"/>
    <w:rsid w:val="450045E1"/>
    <w:rsid w:val="45113714"/>
    <w:rsid w:val="4523785F"/>
    <w:rsid w:val="4529115C"/>
    <w:rsid w:val="455D41F1"/>
    <w:rsid w:val="4560436C"/>
    <w:rsid w:val="456344FE"/>
    <w:rsid w:val="45777EED"/>
    <w:rsid w:val="457B2BDC"/>
    <w:rsid w:val="45875897"/>
    <w:rsid w:val="458B54AD"/>
    <w:rsid w:val="45B01E02"/>
    <w:rsid w:val="45BC7331"/>
    <w:rsid w:val="45BE227A"/>
    <w:rsid w:val="45CE5891"/>
    <w:rsid w:val="45D30076"/>
    <w:rsid w:val="45D3296A"/>
    <w:rsid w:val="45D82E3F"/>
    <w:rsid w:val="45EF0901"/>
    <w:rsid w:val="46315F44"/>
    <w:rsid w:val="46384BFA"/>
    <w:rsid w:val="4648427E"/>
    <w:rsid w:val="4654512D"/>
    <w:rsid w:val="465F5FAB"/>
    <w:rsid w:val="467771DC"/>
    <w:rsid w:val="467D28D5"/>
    <w:rsid w:val="46971BE9"/>
    <w:rsid w:val="469D2F78"/>
    <w:rsid w:val="46BE5B83"/>
    <w:rsid w:val="46D5626E"/>
    <w:rsid w:val="46D85D5E"/>
    <w:rsid w:val="46F829AC"/>
    <w:rsid w:val="47050398"/>
    <w:rsid w:val="47117503"/>
    <w:rsid w:val="47172429"/>
    <w:rsid w:val="472B0583"/>
    <w:rsid w:val="4743767B"/>
    <w:rsid w:val="47837AA8"/>
    <w:rsid w:val="478F0B12"/>
    <w:rsid w:val="478F3FCD"/>
    <w:rsid w:val="47A81BD4"/>
    <w:rsid w:val="47B02837"/>
    <w:rsid w:val="47DC48C4"/>
    <w:rsid w:val="480A0A97"/>
    <w:rsid w:val="486271EA"/>
    <w:rsid w:val="48936512"/>
    <w:rsid w:val="48A974DA"/>
    <w:rsid w:val="48B96D0E"/>
    <w:rsid w:val="48BE52E4"/>
    <w:rsid w:val="48DD3AFF"/>
    <w:rsid w:val="48E677CC"/>
    <w:rsid w:val="48F90270"/>
    <w:rsid w:val="49065E19"/>
    <w:rsid w:val="490B41C9"/>
    <w:rsid w:val="49303C2F"/>
    <w:rsid w:val="493A6C69"/>
    <w:rsid w:val="49474DCA"/>
    <w:rsid w:val="495A711F"/>
    <w:rsid w:val="496F0653"/>
    <w:rsid w:val="49755AE6"/>
    <w:rsid w:val="49C1095E"/>
    <w:rsid w:val="4A321C93"/>
    <w:rsid w:val="4A3860E9"/>
    <w:rsid w:val="4A443E36"/>
    <w:rsid w:val="4A4A5D0B"/>
    <w:rsid w:val="4A4F3873"/>
    <w:rsid w:val="4A5F66D8"/>
    <w:rsid w:val="4A657908"/>
    <w:rsid w:val="4A991E77"/>
    <w:rsid w:val="4AA53F4C"/>
    <w:rsid w:val="4ABB6FBF"/>
    <w:rsid w:val="4AC9495B"/>
    <w:rsid w:val="4AD36F68"/>
    <w:rsid w:val="4AE44C97"/>
    <w:rsid w:val="4B124922"/>
    <w:rsid w:val="4B243912"/>
    <w:rsid w:val="4B354937"/>
    <w:rsid w:val="4B3861BB"/>
    <w:rsid w:val="4B4B4D69"/>
    <w:rsid w:val="4B5300A9"/>
    <w:rsid w:val="4B5D303A"/>
    <w:rsid w:val="4B971D44"/>
    <w:rsid w:val="4B9C55AC"/>
    <w:rsid w:val="4BA07421"/>
    <w:rsid w:val="4BDA712C"/>
    <w:rsid w:val="4BDF29A8"/>
    <w:rsid w:val="4C172E84"/>
    <w:rsid w:val="4C3677AE"/>
    <w:rsid w:val="4C384FBA"/>
    <w:rsid w:val="4C4A70B8"/>
    <w:rsid w:val="4C8122B9"/>
    <w:rsid w:val="4C824103"/>
    <w:rsid w:val="4CE6712F"/>
    <w:rsid w:val="4CEA2347"/>
    <w:rsid w:val="4CEC2563"/>
    <w:rsid w:val="4CFD11B7"/>
    <w:rsid w:val="4D021F5B"/>
    <w:rsid w:val="4D0E4287"/>
    <w:rsid w:val="4D110309"/>
    <w:rsid w:val="4D162E6C"/>
    <w:rsid w:val="4D224CD8"/>
    <w:rsid w:val="4D5B4FF3"/>
    <w:rsid w:val="4D673998"/>
    <w:rsid w:val="4D776F2D"/>
    <w:rsid w:val="4D812CAB"/>
    <w:rsid w:val="4DA120FC"/>
    <w:rsid w:val="4DA96AAF"/>
    <w:rsid w:val="4DAF5A31"/>
    <w:rsid w:val="4DC63EE1"/>
    <w:rsid w:val="4DCF1B2D"/>
    <w:rsid w:val="4E004662"/>
    <w:rsid w:val="4E0A3BE0"/>
    <w:rsid w:val="4E1E04FA"/>
    <w:rsid w:val="4E246234"/>
    <w:rsid w:val="4E345CD4"/>
    <w:rsid w:val="4E487C6D"/>
    <w:rsid w:val="4E4C27ED"/>
    <w:rsid w:val="4E564699"/>
    <w:rsid w:val="4E5A0AE4"/>
    <w:rsid w:val="4E6A0D7F"/>
    <w:rsid w:val="4E726A98"/>
    <w:rsid w:val="4E787E62"/>
    <w:rsid w:val="4E877144"/>
    <w:rsid w:val="4E8A45A7"/>
    <w:rsid w:val="4E964EE0"/>
    <w:rsid w:val="4EB64A27"/>
    <w:rsid w:val="4EBD4B72"/>
    <w:rsid w:val="4ECF1463"/>
    <w:rsid w:val="4EE55D69"/>
    <w:rsid w:val="4EF25644"/>
    <w:rsid w:val="4F0B69B3"/>
    <w:rsid w:val="4F102B4E"/>
    <w:rsid w:val="4F1F4F36"/>
    <w:rsid w:val="4F395F77"/>
    <w:rsid w:val="4F401BF2"/>
    <w:rsid w:val="4F4B018E"/>
    <w:rsid w:val="4F4C0EBC"/>
    <w:rsid w:val="4F5D57C0"/>
    <w:rsid w:val="4F6E4962"/>
    <w:rsid w:val="4F94365E"/>
    <w:rsid w:val="4F9F07E5"/>
    <w:rsid w:val="4F9F566B"/>
    <w:rsid w:val="4FEB43E2"/>
    <w:rsid w:val="50100316"/>
    <w:rsid w:val="502A687A"/>
    <w:rsid w:val="502E7A20"/>
    <w:rsid w:val="503E6C32"/>
    <w:rsid w:val="504B2EFC"/>
    <w:rsid w:val="50530978"/>
    <w:rsid w:val="50662E41"/>
    <w:rsid w:val="506A511E"/>
    <w:rsid w:val="50896CB7"/>
    <w:rsid w:val="508D5E0B"/>
    <w:rsid w:val="50900492"/>
    <w:rsid w:val="50976F01"/>
    <w:rsid w:val="50A52262"/>
    <w:rsid w:val="50AA076B"/>
    <w:rsid w:val="50B96C00"/>
    <w:rsid w:val="50D13F4A"/>
    <w:rsid w:val="51113646"/>
    <w:rsid w:val="5121535A"/>
    <w:rsid w:val="513A3EFC"/>
    <w:rsid w:val="51713037"/>
    <w:rsid w:val="517764E1"/>
    <w:rsid w:val="51855925"/>
    <w:rsid w:val="518E3F66"/>
    <w:rsid w:val="51A53D00"/>
    <w:rsid w:val="51AB6379"/>
    <w:rsid w:val="51C13FBE"/>
    <w:rsid w:val="52495C09"/>
    <w:rsid w:val="524A3FB4"/>
    <w:rsid w:val="52654987"/>
    <w:rsid w:val="526776F7"/>
    <w:rsid w:val="528F2803"/>
    <w:rsid w:val="528F544B"/>
    <w:rsid w:val="52EA4A77"/>
    <w:rsid w:val="53083527"/>
    <w:rsid w:val="533232D5"/>
    <w:rsid w:val="533960B0"/>
    <w:rsid w:val="536410A5"/>
    <w:rsid w:val="537813B1"/>
    <w:rsid w:val="53876B42"/>
    <w:rsid w:val="538E0A92"/>
    <w:rsid w:val="53947FA9"/>
    <w:rsid w:val="53960EDE"/>
    <w:rsid w:val="53990623"/>
    <w:rsid w:val="53A46B36"/>
    <w:rsid w:val="53BD4B8C"/>
    <w:rsid w:val="53CB1DAC"/>
    <w:rsid w:val="53DD2C05"/>
    <w:rsid w:val="540278C7"/>
    <w:rsid w:val="541E311C"/>
    <w:rsid w:val="54260CB2"/>
    <w:rsid w:val="543103BC"/>
    <w:rsid w:val="545506C8"/>
    <w:rsid w:val="545C3B2A"/>
    <w:rsid w:val="545D6432"/>
    <w:rsid w:val="54A41011"/>
    <w:rsid w:val="54AA1609"/>
    <w:rsid w:val="54AD082A"/>
    <w:rsid w:val="54D3168A"/>
    <w:rsid w:val="54DC562C"/>
    <w:rsid w:val="54DD16C4"/>
    <w:rsid w:val="54E74C2F"/>
    <w:rsid w:val="54F450A1"/>
    <w:rsid w:val="54FD751D"/>
    <w:rsid w:val="550C3614"/>
    <w:rsid w:val="550C50AE"/>
    <w:rsid w:val="55183D6F"/>
    <w:rsid w:val="5523289A"/>
    <w:rsid w:val="55284606"/>
    <w:rsid w:val="5543547F"/>
    <w:rsid w:val="55471118"/>
    <w:rsid w:val="55494538"/>
    <w:rsid w:val="554C0043"/>
    <w:rsid w:val="556557D9"/>
    <w:rsid w:val="557579E3"/>
    <w:rsid w:val="557A0141"/>
    <w:rsid w:val="55A0213D"/>
    <w:rsid w:val="55BE1F4A"/>
    <w:rsid w:val="55C342F4"/>
    <w:rsid w:val="55D84D24"/>
    <w:rsid w:val="55FB7373"/>
    <w:rsid w:val="56021A4A"/>
    <w:rsid w:val="560B5D2E"/>
    <w:rsid w:val="560D6CB0"/>
    <w:rsid w:val="563A103B"/>
    <w:rsid w:val="563E6C55"/>
    <w:rsid w:val="56405A62"/>
    <w:rsid w:val="56544EC2"/>
    <w:rsid w:val="56557533"/>
    <w:rsid w:val="565E3DEE"/>
    <w:rsid w:val="565F5B54"/>
    <w:rsid w:val="56633896"/>
    <w:rsid w:val="567D5DF1"/>
    <w:rsid w:val="56A837E8"/>
    <w:rsid w:val="56BC6B02"/>
    <w:rsid w:val="56F163E4"/>
    <w:rsid w:val="570B1838"/>
    <w:rsid w:val="57214827"/>
    <w:rsid w:val="574C49E9"/>
    <w:rsid w:val="575D2A5F"/>
    <w:rsid w:val="57672F12"/>
    <w:rsid w:val="57675BA1"/>
    <w:rsid w:val="576912FA"/>
    <w:rsid w:val="576E11A2"/>
    <w:rsid w:val="57D02C64"/>
    <w:rsid w:val="57D66815"/>
    <w:rsid w:val="57E335DF"/>
    <w:rsid w:val="58042049"/>
    <w:rsid w:val="580659DA"/>
    <w:rsid w:val="58102660"/>
    <w:rsid w:val="581C3428"/>
    <w:rsid w:val="58353010"/>
    <w:rsid w:val="584274DB"/>
    <w:rsid w:val="586D0D48"/>
    <w:rsid w:val="589F4975"/>
    <w:rsid w:val="58B61CB9"/>
    <w:rsid w:val="58BB7916"/>
    <w:rsid w:val="58D63D1E"/>
    <w:rsid w:val="58EF5EC9"/>
    <w:rsid w:val="58F36E51"/>
    <w:rsid w:val="58FF717A"/>
    <w:rsid w:val="59024894"/>
    <w:rsid w:val="59043D39"/>
    <w:rsid w:val="59134455"/>
    <w:rsid w:val="592062E6"/>
    <w:rsid w:val="592324F7"/>
    <w:rsid w:val="59275449"/>
    <w:rsid w:val="594E1B92"/>
    <w:rsid w:val="595347AB"/>
    <w:rsid w:val="59550740"/>
    <w:rsid w:val="597638E0"/>
    <w:rsid w:val="59852994"/>
    <w:rsid w:val="599F01C2"/>
    <w:rsid w:val="59A26483"/>
    <w:rsid w:val="59AF6DF2"/>
    <w:rsid w:val="59BE7AFF"/>
    <w:rsid w:val="59C8786B"/>
    <w:rsid w:val="59CF4D9E"/>
    <w:rsid w:val="59D21C58"/>
    <w:rsid w:val="5A1D1FC5"/>
    <w:rsid w:val="5A200E2A"/>
    <w:rsid w:val="5A2E4BB0"/>
    <w:rsid w:val="5A396423"/>
    <w:rsid w:val="5A951B44"/>
    <w:rsid w:val="5A981634"/>
    <w:rsid w:val="5ABD5892"/>
    <w:rsid w:val="5ADA39FB"/>
    <w:rsid w:val="5AE16044"/>
    <w:rsid w:val="5AE2133C"/>
    <w:rsid w:val="5AE34FA5"/>
    <w:rsid w:val="5B16524A"/>
    <w:rsid w:val="5B244687"/>
    <w:rsid w:val="5B35552B"/>
    <w:rsid w:val="5B3C46B5"/>
    <w:rsid w:val="5B3C70CB"/>
    <w:rsid w:val="5B4068B9"/>
    <w:rsid w:val="5B4E6197"/>
    <w:rsid w:val="5B501F0F"/>
    <w:rsid w:val="5B571ABB"/>
    <w:rsid w:val="5B5A153F"/>
    <w:rsid w:val="5B61411C"/>
    <w:rsid w:val="5B661732"/>
    <w:rsid w:val="5BB75A49"/>
    <w:rsid w:val="5BB95D06"/>
    <w:rsid w:val="5BC21A19"/>
    <w:rsid w:val="5BD31C44"/>
    <w:rsid w:val="5BE746CC"/>
    <w:rsid w:val="5BF154A0"/>
    <w:rsid w:val="5C1565FF"/>
    <w:rsid w:val="5C26303A"/>
    <w:rsid w:val="5C3220B6"/>
    <w:rsid w:val="5C48274C"/>
    <w:rsid w:val="5C9F36B8"/>
    <w:rsid w:val="5CA27D08"/>
    <w:rsid w:val="5CE44AD3"/>
    <w:rsid w:val="5CFD7E74"/>
    <w:rsid w:val="5D0134C1"/>
    <w:rsid w:val="5D137173"/>
    <w:rsid w:val="5D155B21"/>
    <w:rsid w:val="5D221689"/>
    <w:rsid w:val="5D2F4949"/>
    <w:rsid w:val="5D350FC0"/>
    <w:rsid w:val="5D795DB7"/>
    <w:rsid w:val="5D8205DF"/>
    <w:rsid w:val="5DBE3EA2"/>
    <w:rsid w:val="5E006ACA"/>
    <w:rsid w:val="5E2733D0"/>
    <w:rsid w:val="5E2C5922"/>
    <w:rsid w:val="5E617BB3"/>
    <w:rsid w:val="5E725175"/>
    <w:rsid w:val="5E734DF0"/>
    <w:rsid w:val="5E7C4259"/>
    <w:rsid w:val="5E8C7BB6"/>
    <w:rsid w:val="5EB975B5"/>
    <w:rsid w:val="5EE4309A"/>
    <w:rsid w:val="5EE56833"/>
    <w:rsid w:val="5EF22D7B"/>
    <w:rsid w:val="5F0454EA"/>
    <w:rsid w:val="5F3B7088"/>
    <w:rsid w:val="5F447FDD"/>
    <w:rsid w:val="5F541D0A"/>
    <w:rsid w:val="5F562317"/>
    <w:rsid w:val="5F7F0725"/>
    <w:rsid w:val="5F930DF8"/>
    <w:rsid w:val="5F962C10"/>
    <w:rsid w:val="5FB92779"/>
    <w:rsid w:val="5FC81B31"/>
    <w:rsid w:val="60146320"/>
    <w:rsid w:val="60363EAD"/>
    <w:rsid w:val="60427649"/>
    <w:rsid w:val="604858AA"/>
    <w:rsid w:val="608B5A6C"/>
    <w:rsid w:val="60982C77"/>
    <w:rsid w:val="60A40EB9"/>
    <w:rsid w:val="60B427BF"/>
    <w:rsid w:val="60B44395"/>
    <w:rsid w:val="60B97475"/>
    <w:rsid w:val="60D46E4F"/>
    <w:rsid w:val="60D62EB6"/>
    <w:rsid w:val="60E263B8"/>
    <w:rsid w:val="61000F3B"/>
    <w:rsid w:val="610F7448"/>
    <w:rsid w:val="61123A5A"/>
    <w:rsid w:val="61227EAA"/>
    <w:rsid w:val="61387EE8"/>
    <w:rsid w:val="613F0A5C"/>
    <w:rsid w:val="61554981"/>
    <w:rsid w:val="61677EC6"/>
    <w:rsid w:val="616A4EEF"/>
    <w:rsid w:val="619012B7"/>
    <w:rsid w:val="61BE2338"/>
    <w:rsid w:val="62201841"/>
    <w:rsid w:val="62451A52"/>
    <w:rsid w:val="628250A4"/>
    <w:rsid w:val="62DE326F"/>
    <w:rsid w:val="62E73159"/>
    <w:rsid w:val="62EA49F7"/>
    <w:rsid w:val="62F354C1"/>
    <w:rsid w:val="62F441C5"/>
    <w:rsid w:val="634B4390"/>
    <w:rsid w:val="634F59A9"/>
    <w:rsid w:val="635F0E1F"/>
    <w:rsid w:val="636B538A"/>
    <w:rsid w:val="636D0775"/>
    <w:rsid w:val="6377272F"/>
    <w:rsid w:val="638536B6"/>
    <w:rsid w:val="63D062E3"/>
    <w:rsid w:val="642301C1"/>
    <w:rsid w:val="642A0396"/>
    <w:rsid w:val="644D7725"/>
    <w:rsid w:val="644E6E76"/>
    <w:rsid w:val="645D6526"/>
    <w:rsid w:val="645F1B9D"/>
    <w:rsid w:val="64610207"/>
    <w:rsid w:val="64673785"/>
    <w:rsid w:val="64793010"/>
    <w:rsid w:val="64841461"/>
    <w:rsid w:val="64A74B3F"/>
    <w:rsid w:val="64AA4E0B"/>
    <w:rsid w:val="64E54EC3"/>
    <w:rsid w:val="64ED42F7"/>
    <w:rsid w:val="650E75E4"/>
    <w:rsid w:val="651433B0"/>
    <w:rsid w:val="65222FC4"/>
    <w:rsid w:val="652D5FDB"/>
    <w:rsid w:val="6553506E"/>
    <w:rsid w:val="655F79A3"/>
    <w:rsid w:val="65681E73"/>
    <w:rsid w:val="65773730"/>
    <w:rsid w:val="659154C8"/>
    <w:rsid w:val="65985371"/>
    <w:rsid w:val="65B011BE"/>
    <w:rsid w:val="65E47E23"/>
    <w:rsid w:val="65E53413"/>
    <w:rsid w:val="65F71217"/>
    <w:rsid w:val="665F74AA"/>
    <w:rsid w:val="6663687E"/>
    <w:rsid w:val="666D7E19"/>
    <w:rsid w:val="66863C3B"/>
    <w:rsid w:val="66D776F8"/>
    <w:rsid w:val="66DD06E0"/>
    <w:rsid w:val="66F127F8"/>
    <w:rsid w:val="66F63C5D"/>
    <w:rsid w:val="66F86C0B"/>
    <w:rsid w:val="670C5884"/>
    <w:rsid w:val="670D624C"/>
    <w:rsid w:val="67242BCD"/>
    <w:rsid w:val="67381478"/>
    <w:rsid w:val="67394B60"/>
    <w:rsid w:val="67424E02"/>
    <w:rsid w:val="674E39C0"/>
    <w:rsid w:val="675F45E9"/>
    <w:rsid w:val="676723DA"/>
    <w:rsid w:val="67A23584"/>
    <w:rsid w:val="67A25996"/>
    <w:rsid w:val="67B93654"/>
    <w:rsid w:val="67F67DDC"/>
    <w:rsid w:val="680C723C"/>
    <w:rsid w:val="68102E33"/>
    <w:rsid w:val="681C5D18"/>
    <w:rsid w:val="68791880"/>
    <w:rsid w:val="689C2C37"/>
    <w:rsid w:val="68A11AF9"/>
    <w:rsid w:val="68EC49A5"/>
    <w:rsid w:val="68F9502E"/>
    <w:rsid w:val="68FE2FAA"/>
    <w:rsid w:val="690D6182"/>
    <w:rsid w:val="691406ED"/>
    <w:rsid w:val="69330DF7"/>
    <w:rsid w:val="694806C9"/>
    <w:rsid w:val="694E3F32"/>
    <w:rsid w:val="695C2770"/>
    <w:rsid w:val="698536CB"/>
    <w:rsid w:val="698764EA"/>
    <w:rsid w:val="699456BD"/>
    <w:rsid w:val="69EE301F"/>
    <w:rsid w:val="6A076480"/>
    <w:rsid w:val="6A1026F9"/>
    <w:rsid w:val="6A314E58"/>
    <w:rsid w:val="6A436179"/>
    <w:rsid w:val="6A4507D5"/>
    <w:rsid w:val="6A7061D6"/>
    <w:rsid w:val="6A7B065E"/>
    <w:rsid w:val="6A8671A6"/>
    <w:rsid w:val="6A8B2F63"/>
    <w:rsid w:val="6A8F3072"/>
    <w:rsid w:val="6A9570EF"/>
    <w:rsid w:val="6ABC1704"/>
    <w:rsid w:val="6AC02C0D"/>
    <w:rsid w:val="6AD03A26"/>
    <w:rsid w:val="6AFC79BD"/>
    <w:rsid w:val="6B3C5B9F"/>
    <w:rsid w:val="6B6630F4"/>
    <w:rsid w:val="6B6932A5"/>
    <w:rsid w:val="6B6D2669"/>
    <w:rsid w:val="6B867605"/>
    <w:rsid w:val="6BA31452"/>
    <w:rsid w:val="6BB10FD5"/>
    <w:rsid w:val="6BC229B5"/>
    <w:rsid w:val="6BCD76BE"/>
    <w:rsid w:val="6BDA7CFF"/>
    <w:rsid w:val="6BEC5C84"/>
    <w:rsid w:val="6BEF6070"/>
    <w:rsid w:val="6C0C624A"/>
    <w:rsid w:val="6C1236EB"/>
    <w:rsid w:val="6C231969"/>
    <w:rsid w:val="6C295DED"/>
    <w:rsid w:val="6C6727B2"/>
    <w:rsid w:val="6C7252F8"/>
    <w:rsid w:val="6C7C5FAF"/>
    <w:rsid w:val="6C8247FD"/>
    <w:rsid w:val="6C903EC8"/>
    <w:rsid w:val="6CC90C2D"/>
    <w:rsid w:val="6CCC5D86"/>
    <w:rsid w:val="6CD82036"/>
    <w:rsid w:val="6CDC6F8F"/>
    <w:rsid w:val="6CDC7B2E"/>
    <w:rsid w:val="6CE60925"/>
    <w:rsid w:val="6CF06A9E"/>
    <w:rsid w:val="6CFA2F04"/>
    <w:rsid w:val="6D162FB8"/>
    <w:rsid w:val="6D210722"/>
    <w:rsid w:val="6D2E048C"/>
    <w:rsid w:val="6D3C0545"/>
    <w:rsid w:val="6D54624D"/>
    <w:rsid w:val="6D687008"/>
    <w:rsid w:val="6D6B459B"/>
    <w:rsid w:val="6D7258DD"/>
    <w:rsid w:val="6D7662CE"/>
    <w:rsid w:val="6D7E6441"/>
    <w:rsid w:val="6D863327"/>
    <w:rsid w:val="6D935305"/>
    <w:rsid w:val="6DB2110A"/>
    <w:rsid w:val="6DB6259F"/>
    <w:rsid w:val="6DDB1B0C"/>
    <w:rsid w:val="6E032E11"/>
    <w:rsid w:val="6E08037D"/>
    <w:rsid w:val="6E0B6ED5"/>
    <w:rsid w:val="6E192634"/>
    <w:rsid w:val="6E3B3F7D"/>
    <w:rsid w:val="6E421B8B"/>
    <w:rsid w:val="6E53171A"/>
    <w:rsid w:val="6E535B69"/>
    <w:rsid w:val="6E6536B4"/>
    <w:rsid w:val="6E7F433B"/>
    <w:rsid w:val="6E823952"/>
    <w:rsid w:val="6E83370F"/>
    <w:rsid w:val="6E891568"/>
    <w:rsid w:val="6EB93B02"/>
    <w:rsid w:val="6EC732B4"/>
    <w:rsid w:val="6EE97E30"/>
    <w:rsid w:val="6F311AC2"/>
    <w:rsid w:val="6F451169"/>
    <w:rsid w:val="6F814935"/>
    <w:rsid w:val="6F8C4053"/>
    <w:rsid w:val="6F930E11"/>
    <w:rsid w:val="6FAD7A87"/>
    <w:rsid w:val="6FC14FAF"/>
    <w:rsid w:val="6FD41061"/>
    <w:rsid w:val="6FEF3872"/>
    <w:rsid w:val="70390D6C"/>
    <w:rsid w:val="70740265"/>
    <w:rsid w:val="709646F3"/>
    <w:rsid w:val="70A9288A"/>
    <w:rsid w:val="70C51D39"/>
    <w:rsid w:val="70C745CA"/>
    <w:rsid w:val="70CB40BA"/>
    <w:rsid w:val="70CC398E"/>
    <w:rsid w:val="70D8659F"/>
    <w:rsid w:val="70FC24C5"/>
    <w:rsid w:val="710730EC"/>
    <w:rsid w:val="711579BE"/>
    <w:rsid w:val="715336F2"/>
    <w:rsid w:val="7156642C"/>
    <w:rsid w:val="715C2F64"/>
    <w:rsid w:val="71704C61"/>
    <w:rsid w:val="717604C9"/>
    <w:rsid w:val="71880E18"/>
    <w:rsid w:val="71915F81"/>
    <w:rsid w:val="719630FA"/>
    <w:rsid w:val="719E300E"/>
    <w:rsid w:val="71B132B0"/>
    <w:rsid w:val="71BF2350"/>
    <w:rsid w:val="71C652FE"/>
    <w:rsid w:val="71ED21B3"/>
    <w:rsid w:val="72062ED0"/>
    <w:rsid w:val="72114AAA"/>
    <w:rsid w:val="722515A8"/>
    <w:rsid w:val="724A0812"/>
    <w:rsid w:val="724A52DC"/>
    <w:rsid w:val="724D7FA5"/>
    <w:rsid w:val="72502024"/>
    <w:rsid w:val="7298775E"/>
    <w:rsid w:val="72A8785B"/>
    <w:rsid w:val="72B664E0"/>
    <w:rsid w:val="72CA5614"/>
    <w:rsid w:val="72D02258"/>
    <w:rsid w:val="72D52FCE"/>
    <w:rsid w:val="72E231CE"/>
    <w:rsid w:val="730A7AA7"/>
    <w:rsid w:val="732452B0"/>
    <w:rsid w:val="732D67A7"/>
    <w:rsid w:val="734B749E"/>
    <w:rsid w:val="73575823"/>
    <w:rsid w:val="73607B9C"/>
    <w:rsid w:val="737E0329"/>
    <w:rsid w:val="73816918"/>
    <w:rsid w:val="73894506"/>
    <w:rsid w:val="738E06F6"/>
    <w:rsid w:val="73D747B2"/>
    <w:rsid w:val="73F34921"/>
    <w:rsid w:val="73FD2A9B"/>
    <w:rsid w:val="74192476"/>
    <w:rsid w:val="741C7E24"/>
    <w:rsid w:val="745873A9"/>
    <w:rsid w:val="7463285B"/>
    <w:rsid w:val="748E2EBD"/>
    <w:rsid w:val="74AB0605"/>
    <w:rsid w:val="74B11B3B"/>
    <w:rsid w:val="74BF3F35"/>
    <w:rsid w:val="74C4575A"/>
    <w:rsid w:val="74D43BDC"/>
    <w:rsid w:val="74EF6A0A"/>
    <w:rsid w:val="74F33324"/>
    <w:rsid w:val="75023186"/>
    <w:rsid w:val="752F4586"/>
    <w:rsid w:val="75581C94"/>
    <w:rsid w:val="75600A65"/>
    <w:rsid w:val="7563387A"/>
    <w:rsid w:val="756A6DEA"/>
    <w:rsid w:val="75750A98"/>
    <w:rsid w:val="759A1D67"/>
    <w:rsid w:val="75A650F5"/>
    <w:rsid w:val="75E672A0"/>
    <w:rsid w:val="760D59D6"/>
    <w:rsid w:val="764A3CD3"/>
    <w:rsid w:val="765042D0"/>
    <w:rsid w:val="766A1C7F"/>
    <w:rsid w:val="76702E8B"/>
    <w:rsid w:val="767F4589"/>
    <w:rsid w:val="76C84BF7"/>
    <w:rsid w:val="76DC2782"/>
    <w:rsid w:val="77171FB8"/>
    <w:rsid w:val="7740651B"/>
    <w:rsid w:val="77453BED"/>
    <w:rsid w:val="774B7FC3"/>
    <w:rsid w:val="77675644"/>
    <w:rsid w:val="77690189"/>
    <w:rsid w:val="776E0DC5"/>
    <w:rsid w:val="77B910C6"/>
    <w:rsid w:val="77BA6851"/>
    <w:rsid w:val="77F261B3"/>
    <w:rsid w:val="78172436"/>
    <w:rsid w:val="78362761"/>
    <w:rsid w:val="78524552"/>
    <w:rsid w:val="786310A3"/>
    <w:rsid w:val="78880775"/>
    <w:rsid w:val="789E7863"/>
    <w:rsid w:val="78A27DF6"/>
    <w:rsid w:val="78D24D05"/>
    <w:rsid w:val="78D9001A"/>
    <w:rsid w:val="78EB02AC"/>
    <w:rsid w:val="78FB47EE"/>
    <w:rsid w:val="79142B24"/>
    <w:rsid w:val="7925297D"/>
    <w:rsid w:val="794B223C"/>
    <w:rsid w:val="795D5ACB"/>
    <w:rsid w:val="796926C2"/>
    <w:rsid w:val="796F7259"/>
    <w:rsid w:val="797161CD"/>
    <w:rsid w:val="799A02D2"/>
    <w:rsid w:val="79DB6678"/>
    <w:rsid w:val="79E41D48"/>
    <w:rsid w:val="79E5262F"/>
    <w:rsid w:val="79FC6F2D"/>
    <w:rsid w:val="7A02374B"/>
    <w:rsid w:val="7A0A15D1"/>
    <w:rsid w:val="7A0E4F5E"/>
    <w:rsid w:val="7A3E3B4E"/>
    <w:rsid w:val="7A6A4943"/>
    <w:rsid w:val="7A94551C"/>
    <w:rsid w:val="7AAB2866"/>
    <w:rsid w:val="7AC16928"/>
    <w:rsid w:val="7ADD6223"/>
    <w:rsid w:val="7B273FF1"/>
    <w:rsid w:val="7B2A7C2F"/>
    <w:rsid w:val="7B51110C"/>
    <w:rsid w:val="7B607549"/>
    <w:rsid w:val="7B7315D6"/>
    <w:rsid w:val="7BB31AED"/>
    <w:rsid w:val="7BE65B58"/>
    <w:rsid w:val="7BF344C5"/>
    <w:rsid w:val="7BFC15CB"/>
    <w:rsid w:val="7C06069C"/>
    <w:rsid w:val="7C191832"/>
    <w:rsid w:val="7C32728E"/>
    <w:rsid w:val="7C4114E7"/>
    <w:rsid w:val="7C440B4F"/>
    <w:rsid w:val="7C462E05"/>
    <w:rsid w:val="7C7C270C"/>
    <w:rsid w:val="7C7C37A5"/>
    <w:rsid w:val="7C93004B"/>
    <w:rsid w:val="7CA76433"/>
    <w:rsid w:val="7CC61BD9"/>
    <w:rsid w:val="7D080444"/>
    <w:rsid w:val="7D5B3360"/>
    <w:rsid w:val="7D636FB6"/>
    <w:rsid w:val="7D6569F7"/>
    <w:rsid w:val="7D7A661D"/>
    <w:rsid w:val="7D883096"/>
    <w:rsid w:val="7D8831F9"/>
    <w:rsid w:val="7D8A1852"/>
    <w:rsid w:val="7D9C3DC9"/>
    <w:rsid w:val="7DA3248E"/>
    <w:rsid w:val="7DC26844"/>
    <w:rsid w:val="7DD00F8E"/>
    <w:rsid w:val="7DF61E58"/>
    <w:rsid w:val="7E046E5D"/>
    <w:rsid w:val="7E14311B"/>
    <w:rsid w:val="7E195778"/>
    <w:rsid w:val="7E312A4C"/>
    <w:rsid w:val="7E41673E"/>
    <w:rsid w:val="7E4B4A8C"/>
    <w:rsid w:val="7E510A0E"/>
    <w:rsid w:val="7E70618F"/>
    <w:rsid w:val="7EA26F5F"/>
    <w:rsid w:val="7EBC78FA"/>
    <w:rsid w:val="7ED26EEB"/>
    <w:rsid w:val="7EDE145C"/>
    <w:rsid w:val="7F0D1E11"/>
    <w:rsid w:val="7F340705"/>
    <w:rsid w:val="7F49540C"/>
    <w:rsid w:val="7F93642B"/>
    <w:rsid w:val="7F9D30C5"/>
    <w:rsid w:val="7F9D5B80"/>
    <w:rsid w:val="7FAD3176"/>
    <w:rsid w:val="7FB06E37"/>
    <w:rsid w:val="7FCF6FF7"/>
    <w:rsid w:val="7FE01204"/>
    <w:rsid w:val="7FEA1C7F"/>
    <w:rsid w:val="7FF177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27"/>
    <w:autoRedefine/>
    <w:qFormat/>
    <w:uiPriority w:val="9"/>
    <w:pPr>
      <w:keepNext/>
      <w:keepLines/>
      <w:spacing w:before="100" w:beforeLines="100" w:after="100" w:afterLines="100"/>
      <w:ind w:firstLine="0" w:firstLineChars="0"/>
      <w:jc w:val="center"/>
      <w:outlineLvl w:val="0"/>
    </w:pPr>
    <w:rPr>
      <w:rFonts w:ascii="黑体" w:hAnsi="黑体" w:eastAsia="黑体"/>
      <w:b/>
      <w:bCs/>
      <w:kern w:val="44"/>
      <w:sz w:val="32"/>
      <w:szCs w:val="44"/>
    </w:rPr>
  </w:style>
  <w:style w:type="paragraph" w:styleId="4">
    <w:name w:val="heading 2"/>
    <w:basedOn w:val="1"/>
    <w:next w:val="1"/>
    <w:link w:val="28"/>
    <w:unhideWhenUsed/>
    <w:qFormat/>
    <w:uiPriority w:val="9"/>
    <w:pPr>
      <w:keepNext/>
      <w:keepLines/>
      <w:spacing w:before="50" w:beforeLines="50" w:after="50" w:afterLines="50"/>
      <w:outlineLvl w:val="1"/>
    </w:pPr>
    <w:rPr>
      <w:rFonts w:ascii="黑体" w:hAnsi="黑体" w:eastAsia="黑体" w:cstheme="majorBidi"/>
      <w:sz w:val="30"/>
      <w:szCs w:val="32"/>
    </w:rPr>
  </w:style>
  <w:style w:type="paragraph" w:styleId="5">
    <w:name w:val="heading 3"/>
    <w:basedOn w:val="1"/>
    <w:next w:val="1"/>
    <w:link w:val="29"/>
    <w:autoRedefine/>
    <w:unhideWhenUsed/>
    <w:qFormat/>
    <w:uiPriority w:val="9"/>
    <w:pPr>
      <w:keepNext/>
      <w:keepLines/>
      <w:outlineLvl w:val="2"/>
    </w:pPr>
    <w:rPr>
      <w:rFonts w:ascii="黑体" w:hAnsi="黑体" w:eastAsia="黑体"/>
      <w:b/>
      <w:bCs/>
      <w:sz w:val="28"/>
      <w:szCs w:val="32"/>
    </w:rPr>
  </w:style>
  <w:style w:type="paragraph" w:styleId="6">
    <w:name w:val="heading 4"/>
    <w:basedOn w:val="1"/>
    <w:next w:val="1"/>
    <w:link w:val="30"/>
    <w:autoRedefine/>
    <w:unhideWhenUsed/>
    <w:qFormat/>
    <w:uiPriority w:val="9"/>
    <w:pPr>
      <w:keepNext/>
      <w:keepLines/>
      <w:outlineLvl w:val="3"/>
    </w:pPr>
    <w:rPr>
      <w:rFonts w:ascii="黑体" w:hAnsi="黑体" w:eastAsia="黑体" w:cstheme="majorBidi"/>
      <w:b/>
      <w:bCs/>
      <w:szCs w:val="28"/>
    </w:rPr>
  </w:style>
  <w:style w:type="paragraph" w:styleId="7">
    <w:name w:val="heading 5"/>
    <w:basedOn w:val="1"/>
    <w:next w:val="1"/>
    <w:link w:val="31"/>
    <w:autoRedefine/>
    <w:unhideWhenUsed/>
    <w:qFormat/>
    <w:uiPriority w:val="9"/>
    <w:pPr>
      <w:keepNext/>
      <w:keepLines/>
      <w:outlineLvl w:val="4"/>
    </w:pPr>
    <w:rPr>
      <w:rFonts w:ascii="宋体" w:hAnsi="宋体"/>
      <w:b/>
      <w:bCs/>
      <w:szCs w:val="28"/>
    </w:rPr>
  </w:style>
  <w:style w:type="paragraph" w:styleId="8">
    <w:name w:val="heading 6"/>
    <w:basedOn w:val="1"/>
    <w:next w:val="1"/>
    <w:autoRedefine/>
    <w:semiHidden/>
    <w:unhideWhenUsed/>
    <w:qFormat/>
    <w:uiPriority w:val="9"/>
    <w:pPr>
      <w:keepNext/>
      <w:keepLines/>
      <w:ind w:firstLine="480"/>
      <w:outlineLvl w:val="5"/>
    </w:pPr>
    <w:rPr>
      <w:rFonts w:ascii="宋体" w:hAnsi="宋体" w:cs="Times New Roman"/>
      <w:b/>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1"/>
    <w:link w:val="32"/>
    <w:autoRedefine/>
    <w:unhideWhenUsed/>
    <w:qFormat/>
    <w:uiPriority w:val="99"/>
    <w:pPr>
      <w:adjustRightInd w:val="0"/>
      <w:snapToGrid w:val="0"/>
    </w:pPr>
    <w:rPr>
      <w:rFonts w:cs="Times New Roman"/>
    </w:rPr>
  </w:style>
  <w:style w:type="paragraph" w:styleId="9">
    <w:name w:val="toc 7"/>
    <w:basedOn w:val="1"/>
    <w:next w:val="1"/>
    <w:autoRedefine/>
    <w:semiHidden/>
    <w:unhideWhenUsed/>
    <w:uiPriority w:val="39"/>
    <w:pPr>
      <w:ind w:left="2520" w:leftChars="1200"/>
    </w:pPr>
  </w:style>
  <w:style w:type="paragraph" w:styleId="10">
    <w:name w:val="annotation text"/>
    <w:basedOn w:val="1"/>
    <w:autoRedefine/>
    <w:unhideWhenUsed/>
    <w:qFormat/>
    <w:uiPriority w:val="99"/>
    <w:pPr>
      <w:jc w:val="left"/>
    </w:pPr>
    <w:rPr>
      <w:rFonts w:ascii="Calibri" w:hAnsi="Calibri"/>
      <w:sz w:val="21"/>
    </w:rPr>
  </w:style>
  <w:style w:type="paragraph" w:styleId="11">
    <w:name w:val="Body Text"/>
    <w:basedOn w:val="1"/>
    <w:link w:val="56"/>
    <w:autoRedefine/>
    <w:unhideWhenUsed/>
    <w:qFormat/>
    <w:uiPriority w:val="99"/>
    <w:pPr>
      <w:spacing w:after="120"/>
    </w:pPr>
  </w:style>
  <w:style w:type="paragraph" w:styleId="12">
    <w:name w:val="toc 3"/>
    <w:basedOn w:val="1"/>
    <w:next w:val="1"/>
    <w:unhideWhenUsed/>
    <w:qFormat/>
    <w:uiPriority w:val="39"/>
    <w:pPr>
      <w:ind w:left="840" w:leftChars="400"/>
    </w:pPr>
  </w:style>
  <w:style w:type="paragraph" w:styleId="13">
    <w:name w:val="footer"/>
    <w:basedOn w:val="1"/>
    <w:link w:val="34"/>
    <w:unhideWhenUsed/>
    <w:qFormat/>
    <w:uiPriority w:val="99"/>
    <w:pPr>
      <w:tabs>
        <w:tab w:val="center" w:pos="4153"/>
        <w:tab w:val="right" w:pos="8306"/>
      </w:tabs>
      <w:snapToGrid w:val="0"/>
      <w:jc w:val="left"/>
    </w:pPr>
    <w:rPr>
      <w:rFonts w:ascii="宋体" w:hAnsi="宋体"/>
      <w:szCs w:val="18"/>
    </w:rPr>
  </w:style>
  <w:style w:type="paragraph" w:styleId="14">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toc 4"/>
    <w:basedOn w:val="1"/>
    <w:next w:val="1"/>
    <w:autoRedefine/>
    <w:semiHidden/>
    <w:unhideWhenUsed/>
    <w:qFormat/>
    <w:uiPriority w:val="39"/>
    <w:pPr>
      <w:ind w:left="1260" w:leftChars="600"/>
    </w:pPr>
  </w:style>
  <w:style w:type="paragraph" w:styleId="17">
    <w:name w:val="table of figures"/>
    <w:basedOn w:val="1"/>
    <w:next w:val="1"/>
    <w:unhideWhenUsed/>
    <w:qFormat/>
    <w:uiPriority w:val="99"/>
    <w:pPr>
      <w:spacing w:line="480" w:lineRule="auto"/>
      <w:ind w:firstLine="0" w:firstLineChars="0"/>
      <w:jc w:val="center"/>
    </w:pPr>
    <w:rPr>
      <w:rFonts w:ascii="黑体" w:hAnsi="黑体" w:eastAsia="黑体"/>
      <w:sz w:val="21"/>
    </w:rPr>
  </w:style>
  <w:style w:type="paragraph" w:styleId="18">
    <w:name w:val="toc 2"/>
    <w:basedOn w:val="1"/>
    <w:next w:val="1"/>
    <w:autoRedefine/>
    <w:unhideWhenUsed/>
    <w:qFormat/>
    <w:uiPriority w:val="39"/>
    <w:pPr>
      <w:ind w:left="420" w:leftChars="200"/>
    </w:pPr>
  </w:style>
  <w:style w:type="paragraph" w:styleId="19">
    <w:name w:val="Body Text 2"/>
    <w:basedOn w:val="1"/>
    <w:link w:val="60"/>
    <w:qFormat/>
    <w:uiPriority w:val="0"/>
    <w:pPr>
      <w:spacing w:after="120" w:line="480" w:lineRule="auto"/>
      <w:ind w:firstLine="883"/>
    </w:pPr>
    <w:rPr>
      <w:rFonts w:ascii="Calibri" w:hAnsi="Calibri" w:eastAsia="新宋体" w:cs="Times New Roman"/>
      <w:sz w:val="28"/>
    </w:rPr>
  </w:style>
  <w:style w:type="paragraph" w:styleId="20">
    <w:name w:val="Normal (Web)"/>
    <w:basedOn w:val="1"/>
    <w:autoRedefine/>
    <w:unhideWhenUsed/>
    <w:qFormat/>
    <w:uiPriority w:val="99"/>
  </w:style>
  <w:style w:type="table" w:styleId="22">
    <w:name w:val="Table Grid"/>
    <w:basedOn w:val="21"/>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22"/>
    <w:rPr>
      <w:b/>
      <w:bCs/>
    </w:rPr>
  </w:style>
  <w:style w:type="character" w:styleId="25">
    <w:name w:val="Hyperlink"/>
    <w:basedOn w:val="23"/>
    <w:autoRedefine/>
    <w:unhideWhenUsed/>
    <w:qFormat/>
    <w:uiPriority w:val="99"/>
    <w:rPr>
      <w:color w:val="0000FF"/>
      <w:u w:val="single"/>
    </w:rPr>
  </w:style>
  <w:style w:type="character" w:styleId="26">
    <w:name w:val="annotation reference"/>
    <w:basedOn w:val="23"/>
    <w:autoRedefine/>
    <w:semiHidden/>
    <w:unhideWhenUsed/>
    <w:qFormat/>
    <w:uiPriority w:val="99"/>
    <w:rPr>
      <w:sz w:val="21"/>
      <w:szCs w:val="21"/>
    </w:rPr>
  </w:style>
  <w:style w:type="character" w:customStyle="1" w:styleId="27">
    <w:name w:val="标题 1 字符"/>
    <w:basedOn w:val="23"/>
    <w:link w:val="3"/>
    <w:autoRedefine/>
    <w:qFormat/>
    <w:uiPriority w:val="9"/>
    <w:rPr>
      <w:rFonts w:ascii="黑体" w:hAnsi="黑体" w:eastAsia="黑体"/>
      <w:b/>
      <w:bCs/>
      <w:kern w:val="44"/>
      <w:sz w:val="32"/>
      <w:szCs w:val="44"/>
    </w:rPr>
  </w:style>
  <w:style w:type="character" w:customStyle="1" w:styleId="28">
    <w:name w:val="标题 2 字符"/>
    <w:basedOn w:val="23"/>
    <w:link w:val="4"/>
    <w:autoRedefine/>
    <w:qFormat/>
    <w:uiPriority w:val="9"/>
    <w:rPr>
      <w:rFonts w:ascii="黑体" w:hAnsi="黑体" w:eastAsia="黑体" w:cstheme="majorBidi"/>
      <w:b/>
      <w:bCs/>
      <w:sz w:val="30"/>
      <w:szCs w:val="32"/>
    </w:rPr>
  </w:style>
  <w:style w:type="character" w:customStyle="1" w:styleId="29">
    <w:name w:val="标题 3 字符"/>
    <w:basedOn w:val="23"/>
    <w:link w:val="5"/>
    <w:autoRedefine/>
    <w:qFormat/>
    <w:uiPriority w:val="9"/>
    <w:rPr>
      <w:rFonts w:ascii="黑体" w:hAnsi="黑体" w:eastAsia="黑体"/>
      <w:b/>
      <w:bCs/>
      <w:sz w:val="28"/>
      <w:szCs w:val="32"/>
    </w:rPr>
  </w:style>
  <w:style w:type="character" w:customStyle="1" w:styleId="30">
    <w:name w:val="标题 4 字符"/>
    <w:basedOn w:val="23"/>
    <w:link w:val="6"/>
    <w:autoRedefine/>
    <w:qFormat/>
    <w:uiPriority w:val="9"/>
    <w:rPr>
      <w:rFonts w:ascii="黑体" w:hAnsi="黑体" w:eastAsia="黑体" w:cstheme="majorBidi"/>
      <w:b/>
      <w:bCs/>
      <w:sz w:val="24"/>
      <w:szCs w:val="28"/>
    </w:rPr>
  </w:style>
  <w:style w:type="character" w:customStyle="1" w:styleId="31">
    <w:name w:val="标题 5 字符"/>
    <w:basedOn w:val="23"/>
    <w:link w:val="7"/>
    <w:autoRedefine/>
    <w:qFormat/>
    <w:uiPriority w:val="9"/>
    <w:rPr>
      <w:rFonts w:ascii="宋体" w:hAnsi="宋体" w:eastAsia="宋体"/>
      <w:b/>
      <w:bCs/>
      <w:sz w:val="24"/>
      <w:szCs w:val="28"/>
    </w:rPr>
  </w:style>
  <w:style w:type="character" w:customStyle="1" w:styleId="32">
    <w:name w:val="正文文本缩进 2 字符"/>
    <w:basedOn w:val="23"/>
    <w:link w:val="2"/>
    <w:autoRedefine/>
    <w:semiHidden/>
    <w:qFormat/>
    <w:uiPriority w:val="99"/>
    <w:rPr>
      <w:rFonts w:ascii="Times New Roman" w:hAnsi="Times New Roman" w:eastAsia="宋体" w:cs="Times New Roman"/>
      <w:sz w:val="24"/>
    </w:rPr>
  </w:style>
  <w:style w:type="paragraph" w:customStyle="1" w:styleId="33">
    <w:name w:val="表格"/>
    <w:basedOn w:val="1"/>
    <w:qFormat/>
    <w:uiPriority w:val="0"/>
    <w:pPr>
      <w:adjustRightInd w:val="0"/>
      <w:snapToGrid w:val="0"/>
      <w:spacing w:before="50" w:beforeLines="50" w:after="50" w:afterLines="50" w:line="240" w:lineRule="auto"/>
      <w:ind w:firstLine="0" w:firstLineChars="0"/>
      <w:jc w:val="center"/>
    </w:pPr>
    <w:rPr>
      <w:rFonts w:cs="Times New Roman"/>
      <w:sz w:val="21"/>
    </w:rPr>
  </w:style>
  <w:style w:type="character" w:customStyle="1" w:styleId="34">
    <w:name w:val="页脚 字符"/>
    <w:basedOn w:val="23"/>
    <w:link w:val="13"/>
    <w:autoRedefine/>
    <w:qFormat/>
    <w:uiPriority w:val="99"/>
    <w:rPr>
      <w:rFonts w:ascii="宋体" w:hAnsi="宋体" w:eastAsia="宋体"/>
      <w:sz w:val="21"/>
      <w:szCs w:val="18"/>
    </w:rPr>
  </w:style>
  <w:style w:type="character" w:customStyle="1" w:styleId="35">
    <w:name w:val="页眉 字符"/>
    <w:basedOn w:val="23"/>
    <w:link w:val="14"/>
    <w:autoRedefine/>
    <w:qFormat/>
    <w:uiPriority w:val="99"/>
    <w:rPr>
      <w:sz w:val="18"/>
      <w:szCs w:val="18"/>
    </w:rPr>
  </w:style>
  <w:style w:type="table" w:customStyle="1" w:styleId="36">
    <w:name w:val="网格型2"/>
    <w:basedOn w:val="2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网格表 1 浅色1"/>
    <w:basedOn w:val="21"/>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38">
    <w:name w:val="WPSOffice手动目录 1"/>
    <w:autoRedefine/>
    <w:qFormat/>
    <w:uiPriority w:val="0"/>
    <w:rPr>
      <w:rFonts w:ascii="Times New Roman" w:hAnsi="Times New Roman" w:eastAsia="宋体" w:cs="Times New Roman"/>
      <w:lang w:val="en-US" w:eastAsia="zh-CN" w:bidi="ar-SA"/>
    </w:rPr>
  </w:style>
  <w:style w:type="paragraph" w:customStyle="1" w:styleId="3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40">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41">
    <w:name w:val="font21"/>
    <w:basedOn w:val="23"/>
    <w:autoRedefine/>
    <w:qFormat/>
    <w:uiPriority w:val="0"/>
    <w:rPr>
      <w:rFonts w:hint="eastAsia" w:ascii="宋体" w:hAnsi="宋体" w:eastAsia="宋体" w:cs="宋体"/>
      <w:color w:val="000000"/>
      <w:sz w:val="20"/>
      <w:szCs w:val="20"/>
      <w:u w:val="none"/>
    </w:rPr>
  </w:style>
  <w:style w:type="character" w:customStyle="1" w:styleId="42">
    <w:name w:val="font11"/>
    <w:basedOn w:val="23"/>
    <w:autoRedefine/>
    <w:qFormat/>
    <w:uiPriority w:val="0"/>
    <w:rPr>
      <w:rFonts w:hint="default" w:ascii="Times New Roman" w:hAnsi="Times New Roman" w:cs="Times New Roman"/>
      <w:color w:val="000000"/>
      <w:sz w:val="20"/>
      <w:szCs w:val="20"/>
      <w:u w:val="none"/>
    </w:rPr>
  </w:style>
  <w:style w:type="character" w:customStyle="1" w:styleId="43">
    <w:name w:val="font01"/>
    <w:basedOn w:val="23"/>
    <w:autoRedefine/>
    <w:qFormat/>
    <w:uiPriority w:val="0"/>
    <w:rPr>
      <w:rFonts w:hint="eastAsia" w:ascii="宋体" w:hAnsi="宋体" w:eastAsia="宋体" w:cs="宋体"/>
      <w:color w:val="000000"/>
      <w:sz w:val="20"/>
      <w:szCs w:val="20"/>
      <w:u w:val="none"/>
    </w:rPr>
  </w:style>
  <w:style w:type="character" w:customStyle="1" w:styleId="44">
    <w:name w:val="font71"/>
    <w:basedOn w:val="23"/>
    <w:autoRedefine/>
    <w:qFormat/>
    <w:uiPriority w:val="0"/>
    <w:rPr>
      <w:rFonts w:hint="eastAsia" w:ascii="宋体" w:hAnsi="宋体" w:eastAsia="宋体" w:cs="宋体"/>
      <w:color w:val="000000"/>
      <w:sz w:val="22"/>
      <w:szCs w:val="22"/>
      <w:u w:val="none"/>
    </w:rPr>
  </w:style>
  <w:style w:type="character" w:customStyle="1" w:styleId="45">
    <w:name w:val="font61"/>
    <w:basedOn w:val="23"/>
    <w:autoRedefine/>
    <w:qFormat/>
    <w:uiPriority w:val="0"/>
    <w:rPr>
      <w:rFonts w:hint="default" w:ascii="Times New Roman" w:hAnsi="Times New Roman" w:cs="Times New Roman"/>
      <w:color w:val="000000"/>
      <w:sz w:val="18"/>
      <w:szCs w:val="18"/>
      <w:u w:val="none"/>
    </w:rPr>
  </w:style>
  <w:style w:type="character" w:customStyle="1" w:styleId="46">
    <w:name w:val="font41"/>
    <w:basedOn w:val="23"/>
    <w:autoRedefine/>
    <w:qFormat/>
    <w:uiPriority w:val="0"/>
    <w:rPr>
      <w:rFonts w:hint="default" w:ascii="Times New Roman" w:hAnsi="Times New Roman" w:cs="Times New Roman"/>
      <w:color w:val="000000"/>
      <w:sz w:val="22"/>
      <w:szCs w:val="22"/>
      <w:u w:val="none"/>
    </w:rPr>
  </w:style>
  <w:style w:type="character" w:customStyle="1" w:styleId="47">
    <w:name w:val="font51"/>
    <w:basedOn w:val="23"/>
    <w:autoRedefine/>
    <w:qFormat/>
    <w:uiPriority w:val="0"/>
    <w:rPr>
      <w:rFonts w:hint="eastAsia" w:ascii="宋体" w:hAnsi="宋体" w:eastAsia="宋体" w:cs="宋体"/>
      <w:color w:val="000000"/>
      <w:sz w:val="12"/>
      <w:szCs w:val="12"/>
      <w:u w:val="none"/>
    </w:rPr>
  </w:style>
  <w:style w:type="paragraph" w:customStyle="1" w:styleId="48">
    <w:name w:val="pgc-p"/>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styleId="49">
    <w:name w:val="List Paragraph"/>
    <w:basedOn w:val="1"/>
    <w:autoRedefine/>
    <w:qFormat/>
    <w:uiPriority w:val="99"/>
  </w:style>
  <w:style w:type="character" w:customStyle="1" w:styleId="50">
    <w:name w:val="ed_ep"/>
    <w:basedOn w:val="23"/>
    <w:autoRedefine/>
    <w:qFormat/>
    <w:uiPriority w:val="0"/>
  </w:style>
  <w:style w:type="character" w:customStyle="1" w:styleId="51">
    <w:name w:val="ed_tk"/>
    <w:basedOn w:val="23"/>
    <w:qFormat/>
    <w:uiPriority w:val="0"/>
  </w:style>
  <w:style w:type="character" w:customStyle="1" w:styleId="52">
    <w:name w:val="bjh-p"/>
    <w:basedOn w:val="23"/>
    <w:autoRedefine/>
    <w:qFormat/>
    <w:uiPriority w:val="0"/>
  </w:style>
  <w:style w:type="paragraph" w:customStyle="1" w:styleId="53">
    <w:name w:val="ql-align-justify"/>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54">
    <w:name w:val="vsbcontent_start"/>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55">
    <w:name w:val="vsbcontent_end"/>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character" w:customStyle="1" w:styleId="56">
    <w:name w:val="正文文本 字符"/>
    <w:basedOn w:val="23"/>
    <w:link w:val="11"/>
    <w:autoRedefine/>
    <w:qFormat/>
    <w:uiPriority w:val="99"/>
    <w:rPr>
      <w:rFonts w:cstheme="minorBidi"/>
      <w:kern w:val="2"/>
      <w:sz w:val="24"/>
      <w:szCs w:val="24"/>
    </w:rPr>
  </w:style>
  <w:style w:type="paragraph" w:customStyle="1" w:styleId="57">
    <w:name w:val="p"/>
    <w:basedOn w:val="1"/>
    <w:autoRedefine/>
    <w:uiPriority w:val="0"/>
    <w:pPr>
      <w:widowControl/>
      <w:spacing w:before="100" w:beforeAutospacing="1" w:after="100" w:afterAutospacing="1" w:line="240" w:lineRule="auto"/>
      <w:ind w:firstLine="0" w:firstLineChars="0"/>
      <w:jc w:val="left"/>
    </w:pPr>
    <w:rPr>
      <w:rFonts w:ascii="宋体" w:hAnsi="宋体" w:cs="宋体"/>
      <w:kern w:val="0"/>
    </w:rPr>
  </w:style>
  <w:style w:type="character" w:customStyle="1" w:styleId="58">
    <w:name w:val="15"/>
    <w:basedOn w:val="23"/>
    <w:autoRedefine/>
    <w:uiPriority w:val="0"/>
  </w:style>
  <w:style w:type="character" w:customStyle="1" w:styleId="59">
    <w:name w:val="text_tcumt"/>
    <w:basedOn w:val="23"/>
    <w:qFormat/>
    <w:uiPriority w:val="0"/>
  </w:style>
  <w:style w:type="character" w:customStyle="1" w:styleId="60">
    <w:name w:val="正文文本 2 字符"/>
    <w:basedOn w:val="23"/>
    <w:link w:val="19"/>
    <w:autoRedefine/>
    <w:qFormat/>
    <w:uiPriority w:val="0"/>
    <w:rPr>
      <w:rFonts w:ascii="Calibri" w:hAnsi="Calibri" w:eastAsia="新宋体"/>
      <w:kern w:val="2"/>
      <w:sz w:val="28"/>
      <w:szCs w:val="24"/>
    </w:rPr>
  </w:style>
  <w:style w:type="character" w:customStyle="1" w:styleId="61">
    <w:name w:val="filter-default-option__container-name"/>
    <w:basedOn w:val="23"/>
    <w:qFormat/>
    <w:uiPriority w:val="0"/>
  </w:style>
  <w:style w:type="character" w:customStyle="1" w:styleId="62">
    <w:name w:val="wx_search_keyword_wrap"/>
    <w:basedOn w:val="23"/>
    <w:autoRedefine/>
    <w:qFormat/>
    <w:uiPriority w:val="0"/>
  </w:style>
  <w:style w:type="character" w:customStyle="1" w:styleId="63">
    <w:name w:val="text_oteqz"/>
    <w:basedOn w:val="23"/>
    <w:autoRedefine/>
    <w:uiPriority w:val="0"/>
  </w:style>
  <w:style w:type="character" w:customStyle="1" w:styleId="64">
    <w:name w:val="ref_content_circle"/>
    <w:basedOn w:val="23"/>
    <w:autoRedefine/>
    <w:uiPriority w:val="0"/>
  </w:style>
  <w:style w:type="character" w:customStyle="1" w:styleId="65">
    <w:name w:val="lb"/>
    <w:basedOn w:val="23"/>
    <w:qFormat/>
    <w:uiPriority w:val="0"/>
  </w:style>
  <w:style w:type="character" w:customStyle="1" w:styleId="66">
    <w:name w:val="filter-classification-option__container-name"/>
    <w:basedOn w:val="23"/>
    <w:qFormat/>
    <w:uiPriority w:val="0"/>
  </w:style>
  <w:style w:type="character" w:customStyle="1" w:styleId="67">
    <w:name w:val="filter-classification-option__container-desc"/>
    <w:basedOn w:val="23"/>
    <w:autoRedefine/>
    <w:qFormat/>
    <w:uiPriority w:val="0"/>
  </w:style>
  <w:style w:type="character" w:customStyle="1" w:styleId="68">
    <w:name w:val="vxe-cell--label"/>
    <w:basedOn w:val="23"/>
    <w:qFormat/>
    <w:uiPriority w:val="0"/>
  </w:style>
  <w:style w:type="paragraph" w:customStyle="1" w:styleId="69">
    <w:name w:val="temp-li"/>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580E9-3053-4EB4-A6AA-B7539077F82F}">
  <ds:schemaRefs/>
</ds:datastoreItem>
</file>

<file path=docProps/app.xml><?xml version="1.0" encoding="utf-8"?>
<Properties xmlns="http://schemas.openxmlformats.org/officeDocument/2006/extended-properties" xmlns:vt="http://schemas.openxmlformats.org/officeDocument/2006/docPropsVTypes">
  <Template>Normal</Template>
  <Pages>90</Pages>
  <Words>10101</Words>
  <Characters>57581</Characters>
  <Lines>479</Lines>
  <Paragraphs>135</Paragraphs>
  <TotalTime>0</TotalTime>
  <ScaleCrop>false</ScaleCrop>
  <LinksUpToDate>false</LinksUpToDate>
  <CharactersWithSpaces>67547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2021-12-14T02:38:00Z</dcterms:created>
  <dc:creator>20210414-pc</dc:creator>
  <cp:lastModifiedBy>娄冰玉</cp:lastModifiedBy>
  <dcterms:modified xsi:type="dcterms:W3CDTF">2025-07-21T07:57:04Z</dcterms:modified>
  <cp:revision>32767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2EFE2BA009D44CB4B618B50A80E2C498</vt:lpwstr>
  </property>
  <property fmtid="{D5CDD505-2E9C-101B-9397-08002B2CF9AE}" pid="4" name="commondata">
    <vt:lpwstr>eyJoZGlkIjoiMzljZjYxM2Y0ODM0OGY2NTE2NTQ2OTUwOWU4YTc1YzAifQ==</vt:lpwstr>
  </property>
</Properties>
</file>